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35B" w:rsidRDefault="006C61CA" w14:paraId="58E41038" w14:textId="77777777">
      <w:bookmarkStart w:name="_Hlk202351224" w:id="0"/>
      <w:bookmarkEnd w:id="0"/>
      <w:r>
        <w:t>Geachte voorzitter,</w:t>
      </w:r>
    </w:p>
    <w:p w:rsidR="0042635B" w:rsidRDefault="0042635B" w14:paraId="58E41039" w14:textId="77777777"/>
    <w:p w:rsidRPr="0027215C" w:rsidR="00571726" w:rsidP="00571726" w:rsidRDefault="00571726" w14:paraId="6988953E" w14:textId="17044AA5">
      <w:r>
        <w:t xml:space="preserve">Met deze </w:t>
      </w:r>
      <w:r w:rsidR="0027215C">
        <w:t>brief</w:t>
      </w:r>
      <w:r>
        <w:t xml:space="preserve"> kom</w:t>
      </w:r>
      <w:r w:rsidR="0027215C">
        <w:t xml:space="preserve">t </w:t>
      </w:r>
      <w:r w:rsidRPr="00BB3DAF" w:rsidR="00BA70EA">
        <w:t xml:space="preserve">het </w:t>
      </w:r>
      <w:r w:rsidR="0027215C">
        <w:t xml:space="preserve">Kabinet de </w:t>
      </w:r>
      <w:r>
        <w:t xml:space="preserve">toezegging na aan </w:t>
      </w:r>
      <w:r w:rsidR="009400E1">
        <w:t xml:space="preserve">het </w:t>
      </w:r>
      <w:r>
        <w:t>lid Hirsch (</w:t>
      </w:r>
      <w:r w:rsidRPr="0027215C" w:rsidR="0027215C">
        <w:t>TZ202504-029</w:t>
      </w:r>
      <w:r w:rsidR="009400E1">
        <w:t>)</w:t>
      </w:r>
      <w:r w:rsidR="0061091E">
        <w:t>, gedaan tijdens het commissiedebat over de beleidsbrief ontwikkelingshulp</w:t>
      </w:r>
      <w:r w:rsidR="000E2963">
        <w:t xml:space="preserve"> op 2 april jl.</w:t>
      </w:r>
      <w:r>
        <w:t xml:space="preserve">) </w:t>
      </w:r>
      <w:r w:rsidR="0027215C">
        <w:t>over de effecten van de ingezette bezuinigingen</w:t>
      </w:r>
      <w:r w:rsidR="00E44DE4">
        <w:t xml:space="preserve"> op ontwikkelingshulp</w:t>
      </w:r>
      <w:r w:rsidR="009F057F">
        <w:t xml:space="preserve">. </w:t>
      </w:r>
      <w:r w:rsidR="008D5AD6">
        <w:t>Conform deze toezegging</w:t>
      </w:r>
      <w:r w:rsidR="003D3242">
        <w:t xml:space="preserve"> deel ik hierbij</w:t>
      </w:r>
      <w:r w:rsidR="006777BA">
        <w:t xml:space="preserve"> </w:t>
      </w:r>
      <w:r w:rsidR="0073225C">
        <w:t xml:space="preserve">met uw Kamer </w:t>
      </w:r>
      <w:r w:rsidRPr="00156DD0" w:rsidR="00156DD0">
        <w:t>de rapportage</w:t>
      </w:r>
      <w:r w:rsidR="0073225C">
        <w:t xml:space="preserve"> </w:t>
      </w:r>
      <w:r w:rsidRPr="00156DD0" w:rsidR="00156DD0">
        <w:t>van de OESO</w:t>
      </w:r>
      <w:r w:rsidR="00156DD0">
        <w:t>-DAC</w:t>
      </w:r>
      <w:r w:rsidRPr="00FE3396" w:rsidR="000F29C6">
        <w:rPr>
          <w:rStyle w:val="FootnoteReference"/>
        </w:rPr>
        <w:footnoteReference w:id="2"/>
      </w:r>
      <w:r w:rsidR="000451D0">
        <w:t xml:space="preserve"> (d.d. 26 juni 2025)</w:t>
      </w:r>
      <w:r w:rsidRPr="00156DD0" w:rsidR="00156DD0">
        <w:t xml:space="preserve"> waarin de effecten van de </w:t>
      </w:r>
      <w:r w:rsidR="00B149E9">
        <w:t xml:space="preserve">internationale </w:t>
      </w:r>
      <w:r w:rsidRPr="00156DD0" w:rsidR="00156DD0">
        <w:t>bezuinigingen op ontwikkelingshulp in kaart worden gebracht</w:t>
      </w:r>
      <w:r w:rsidR="00156DD0">
        <w:t>.</w:t>
      </w:r>
      <w:r w:rsidR="006777BA">
        <w:t xml:space="preserve"> </w:t>
      </w:r>
      <w:r w:rsidR="0027215C">
        <w:t xml:space="preserve">Deze </w:t>
      </w:r>
      <w:r w:rsidR="004C023C">
        <w:t>Kamer</w:t>
      </w:r>
      <w:r w:rsidR="0027215C">
        <w:t xml:space="preserve">brief </w:t>
      </w:r>
      <w:r w:rsidR="006777BA">
        <w:t>gaat in op</w:t>
      </w:r>
      <w:r w:rsidR="00C27D8F">
        <w:t xml:space="preserve"> </w:t>
      </w:r>
      <w:r w:rsidR="00CC2D9E">
        <w:t>het</w:t>
      </w:r>
      <w:r w:rsidR="00C27D8F">
        <w:t xml:space="preserve"> OESO</w:t>
      </w:r>
      <w:r w:rsidR="0055403D">
        <w:t xml:space="preserve"> </w:t>
      </w:r>
      <w:r w:rsidR="006777BA">
        <w:t>rapport</w:t>
      </w:r>
      <w:r w:rsidR="004C023C">
        <w:t xml:space="preserve"> </w:t>
      </w:r>
      <w:r w:rsidR="006043B2">
        <w:t xml:space="preserve">en </w:t>
      </w:r>
      <w:r w:rsidR="0027215C">
        <w:t xml:space="preserve">geeft een toelichting op de effecten van de Nederlandse bezuinigingen op de begroting </w:t>
      </w:r>
      <w:r w:rsidR="004E4993">
        <w:t>voor Buitenlandse Handel en Ontwikkelingshulp (BHO)</w:t>
      </w:r>
      <w:r w:rsidR="0027215C">
        <w:t xml:space="preserve"> en hoe daarover zal worden verantwoord.</w:t>
      </w:r>
    </w:p>
    <w:p w:rsidRPr="0027215C" w:rsidR="00571726" w:rsidP="00571726" w:rsidRDefault="00571726" w14:paraId="3930DAD7" w14:textId="77777777"/>
    <w:p w:rsidRPr="00BB3DAF" w:rsidR="00571726" w:rsidP="00571726" w:rsidRDefault="00571726" w14:paraId="37D24CEE" w14:textId="474529A7">
      <w:pPr>
        <w:rPr>
          <w:b/>
          <w:bCs/>
        </w:rPr>
      </w:pPr>
      <w:r w:rsidRPr="00BB3DAF">
        <w:rPr>
          <w:b/>
          <w:bCs/>
        </w:rPr>
        <w:t>Rapport OESO-DAC over</w:t>
      </w:r>
      <w:r w:rsidR="002B487F">
        <w:rPr>
          <w:b/>
          <w:bCs/>
        </w:rPr>
        <w:t xml:space="preserve"> internationale</w:t>
      </w:r>
      <w:r w:rsidRPr="00BB3DAF">
        <w:rPr>
          <w:b/>
          <w:bCs/>
        </w:rPr>
        <w:t xml:space="preserve"> bezu</w:t>
      </w:r>
      <w:r>
        <w:rPr>
          <w:b/>
          <w:bCs/>
        </w:rPr>
        <w:t>inigingen op ontwikkelingssamenwerking</w:t>
      </w:r>
    </w:p>
    <w:p w:rsidRPr="00BB3DAF" w:rsidR="00BA70EA" w:rsidP="00BA70EA" w:rsidRDefault="00571726" w14:paraId="0994E281" w14:textId="4210F707">
      <w:r w:rsidRPr="00BB3DAF">
        <w:t xml:space="preserve">In </w:t>
      </w:r>
      <w:r w:rsidR="00B85FCD">
        <w:t>bovengenoemd</w:t>
      </w:r>
      <w:r w:rsidRPr="00BB3DAF">
        <w:t xml:space="preserve"> rapport </w:t>
      </w:r>
      <w:r w:rsidR="0068380C">
        <w:t>maakt</w:t>
      </w:r>
      <w:r w:rsidRPr="00BB3DAF" w:rsidR="0068380C">
        <w:t xml:space="preserve"> </w:t>
      </w:r>
      <w:r w:rsidRPr="00BB3DAF" w:rsidR="00BA70EA">
        <w:t xml:space="preserve">de OESO </w:t>
      </w:r>
      <w:r w:rsidR="0068380C">
        <w:t>een inschatting van</w:t>
      </w:r>
      <w:r w:rsidRPr="00BB3DAF" w:rsidR="00BA70EA">
        <w:t xml:space="preserve"> de gevolgen van de </w:t>
      </w:r>
      <w:r w:rsidR="00145C9A">
        <w:t>recent aangekondigde</w:t>
      </w:r>
      <w:r w:rsidRPr="00BB3DAF" w:rsidR="00BA70EA">
        <w:t xml:space="preserve"> bezuinigingen</w:t>
      </w:r>
      <w:r w:rsidR="006777BA">
        <w:t xml:space="preserve"> door DAC-landen</w:t>
      </w:r>
      <w:r w:rsidRPr="00BB3DAF" w:rsidR="00BA70EA">
        <w:t xml:space="preserve"> </w:t>
      </w:r>
      <w:r w:rsidR="0068380C">
        <w:t>op het totale budget voor Official Development Assistance (ODA)</w:t>
      </w:r>
      <w:r w:rsidR="00C56AB5">
        <w:t>.</w:t>
      </w:r>
      <w:r w:rsidRPr="00BB3DAF" w:rsidR="00BA70EA">
        <w:t xml:space="preserve"> </w:t>
      </w:r>
      <w:r w:rsidR="00E324BF">
        <w:t xml:space="preserve">Daarnaast maakt de OESO </w:t>
      </w:r>
      <w:r w:rsidR="006777BA">
        <w:t>met</w:t>
      </w:r>
      <w:r w:rsidR="00E324BF">
        <w:t xml:space="preserve"> een aantal casestudies een analyse van de landen en sectoren die </w:t>
      </w:r>
      <w:r w:rsidR="009F3A03">
        <w:t xml:space="preserve">naar verwachting </w:t>
      </w:r>
      <w:r w:rsidR="00E324BF">
        <w:t xml:space="preserve">het meest </w:t>
      </w:r>
      <w:r w:rsidR="006777BA">
        <w:t xml:space="preserve">worden </w:t>
      </w:r>
      <w:r w:rsidR="00E324BF">
        <w:t>geraakt door de bezuinigingen.</w:t>
      </w:r>
      <w:r w:rsidR="00F6406E">
        <w:t xml:space="preserve"> </w:t>
      </w:r>
      <w:r w:rsidRPr="00BB3DAF">
        <w:t xml:space="preserve"> </w:t>
      </w:r>
      <w:r w:rsidRPr="00BB3DAF" w:rsidR="00BA70EA">
        <w:t xml:space="preserve"> </w:t>
      </w:r>
    </w:p>
    <w:p w:rsidRPr="00BB3DAF" w:rsidR="00BA70EA" w:rsidP="00BA70EA" w:rsidRDefault="00BA70EA" w14:paraId="2FC21A2C" w14:textId="77777777"/>
    <w:p w:rsidRPr="00BB3DAF" w:rsidR="00026B5C" w:rsidP="00026B5C" w:rsidRDefault="00BA70EA" w14:paraId="0623CCF0" w14:textId="2C9691C9">
      <w:r w:rsidRPr="00BB3DAF">
        <w:t xml:space="preserve">De OESO voorspelt een daling van 9 tot 17% in </w:t>
      </w:r>
      <w:r w:rsidR="009A03BE">
        <w:t>de totale ODA-bijdrage</w:t>
      </w:r>
      <w:r w:rsidR="00DE17E5">
        <w:t>n</w:t>
      </w:r>
      <w:r w:rsidRPr="00BB3DAF">
        <w:t xml:space="preserve"> van alle DAC-landen samen in 2025, na een eerdere daling van 9% in 2024. </w:t>
      </w:r>
      <w:r w:rsidR="00890127">
        <w:t>V</w:t>
      </w:r>
      <w:r w:rsidRPr="00BB3DAF">
        <w:t xml:space="preserve">oorspellingen </w:t>
      </w:r>
      <w:r w:rsidR="006777BA">
        <w:t>over toekomstig budgettair verloop</w:t>
      </w:r>
      <w:r w:rsidRPr="00BB3DAF">
        <w:t xml:space="preserve"> zijn hoogst onzeker, maar ook na 2025 wordt een verdere </w:t>
      </w:r>
      <w:r w:rsidR="006777BA">
        <w:t>budget</w:t>
      </w:r>
      <w:r w:rsidRPr="00BB3DAF">
        <w:t xml:space="preserve">daling verwacht. </w:t>
      </w:r>
      <w:r w:rsidRPr="00BB3DAF" w:rsidR="00026B5C">
        <w:t>Elf DAC-donoren</w:t>
      </w:r>
      <w:r w:rsidR="00026B5C">
        <w:rPr>
          <w:rStyle w:val="FootnoteReference"/>
        </w:rPr>
        <w:footnoteReference w:id="3"/>
      </w:r>
      <w:r w:rsidR="00026B5C">
        <w:t xml:space="preserve">, </w:t>
      </w:r>
      <w:r w:rsidR="00890127">
        <w:t>waaronder Nederland</w:t>
      </w:r>
      <w:r w:rsidR="00DE17E5">
        <w:t>,</w:t>
      </w:r>
      <w:r w:rsidR="00890127">
        <w:t xml:space="preserve"> maar ook de historisch grootste donoren (de VS, het VK, Frankrijk en Duitsland) </w:t>
      </w:r>
      <w:r w:rsidRPr="00BB3DAF" w:rsidR="00026B5C">
        <w:t xml:space="preserve">hebben bezuinigingen </w:t>
      </w:r>
      <w:r w:rsidR="00C56AB5">
        <w:t xml:space="preserve">op ODA </w:t>
      </w:r>
      <w:r w:rsidRPr="00BB3DAF" w:rsidR="00026B5C">
        <w:t>aangekondigd</w:t>
      </w:r>
      <w:r w:rsidR="00890127">
        <w:t xml:space="preserve">. Deze elf donoren zijn </w:t>
      </w:r>
      <w:r w:rsidRPr="00BB3DAF" w:rsidR="00890127">
        <w:t xml:space="preserve">samen goed voor driekwart van de totale </w:t>
      </w:r>
      <w:r w:rsidR="006777BA">
        <w:t xml:space="preserve">wereldwijde </w:t>
      </w:r>
      <w:r w:rsidRPr="00BB3DAF" w:rsidR="00890127">
        <w:t>ODA in 2024</w:t>
      </w:r>
      <w:r w:rsidR="00890127">
        <w:t xml:space="preserve">. </w:t>
      </w:r>
      <w:r w:rsidRPr="00BB3DAF" w:rsidR="00026B5C">
        <w:t xml:space="preserve">Niet alle </w:t>
      </w:r>
      <w:r w:rsidR="00026B5C">
        <w:t>DAC-</w:t>
      </w:r>
      <w:r w:rsidRPr="00BB3DAF" w:rsidR="00026B5C">
        <w:t xml:space="preserve">donoren bezuinigen op ontwikkelingshulp. Ierland, Zuid-Korea en Spanje hebben </w:t>
      </w:r>
      <w:r w:rsidR="00026B5C">
        <w:t xml:space="preserve">in 2024 </w:t>
      </w:r>
      <w:r w:rsidRPr="00BB3DAF" w:rsidR="00026B5C">
        <w:t xml:space="preserve">een verhoging van hun </w:t>
      </w:r>
      <w:r w:rsidR="00E324BF">
        <w:t>ODA-bijdrage</w:t>
      </w:r>
      <w:r w:rsidRPr="00BB3DAF" w:rsidR="00026B5C">
        <w:t xml:space="preserve"> aangekondigd. Een aantal donoren </w:t>
      </w:r>
      <w:r w:rsidR="00026B5C">
        <w:t>heeft</w:t>
      </w:r>
      <w:r w:rsidRPr="00BB3DAF" w:rsidR="00026B5C">
        <w:t xml:space="preserve"> hun commitment voor het streven naar hoge ODA/BNI ratio’s (</w:t>
      </w:r>
      <w:r w:rsidR="002E58EF">
        <w:t xml:space="preserve">gelijk of </w:t>
      </w:r>
      <w:r w:rsidRPr="00BB3DAF" w:rsidR="00026B5C">
        <w:lastRenderedPageBreak/>
        <w:t>boven de 0,7%-norm) herbevestigd: Denemarken (0,7%), Noorwegen (1%) en Luxemburg (1%).</w:t>
      </w:r>
    </w:p>
    <w:p w:rsidR="00D360EC" w:rsidP="00026B5C" w:rsidRDefault="00C56AB5" w14:paraId="328DBF61" w14:textId="4364A536">
      <w:r>
        <w:t xml:space="preserve">Op basis van haar analyse, verwacht de OESO dat de bezuinigingen vooral gevolgen zullen hebben voor de ODA-bijdragen aan de groep </w:t>
      </w:r>
      <w:r w:rsidR="00F61824">
        <w:t>m</w:t>
      </w:r>
      <w:r>
        <w:t xml:space="preserve">inst </w:t>
      </w:r>
      <w:r w:rsidR="00F61824">
        <w:t>o</w:t>
      </w:r>
      <w:r>
        <w:t xml:space="preserve">ntwikkelde </w:t>
      </w:r>
      <w:r w:rsidR="00F61824">
        <w:t>l</w:t>
      </w:r>
      <w:r>
        <w:t>anden en de landen uit Sub</w:t>
      </w:r>
      <w:r w:rsidR="002E58EF">
        <w:t>-</w:t>
      </w:r>
      <w:r>
        <w:t>Sahara Afrika</w:t>
      </w:r>
      <w:r w:rsidR="0068380C">
        <w:t xml:space="preserve">, met </w:t>
      </w:r>
      <w:r w:rsidR="00890127">
        <w:t xml:space="preserve">een </w:t>
      </w:r>
      <w:r w:rsidR="0068380C">
        <w:t xml:space="preserve">verwachte daling in te ontvangen bilaterale ODA-bijdragen </w:t>
      </w:r>
      <w:r w:rsidR="002A14F5">
        <w:t xml:space="preserve">voor deze groep landen </w:t>
      </w:r>
      <w:r w:rsidR="0068380C">
        <w:t>van 13 tot 28%</w:t>
      </w:r>
      <w:r w:rsidR="002A14F5">
        <w:t xml:space="preserve"> </w:t>
      </w:r>
      <w:r w:rsidR="000506F8">
        <w:t xml:space="preserve">in 2025 </w:t>
      </w:r>
      <w:r w:rsidR="002A14F5">
        <w:t>ten opzichte van 2023</w:t>
      </w:r>
      <w:r>
        <w:t>. Op sectorniveau wordt de gezondheidszorg naar verwachting het meest getroffen door de bezuinigingen</w:t>
      </w:r>
      <w:r w:rsidR="002B6AA9">
        <w:t>,</w:t>
      </w:r>
      <w:r>
        <w:t xml:space="preserve"> met een verwachte daling in bilaterale ODA </w:t>
      </w:r>
      <w:r w:rsidR="00F82CDC">
        <w:t xml:space="preserve">van </w:t>
      </w:r>
      <w:r>
        <w:t>19 tot 33</w:t>
      </w:r>
      <w:r w:rsidR="002A14F5">
        <w:t>%</w:t>
      </w:r>
      <w:r>
        <w:t xml:space="preserve"> in 2025 ten opzichte van 2023.</w:t>
      </w:r>
    </w:p>
    <w:p w:rsidR="00D360EC" w:rsidP="00026B5C" w:rsidRDefault="00D360EC" w14:paraId="793940BB" w14:textId="77777777"/>
    <w:p w:rsidR="00D360EC" w:rsidP="00026B5C" w:rsidRDefault="0010619A" w14:paraId="4377CE39" w14:textId="2091D64B">
      <w:pPr>
        <w:rPr>
          <w:b/>
          <w:bCs/>
        </w:rPr>
      </w:pPr>
      <w:r>
        <w:rPr>
          <w:b/>
          <w:bCs/>
        </w:rPr>
        <w:t>Nederlandse bezuinigingen ontwikkelingssamenwerking</w:t>
      </w:r>
    </w:p>
    <w:p w:rsidR="00B65074" w:rsidP="00B65074" w:rsidRDefault="009E7623" w14:paraId="0B19F3F8" w14:textId="52D0C5FC">
      <w:r>
        <w:rPr>
          <w:noProof/>
        </w:rPr>
        <w:drawing>
          <wp:anchor distT="0" distB="0" distL="114300" distR="114300" simplePos="0" relativeHeight="251661312" behindDoc="0" locked="0" layoutInCell="1" allowOverlap="1" wp14:editId="0969CE0E" wp14:anchorId="2DBF7D59">
            <wp:simplePos x="0" y="0"/>
            <wp:positionH relativeFrom="margin">
              <wp:posOffset>0</wp:posOffset>
            </wp:positionH>
            <wp:positionV relativeFrom="paragraph">
              <wp:posOffset>594995</wp:posOffset>
            </wp:positionV>
            <wp:extent cx="4748530" cy="2888615"/>
            <wp:effectExtent l="0" t="0" r="0" b="6985"/>
            <wp:wrapThrough wrapText="bothSides">
              <wp:wrapPolygon edited="0">
                <wp:start x="0" y="0"/>
                <wp:lineTo x="0" y="21510"/>
                <wp:lineTo x="21490" y="21510"/>
                <wp:lineTo x="21490" y="0"/>
                <wp:lineTo x="0" y="0"/>
              </wp:wrapPolygon>
            </wp:wrapThrough>
            <wp:docPr id="1320677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8530" cy="2888615"/>
                    </a:xfrm>
                    <a:prstGeom prst="rect">
                      <a:avLst/>
                    </a:prstGeom>
                    <a:noFill/>
                  </pic:spPr>
                </pic:pic>
              </a:graphicData>
            </a:graphic>
            <wp14:sizeRelH relativeFrom="margin">
              <wp14:pctWidth>0</wp14:pctWidth>
            </wp14:sizeRelH>
            <wp14:sizeRelV relativeFrom="margin">
              <wp14:pctHeight>0</wp14:pctHeight>
            </wp14:sizeRelV>
          </wp:anchor>
        </w:drawing>
      </w:r>
      <w:r w:rsidR="00B65074">
        <w:t xml:space="preserve">Als gevolg van de bezuinigingen op ontwikkelingshulp van het kabinet Schoof daalt het totale Nederlandse ODA-budget van EUR 7,2 miljard in 2025 naar </w:t>
      </w:r>
      <w:r w:rsidR="00B65074">
        <w:br/>
        <w:t>EUR 5,9 miljard vanaf 2029. Het betreft hier het totaal van het ODA-budget zoals dat op verschillende delen van de Rijksbegroting staat. Het percentage van het bruto nationaal inkomen (bni) dat Nederland uitgeeft aan ontwikkelingshulp daalt daardoor in 2029 naar 0,44%. Onderstaande grafiek laat het verloop zien van de Nederlandse ODA-prestatie tussen 2016 en 2030.</w:t>
      </w:r>
      <w:r w:rsidR="00B65074">
        <w:rPr>
          <w:rStyle w:val="FootnoteReference"/>
        </w:rPr>
        <w:footnoteReference w:id="4"/>
      </w:r>
    </w:p>
    <w:p w:rsidR="00B65074" w:rsidP="00571726" w:rsidRDefault="00B65074" w14:paraId="0DD54551" w14:textId="77777777">
      <w:pPr>
        <w:rPr>
          <w:b/>
          <w:bCs/>
        </w:rPr>
      </w:pPr>
    </w:p>
    <w:p w:rsidRPr="00F61824" w:rsidR="00B65074" w:rsidP="00571726" w:rsidRDefault="00B65074" w14:paraId="3D72481C" w14:textId="0F5F1185">
      <w:r w:rsidRPr="00F61824">
        <w:t xml:space="preserve">Tegelijkertijd is afgesproken dat vanaf 2027 maximaal 10% van het budget voor ontwikkelingshulp wordt uitgegeven aan de eerstejaars opvang van asielzoekers. Dit zorgt ervoor dat onverwachts hoge asieluitgaven vanaf dat jaar minder ten koste gaan van </w:t>
      </w:r>
      <w:r w:rsidRPr="00F61824" w:rsidR="00B15140">
        <w:t>OS</w:t>
      </w:r>
      <w:r w:rsidRPr="00F61824">
        <w:t>-programma’s.</w:t>
      </w:r>
      <w:r w:rsidRPr="00F61824" w:rsidR="00FD7C4C">
        <w:t xml:space="preserve"> Tevens vergroot dit de voorspelbaarheid van het BHO-budget, wat bijdraagt aan de doeltreffendheid en doelmatigheid van het beleid.</w:t>
      </w:r>
    </w:p>
    <w:p w:rsidRPr="00F61824" w:rsidR="00B65074" w:rsidP="00571726" w:rsidRDefault="00B65074" w14:paraId="4BDB206E" w14:textId="77777777"/>
    <w:p w:rsidRPr="00B65074" w:rsidR="00B65074" w:rsidP="00571726" w:rsidRDefault="00B65074" w14:paraId="6FAACB96" w14:textId="0BC5E5E3">
      <w:r w:rsidRPr="00F61824">
        <w:t>Zoals beschreven in de beleidsbrief Ontwikkelingshulp kiest het kabinet voor meer focus</w:t>
      </w:r>
      <w:r w:rsidRPr="00F61824" w:rsidR="005B033E">
        <w:t xml:space="preserve">, wat de Nederlandse ontwikkelingshulp naar verwachting relevanter en effectiever maakt. Binnen het beschikbare budget is extra geld vrijgemaakt voor veiligheid en stabiliteit, migratie, voedselzekerheid, en watermanagement. De reeds aanzienlijke budgetten voor handel, gezondheid en humanitaire hulp zijn </w:t>
      </w:r>
      <w:r w:rsidRPr="00F61824" w:rsidR="005B033E">
        <w:lastRenderedPageBreak/>
        <w:t>zoveel mogelijk ontzien in de definitieve invulling van de bezuinigingsopgave. Daarnaast worden budgetten voor onderwerpen die niet langer een doel op zich zijn afgebouwd of verminderd. De bijlage bevat een nadere toelichting op het verloop van de budgetten binnen de BHO-begroting</w:t>
      </w:r>
      <w:r w:rsidR="00B82935">
        <w:t xml:space="preserve"> in OESO landen</w:t>
      </w:r>
      <w:r w:rsidRPr="00F61824" w:rsidR="005B033E">
        <w:t>.</w:t>
      </w:r>
    </w:p>
    <w:p w:rsidR="00B65074" w:rsidP="00571726" w:rsidRDefault="00B65074" w14:paraId="3F212D1A" w14:textId="77777777">
      <w:pPr>
        <w:rPr>
          <w:b/>
          <w:bCs/>
        </w:rPr>
      </w:pPr>
    </w:p>
    <w:p w:rsidRPr="00571726" w:rsidR="00571726" w:rsidP="00571726" w:rsidRDefault="00571726" w14:paraId="602DAEDA" w14:textId="7FD23AA8">
      <w:pPr>
        <w:rPr>
          <w:b/>
          <w:bCs/>
        </w:rPr>
      </w:pPr>
      <w:r w:rsidRPr="00571726">
        <w:rPr>
          <w:b/>
          <w:bCs/>
        </w:rPr>
        <w:t>Nieuwe verantwoording</w:t>
      </w:r>
      <w:r w:rsidR="00ED6A53">
        <w:rPr>
          <w:b/>
          <w:bCs/>
        </w:rPr>
        <w:t>s</w:t>
      </w:r>
      <w:r w:rsidRPr="00571726">
        <w:rPr>
          <w:b/>
          <w:bCs/>
        </w:rPr>
        <w:t>systematiek</w:t>
      </w:r>
    </w:p>
    <w:p w:rsidRPr="004F2BFF" w:rsidR="00571726" w:rsidP="00571726" w:rsidRDefault="00F61824" w14:paraId="4B641D0B" w14:textId="5B678F1F">
      <w:pPr>
        <w:rPr>
          <w:rFonts w:cs="Calibri"/>
          <w:color w:val="auto"/>
        </w:rPr>
      </w:pPr>
      <w:r>
        <w:rPr>
          <w:color w:val="auto"/>
        </w:rPr>
        <w:t xml:space="preserve">Het beleidsterrein Buitenlandse Handel en Ontwikkelingshulp </w:t>
      </w:r>
      <w:r w:rsidR="002E58EF">
        <w:rPr>
          <w:color w:val="auto"/>
        </w:rPr>
        <w:t>hanteert vanaf</w:t>
      </w:r>
      <w:r>
        <w:rPr>
          <w:color w:val="auto"/>
        </w:rPr>
        <w:t xml:space="preserve"> de</w:t>
      </w:r>
      <w:r w:rsidR="002E58EF">
        <w:rPr>
          <w:color w:val="auto"/>
        </w:rPr>
        <w:t xml:space="preserve"> begroting </w:t>
      </w:r>
      <w:r>
        <w:rPr>
          <w:color w:val="auto"/>
        </w:rPr>
        <w:t xml:space="preserve">voor </w:t>
      </w:r>
      <w:r w:rsidR="002E58EF">
        <w:rPr>
          <w:color w:val="auto"/>
        </w:rPr>
        <w:t xml:space="preserve">2026 een verbeterde verantwoordingssystematiek. De Kamer is daarover </w:t>
      </w:r>
      <w:r w:rsidR="00BB4B85">
        <w:rPr>
          <w:color w:val="auto"/>
        </w:rPr>
        <w:t>geïnformeerd</w:t>
      </w:r>
      <w:r w:rsidR="002E58EF">
        <w:rPr>
          <w:color w:val="auto"/>
        </w:rPr>
        <w:t xml:space="preserve"> </w:t>
      </w:r>
      <w:r w:rsidRPr="004F2BFF" w:rsidR="00571726">
        <w:rPr>
          <w:color w:val="auto"/>
        </w:rPr>
        <w:t>op 23 mei jl</w:t>
      </w:r>
      <w:r w:rsidR="00BB4B85">
        <w:rPr>
          <w:color w:val="auto"/>
        </w:rPr>
        <w:t>.</w:t>
      </w:r>
      <w:r w:rsidRPr="004F2BFF" w:rsidR="00571726">
        <w:rPr>
          <w:color w:val="auto"/>
        </w:rPr>
        <w:t xml:space="preserve"> (</w:t>
      </w:r>
      <w:r w:rsidR="00331078">
        <w:rPr>
          <w:color w:val="auto"/>
        </w:rPr>
        <w:t xml:space="preserve">Kamerstuk </w:t>
      </w:r>
      <w:r w:rsidRPr="004F2BFF" w:rsidR="00571726">
        <w:rPr>
          <w:color w:val="auto"/>
        </w:rPr>
        <w:t xml:space="preserve">31865, nr. 282). </w:t>
      </w:r>
      <w:r w:rsidR="00BB4B85">
        <w:rPr>
          <w:rFonts w:cs="Calibri"/>
          <w:color w:val="auto"/>
        </w:rPr>
        <w:t>In d</w:t>
      </w:r>
      <w:r w:rsidRPr="004F2BFF" w:rsidR="00571726">
        <w:rPr>
          <w:rFonts w:cs="Calibri"/>
          <w:color w:val="auto"/>
        </w:rPr>
        <w:t>e jaarlijkse verantwoording via het Jaarverslag</w:t>
      </w:r>
      <w:r w:rsidR="00BB4B85">
        <w:rPr>
          <w:rFonts w:cs="Calibri"/>
          <w:color w:val="auto"/>
        </w:rPr>
        <w:t xml:space="preserve"> zal o</w:t>
      </w:r>
      <w:r w:rsidRPr="004F2BFF" w:rsidR="00571726">
        <w:rPr>
          <w:rFonts w:cs="Calibri"/>
          <w:color w:val="auto"/>
        </w:rPr>
        <w:t xml:space="preserve">ver </w:t>
      </w:r>
      <w:r>
        <w:rPr>
          <w:rFonts w:cs="Calibri"/>
          <w:color w:val="auto"/>
        </w:rPr>
        <w:t xml:space="preserve">het </w:t>
      </w:r>
      <w:r w:rsidRPr="004F2BFF" w:rsidR="00571726">
        <w:rPr>
          <w:rFonts w:cs="Calibri"/>
          <w:color w:val="auto"/>
        </w:rPr>
        <w:t xml:space="preserve">BHO-beleid </w:t>
      </w:r>
      <w:bookmarkStart w:name="_Hlk198310753" w:id="1"/>
      <w:r w:rsidRPr="004F2BFF" w:rsidR="00571726">
        <w:rPr>
          <w:rFonts w:cs="Calibri"/>
          <w:color w:val="auto"/>
        </w:rPr>
        <w:t>per sub-artikel van de begroting verantwoording worden afgelegd</w:t>
      </w:r>
      <w:r w:rsidR="00BB4B85">
        <w:rPr>
          <w:rFonts w:cs="Calibri"/>
          <w:color w:val="auto"/>
        </w:rPr>
        <w:t xml:space="preserve">. Hiermee krijgt </w:t>
      </w:r>
      <w:r w:rsidRPr="004F2BFF" w:rsidR="00571726">
        <w:rPr>
          <w:rFonts w:cs="Calibri"/>
          <w:color w:val="auto"/>
        </w:rPr>
        <w:t>de Tweede Kamer inzicht in de ontwikkeling</w:t>
      </w:r>
      <w:r w:rsidRPr="004F2BFF" w:rsidR="31662EE3">
        <w:rPr>
          <w:rFonts w:cs="Calibri"/>
          <w:color w:val="auto"/>
        </w:rPr>
        <w:t xml:space="preserve">, </w:t>
      </w:r>
      <w:r w:rsidRPr="004F2BFF" w:rsidR="00571726">
        <w:rPr>
          <w:rFonts w:cs="Calibri"/>
          <w:color w:val="auto"/>
        </w:rPr>
        <w:t xml:space="preserve">uitvoering </w:t>
      </w:r>
      <w:r w:rsidRPr="004F2BFF" w:rsidR="31662EE3">
        <w:rPr>
          <w:rFonts w:cs="Calibri"/>
          <w:color w:val="auto"/>
        </w:rPr>
        <w:t xml:space="preserve">en waar relevant uitfasering </w:t>
      </w:r>
      <w:r w:rsidRPr="004F2BFF" w:rsidR="00571726">
        <w:rPr>
          <w:rFonts w:cs="Calibri"/>
          <w:color w:val="auto"/>
        </w:rPr>
        <w:t>van het beleid in het afgelopen jaar</w:t>
      </w:r>
      <w:bookmarkEnd w:id="1"/>
      <w:r w:rsidRPr="004F2BFF" w:rsidR="00571726">
        <w:rPr>
          <w:rFonts w:cs="Calibri"/>
          <w:color w:val="auto"/>
        </w:rPr>
        <w:t>.</w:t>
      </w:r>
    </w:p>
    <w:p w:rsidR="00BA70EA" w:rsidP="00BA70EA" w:rsidRDefault="00BA70EA" w14:paraId="2BC25B93" w14:textId="77777777"/>
    <w:p w:rsidR="0042635B" w:rsidRDefault="0042635B" w14:paraId="58E4103F" w14:textId="77777777"/>
    <w:p w:rsidR="00F61824" w:rsidRDefault="00F61824" w14:paraId="6F77F4F6" w14:textId="77777777">
      <w:r>
        <w:t>Staatssecretaris Buitenlandse Handel</w:t>
      </w:r>
    </w:p>
    <w:p w:rsidR="00E51C7D" w:rsidRDefault="00F61824" w14:paraId="577DF52F" w14:textId="67FD622C">
      <w:r>
        <w:t>en Ontwikkelingshulp</w:t>
      </w:r>
      <w:r w:rsidR="00E51C7D">
        <w:t>,</w:t>
      </w:r>
    </w:p>
    <w:p w:rsidR="00E51C7D" w:rsidRDefault="00E51C7D" w14:paraId="68352951" w14:textId="77777777"/>
    <w:p w:rsidR="00E51C7D" w:rsidRDefault="00E51C7D" w14:paraId="53D7588D" w14:textId="77777777"/>
    <w:p w:rsidR="00E51C7D" w:rsidRDefault="00E51C7D" w14:paraId="7B0B8F17" w14:textId="77777777"/>
    <w:p w:rsidR="00E51C7D" w:rsidRDefault="00E51C7D" w14:paraId="37DBC30B" w14:textId="77777777"/>
    <w:p w:rsidR="00E51C7D" w:rsidRDefault="00E51C7D" w14:paraId="2C21D4AF" w14:textId="77777777"/>
    <w:p w:rsidR="00A30B9B" w:rsidRDefault="00F61824" w14:paraId="3456E0DE" w14:textId="13196E33">
      <w:r>
        <w:t>Aukje de Vries</w:t>
      </w:r>
    </w:p>
    <w:p w:rsidR="00D360EC" w:rsidRDefault="00D360EC" w14:paraId="6174D757" w14:textId="77777777"/>
    <w:p w:rsidR="00D360EC" w:rsidRDefault="00D360EC" w14:paraId="00CDF21E" w14:textId="79C89391"/>
    <w:p w:rsidRPr="00A1465E" w:rsidR="00D360EC" w:rsidP="005B033E" w:rsidRDefault="00D360EC" w14:paraId="7CA17AF8" w14:textId="0F2D0FD2">
      <w:pPr>
        <w:spacing w:line="240" w:lineRule="auto"/>
      </w:pPr>
      <w:r>
        <w:br w:type="page"/>
      </w:r>
      <w:r w:rsidRPr="00A1465E">
        <w:rPr>
          <w:b/>
          <w:bCs/>
        </w:rPr>
        <w:lastRenderedPageBreak/>
        <w:t xml:space="preserve">Bijlage 1. </w:t>
      </w:r>
      <w:r w:rsidRPr="00A1465E" w:rsidR="0090783A">
        <w:rPr>
          <w:b/>
          <w:bCs/>
        </w:rPr>
        <w:t>Verloop budgetten</w:t>
      </w:r>
      <w:r w:rsidRPr="00A1465E">
        <w:rPr>
          <w:b/>
          <w:bCs/>
        </w:rPr>
        <w:t xml:space="preserve"> BHO-begroting</w:t>
      </w:r>
    </w:p>
    <w:p w:rsidRPr="00A1465E" w:rsidR="00D360EC" w:rsidP="00D360EC" w:rsidRDefault="004B668C" w14:paraId="11667713" w14:textId="0503B6FF">
      <w:r w:rsidRPr="00A1465E">
        <w:rPr>
          <w:noProof/>
        </w:rPr>
        <w:drawing>
          <wp:anchor distT="0" distB="0" distL="114300" distR="114300" simplePos="0" relativeHeight="251662336" behindDoc="0" locked="0" layoutInCell="1" allowOverlap="1" wp14:editId="314F3EAA" wp14:anchorId="6CC88479">
            <wp:simplePos x="0" y="0"/>
            <wp:positionH relativeFrom="column">
              <wp:posOffset>-793684</wp:posOffset>
            </wp:positionH>
            <wp:positionV relativeFrom="paragraph">
              <wp:posOffset>1709704</wp:posOffset>
            </wp:positionV>
            <wp:extent cx="7199270" cy="4035972"/>
            <wp:effectExtent l="0" t="0" r="1905" b="3175"/>
            <wp:wrapSquare wrapText="bothSides"/>
            <wp:docPr id="1881882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9270" cy="4035972"/>
                    </a:xfrm>
                    <a:prstGeom prst="rect">
                      <a:avLst/>
                    </a:prstGeom>
                    <a:noFill/>
                  </pic:spPr>
                </pic:pic>
              </a:graphicData>
            </a:graphic>
          </wp:anchor>
        </w:drawing>
      </w:r>
      <w:r w:rsidRPr="00A1465E" w:rsidR="00D360EC">
        <w:t>Het grootste deel van het Nederlandse budget voor ontwikkelingshulp (ODA) staat op de begroting voor Buitenlandse Handel en Ontwikkelingshulp (BHO). Vanaf 2029 gaat het om ca. EUR 3,9 miljard. Onderstaande grafiek laat het verloop zien van de verschillende sub-artikelen binnen het BHO budget tussen 2016 en 2030.</w:t>
      </w:r>
      <w:r w:rsidRPr="00A1465E" w:rsidR="00D360EC">
        <w:rPr>
          <w:rStyle w:val="FootnoteReference"/>
        </w:rPr>
        <w:footnoteReference w:id="5"/>
      </w:r>
      <w:r w:rsidRPr="00A1465E" w:rsidR="00D360EC">
        <w:t xml:space="preserve"> Tussen 2023 en 2026 stijgt het aandeel van het ODA-budget dat op de begroting van </w:t>
      </w:r>
      <w:proofErr w:type="spellStart"/>
      <w:r w:rsidRPr="00A1465E" w:rsidR="00D360EC">
        <w:t>AenM</w:t>
      </w:r>
      <w:proofErr w:type="spellEnd"/>
      <w:r w:rsidRPr="00A1465E" w:rsidR="00D360EC">
        <w:t xml:space="preserve"> staat van 17% naar 26% als gevolg van stijgingen in de ramingen voor de uitgaven aan eerstejaars asielopvang. Daardoor zijn in die jaren bezuinigingen verwerkt op de BHO-begroting. Doordat deze asieluitgaven vanaf 2027 gemaximeerd zijn op 10% van het ODA-budget, is de kans op grote tegenvallers op de BHO-begroting vanaf dat jaar kleiner.</w:t>
      </w:r>
    </w:p>
    <w:p w:rsidRPr="00A1465E" w:rsidR="00D360EC" w:rsidP="00D360EC" w:rsidRDefault="00D360EC" w14:paraId="22F2D398" w14:textId="77777777">
      <w:pPr>
        <w:spacing w:line="240" w:lineRule="auto"/>
      </w:pPr>
    </w:p>
    <w:p w:rsidRPr="00A1465E" w:rsidR="00D360EC" w:rsidP="00D360EC" w:rsidRDefault="00D360EC" w14:paraId="58AC30D4" w14:textId="54EF8D11">
      <w:pPr>
        <w:spacing w:line="240" w:lineRule="auto"/>
      </w:pPr>
    </w:p>
    <w:p w:rsidRPr="00A1465E" w:rsidR="00D360EC" w:rsidP="00D360EC" w:rsidRDefault="00D360EC" w14:paraId="60DA2136" w14:textId="77777777">
      <w:pPr>
        <w:spacing w:line="240" w:lineRule="auto"/>
      </w:pPr>
    </w:p>
    <w:p w:rsidRPr="00A1465E" w:rsidR="00D360EC" w:rsidP="00D360EC" w:rsidRDefault="005B033E" w14:paraId="2B38F98C" w14:textId="4F48B758">
      <w:pPr>
        <w:spacing w:line="240" w:lineRule="auto"/>
      </w:pPr>
      <w:r w:rsidRPr="00A1465E">
        <w:t>Het verloop van de</w:t>
      </w:r>
      <w:r w:rsidRPr="00A1465E" w:rsidR="00D360EC">
        <w:t xml:space="preserve"> </w:t>
      </w:r>
      <w:r w:rsidRPr="00A1465E">
        <w:t xml:space="preserve">budgetten voor de </w:t>
      </w:r>
      <w:r w:rsidRPr="00A1465E" w:rsidR="00D360EC">
        <w:t>verschillende beleids</w:t>
      </w:r>
      <w:r w:rsidRPr="00A1465E">
        <w:t>artikelen wordt hieronder toegelicht</w:t>
      </w:r>
      <w:r w:rsidRPr="00A1465E" w:rsidR="00D360EC">
        <w:t xml:space="preserve">. </w:t>
      </w:r>
    </w:p>
    <w:p w:rsidRPr="00A1465E" w:rsidR="0010098C" w:rsidP="00D360EC" w:rsidRDefault="00FC2178" w14:paraId="003A81EA" w14:textId="3284FB48">
      <w:pPr>
        <w:spacing w:line="240" w:lineRule="auto"/>
        <w:rPr>
          <w:b/>
          <w:bCs/>
          <w:noProof/>
        </w:rPr>
      </w:pPr>
      <w:r w:rsidRPr="00A1465E">
        <w:t>Zoals beschreven in de beleidsbrief Ontwikkelingshulp kiest het</w:t>
      </w:r>
      <w:r w:rsidRPr="00A1465E" w:rsidR="0010098C">
        <w:t xml:space="preserve"> kabinet voor focus op </w:t>
      </w:r>
      <w:r w:rsidRPr="00A1465E" w:rsidR="0012368A">
        <w:t>een aantal belangen en ondersteunende thema’s waar Nederland expertise op heeft:</w:t>
      </w:r>
      <w:r w:rsidRPr="00A1465E" w:rsidR="0010098C">
        <w:t xml:space="preserve"> </w:t>
      </w:r>
    </w:p>
    <w:p w:rsidRPr="00A1465E" w:rsidR="00D360EC" w:rsidP="00D360EC" w:rsidRDefault="00D360EC" w14:paraId="43CA3D09" w14:textId="36383B50">
      <w:pPr>
        <w:pStyle w:val="ListParagraph"/>
        <w:numPr>
          <w:ilvl w:val="0"/>
          <w:numId w:val="7"/>
        </w:numPr>
        <w:rPr>
          <w:rFonts w:ascii="Verdana" w:hAnsi="Verdana"/>
          <w:sz w:val="18"/>
          <w:szCs w:val="18"/>
          <w:lang w:val="nl-NL"/>
        </w:rPr>
      </w:pPr>
      <w:r w:rsidRPr="00A1465E">
        <w:rPr>
          <w:rFonts w:ascii="Verdana" w:hAnsi="Verdana"/>
          <w:sz w:val="18"/>
          <w:szCs w:val="18"/>
          <w:lang w:val="nl-NL"/>
        </w:rPr>
        <w:t xml:space="preserve">Dit kabinet en het vorige kabinet hebben geïntensiveerd op </w:t>
      </w:r>
      <w:r w:rsidRPr="00A1465E">
        <w:rPr>
          <w:rFonts w:ascii="Verdana" w:hAnsi="Verdana"/>
          <w:b/>
          <w:sz w:val="18"/>
          <w:szCs w:val="18"/>
          <w:lang w:val="nl-NL"/>
        </w:rPr>
        <w:t>Handel</w:t>
      </w:r>
      <w:r w:rsidRPr="00A1465E">
        <w:rPr>
          <w:rFonts w:ascii="Verdana" w:hAnsi="Verdana"/>
          <w:sz w:val="18"/>
          <w:szCs w:val="18"/>
          <w:lang w:val="nl-NL"/>
        </w:rPr>
        <w:t xml:space="preserve">, </w:t>
      </w:r>
      <w:r w:rsidRPr="00A1465E">
        <w:rPr>
          <w:rFonts w:ascii="Verdana" w:hAnsi="Verdana"/>
          <w:b/>
          <w:sz w:val="18"/>
          <w:szCs w:val="18"/>
          <w:lang w:val="nl-NL"/>
        </w:rPr>
        <w:t>Voedselzekerheid, Water</w:t>
      </w:r>
      <w:r w:rsidRPr="00A1465E">
        <w:rPr>
          <w:rFonts w:ascii="Verdana" w:hAnsi="Verdana"/>
          <w:sz w:val="18"/>
          <w:szCs w:val="18"/>
          <w:lang w:val="nl-NL"/>
        </w:rPr>
        <w:t xml:space="preserve">, </w:t>
      </w:r>
      <w:r w:rsidRPr="00A1465E">
        <w:rPr>
          <w:rFonts w:ascii="Verdana" w:hAnsi="Verdana"/>
          <w:b/>
          <w:sz w:val="18"/>
          <w:szCs w:val="18"/>
          <w:lang w:val="nl-NL"/>
        </w:rPr>
        <w:t>Opvang in de regio</w:t>
      </w:r>
      <w:r w:rsidRPr="00A1465E">
        <w:rPr>
          <w:rFonts w:ascii="Verdana" w:hAnsi="Verdana"/>
          <w:sz w:val="18"/>
          <w:szCs w:val="18"/>
          <w:lang w:val="nl-NL"/>
        </w:rPr>
        <w:t xml:space="preserve"> en </w:t>
      </w:r>
      <w:r w:rsidRPr="00A1465E">
        <w:rPr>
          <w:rFonts w:ascii="Verdana" w:hAnsi="Verdana"/>
          <w:b/>
          <w:sz w:val="18"/>
          <w:szCs w:val="18"/>
          <w:lang w:val="nl-NL"/>
        </w:rPr>
        <w:t>Veiligheid en rechtstaatontwikkeling</w:t>
      </w:r>
      <w:r w:rsidRPr="00A1465E">
        <w:rPr>
          <w:rFonts w:ascii="Verdana" w:hAnsi="Verdana"/>
          <w:sz w:val="18"/>
          <w:szCs w:val="18"/>
          <w:lang w:val="nl-NL"/>
        </w:rPr>
        <w:t xml:space="preserve">, waardoor het budget </w:t>
      </w:r>
      <w:r w:rsidRPr="00A1465E" w:rsidR="00414EC0">
        <w:rPr>
          <w:rFonts w:ascii="Verdana" w:hAnsi="Verdana"/>
          <w:sz w:val="18"/>
          <w:szCs w:val="18"/>
          <w:lang w:val="nl-NL"/>
        </w:rPr>
        <w:t xml:space="preserve">voor deze thema’s </w:t>
      </w:r>
      <w:r w:rsidRPr="00A1465E">
        <w:rPr>
          <w:rFonts w:ascii="Verdana" w:hAnsi="Verdana"/>
          <w:sz w:val="18"/>
          <w:szCs w:val="18"/>
          <w:lang w:val="nl-NL"/>
        </w:rPr>
        <w:t>de komende jaren oploopt</w:t>
      </w:r>
      <w:r w:rsidRPr="00A1465E" w:rsidR="00414EC0">
        <w:rPr>
          <w:rFonts w:ascii="Verdana" w:hAnsi="Verdana"/>
          <w:sz w:val="18"/>
          <w:szCs w:val="18"/>
          <w:lang w:val="nl-NL"/>
        </w:rPr>
        <w:t xml:space="preserve"> ten opzichte van 2025</w:t>
      </w:r>
      <w:r w:rsidRPr="00A1465E">
        <w:rPr>
          <w:rFonts w:ascii="Verdana" w:hAnsi="Verdana"/>
          <w:sz w:val="18"/>
          <w:szCs w:val="18"/>
          <w:lang w:val="nl-NL"/>
        </w:rPr>
        <w:t>. De budgetten zijn wel geraakt door de proportionele bezuiniging in 2025.</w:t>
      </w:r>
    </w:p>
    <w:p w:rsidRPr="00A1465E" w:rsidR="005B033E" w:rsidP="002B60CA" w:rsidRDefault="002B60CA" w14:paraId="6131A2AD" w14:textId="0EA5DED2">
      <w:pPr>
        <w:pStyle w:val="ListParagraph"/>
        <w:numPr>
          <w:ilvl w:val="0"/>
          <w:numId w:val="7"/>
        </w:numPr>
        <w:rPr>
          <w:rFonts w:ascii="Verdana" w:hAnsi="Verdana"/>
          <w:sz w:val="18"/>
          <w:szCs w:val="18"/>
          <w:lang w:val="nl-NL"/>
        </w:rPr>
      </w:pPr>
      <w:r w:rsidRPr="00A1465E">
        <w:rPr>
          <w:rFonts w:ascii="Verdana" w:hAnsi="Verdana"/>
          <w:sz w:val="18"/>
          <w:szCs w:val="18"/>
          <w:lang w:val="nl-NL"/>
        </w:rPr>
        <w:lastRenderedPageBreak/>
        <w:t xml:space="preserve">We blijven </w:t>
      </w:r>
      <w:r w:rsidRPr="00A1465E">
        <w:rPr>
          <w:rFonts w:ascii="Verdana" w:hAnsi="Verdana"/>
          <w:b/>
          <w:bCs/>
          <w:sz w:val="18"/>
          <w:szCs w:val="18"/>
          <w:lang w:val="nl-NL"/>
        </w:rPr>
        <w:t>humanitaire hulp</w:t>
      </w:r>
      <w:r w:rsidRPr="00A1465E">
        <w:rPr>
          <w:rFonts w:ascii="Verdana" w:hAnsi="Verdana"/>
          <w:sz w:val="18"/>
          <w:szCs w:val="18"/>
          <w:lang w:val="nl-NL"/>
        </w:rPr>
        <w:t xml:space="preserve"> bieden aan mensen in nood. </w:t>
      </w:r>
      <w:r w:rsidRPr="00A1465E" w:rsidR="005B033E">
        <w:rPr>
          <w:rFonts w:ascii="Verdana" w:hAnsi="Verdana"/>
          <w:sz w:val="18"/>
          <w:szCs w:val="18"/>
          <w:lang w:val="nl-NL"/>
        </w:rPr>
        <w:t xml:space="preserve">De komende jaren is </w:t>
      </w:r>
      <w:r w:rsidRPr="00A1465E">
        <w:rPr>
          <w:rFonts w:ascii="Verdana" w:hAnsi="Verdana"/>
          <w:sz w:val="18"/>
          <w:szCs w:val="18"/>
          <w:lang w:val="nl-NL"/>
        </w:rPr>
        <w:t>hiervoor minder budget beschikbaar</w:t>
      </w:r>
      <w:r w:rsidRPr="00A1465E" w:rsidR="004A238B">
        <w:rPr>
          <w:rFonts w:ascii="Verdana" w:hAnsi="Verdana"/>
          <w:sz w:val="18"/>
          <w:szCs w:val="18"/>
          <w:lang w:val="nl-NL"/>
        </w:rPr>
        <w:t xml:space="preserve"> dan in 2024</w:t>
      </w:r>
      <w:r w:rsidRPr="00A1465E" w:rsidR="005B033E">
        <w:rPr>
          <w:rFonts w:ascii="Verdana" w:hAnsi="Verdana"/>
          <w:sz w:val="18"/>
          <w:szCs w:val="18"/>
          <w:lang w:val="nl-NL"/>
        </w:rPr>
        <w:t>, wat vooral effect heeft op de inzet via de landenspecifieke fondsen van de VN die zorgen voor snelle beschikbaarheid en flexibiliteit van humanitaire hulp. Deze bezuiniging is in de 1</w:t>
      </w:r>
      <w:r w:rsidRPr="00A1465E" w:rsidR="005B033E">
        <w:rPr>
          <w:rFonts w:ascii="Verdana" w:hAnsi="Verdana"/>
          <w:sz w:val="18"/>
          <w:szCs w:val="18"/>
          <w:vertAlign w:val="superscript"/>
          <w:lang w:val="nl-NL"/>
        </w:rPr>
        <w:t>e</w:t>
      </w:r>
      <w:r w:rsidRPr="00A1465E" w:rsidR="005B033E">
        <w:rPr>
          <w:rFonts w:ascii="Verdana" w:hAnsi="Verdana"/>
          <w:sz w:val="18"/>
          <w:szCs w:val="18"/>
          <w:lang w:val="nl-NL"/>
        </w:rPr>
        <w:t xml:space="preserve"> suppletoire begroting 2025 gedempt</w:t>
      </w:r>
      <w:r w:rsidRPr="00A1465E" w:rsidR="00414EC0">
        <w:rPr>
          <w:rFonts w:ascii="Verdana" w:hAnsi="Verdana"/>
          <w:sz w:val="18"/>
          <w:szCs w:val="18"/>
          <w:lang w:val="nl-NL"/>
        </w:rPr>
        <w:t xml:space="preserve"> voor de jaren 2026 en 2027</w:t>
      </w:r>
      <w:r w:rsidRPr="00A1465E" w:rsidR="005B033E">
        <w:rPr>
          <w:rFonts w:ascii="Verdana" w:hAnsi="Verdana"/>
          <w:sz w:val="18"/>
          <w:szCs w:val="18"/>
          <w:lang w:val="nl-NL"/>
        </w:rPr>
        <w:t xml:space="preserve">. </w:t>
      </w:r>
    </w:p>
    <w:p w:rsidRPr="00A1465E" w:rsidR="0010619A" w:rsidP="0010619A" w:rsidRDefault="0090783A" w14:paraId="68E2601C" w14:textId="48438916">
      <w:pPr>
        <w:pStyle w:val="ListParagraph"/>
        <w:numPr>
          <w:ilvl w:val="0"/>
          <w:numId w:val="7"/>
        </w:numPr>
        <w:rPr>
          <w:rFonts w:ascii="Verdana" w:hAnsi="Verdana"/>
          <w:sz w:val="18"/>
          <w:szCs w:val="18"/>
          <w:lang w:val="nl-NL"/>
        </w:rPr>
      </w:pPr>
      <w:r w:rsidRPr="00A1465E">
        <w:rPr>
          <w:rFonts w:ascii="Verdana" w:hAnsi="Verdana"/>
          <w:sz w:val="18"/>
          <w:szCs w:val="18"/>
          <w:lang w:val="nl-NL"/>
        </w:rPr>
        <w:t>Ook</w:t>
      </w:r>
      <w:r w:rsidRPr="00A1465E" w:rsidR="0010619A">
        <w:rPr>
          <w:rFonts w:ascii="Verdana" w:hAnsi="Verdana"/>
          <w:sz w:val="18"/>
          <w:szCs w:val="18"/>
          <w:lang w:val="nl-NL"/>
        </w:rPr>
        <w:t xml:space="preserve"> </w:t>
      </w:r>
      <w:r w:rsidRPr="00A1465E">
        <w:rPr>
          <w:rFonts w:ascii="Verdana" w:hAnsi="Verdana"/>
          <w:b/>
          <w:sz w:val="18"/>
          <w:szCs w:val="18"/>
          <w:lang w:val="nl-NL"/>
        </w:rPr>
        <w:t xml:space="preserve">gezondheid </w:t>
      </w:r>
      <w:r w:rsidRPr="00A1465E">
        <w:rPr>
          <w:rFonts w:ascii="Verdana" w:hAnsi="Verdana"/>
          <w:bCs/>
          <w:sz w:val="18"/>
          <w:szCs w:val="18"/>
          <w:lang w:val="nl-NL"/>
        </w:rPr>
        <w:t>blijft een prioriteit.</w:t>
      </w:r>
      <w:r w:rsidRPr="00A1465E" w:rsidR="0010619A">
        <w:rPr>
          <w:rFonts w:ascii="Verdana" w:hAnsi="Verdana"/>
          <w:b/>
          <w:sz w:val="18"/>
          <w:szCs w:val="18"/>
          <w:lang w:val="nl-NL"/>
        </w:rPr>
        <w:t xml:space="preserve"> </w:t>
      </w:r>
      <w:r w:rsidRPr="00A1465E">
        <w:rPr>
          <w:rFonts w:ascii="Verdana" w:hAnsi="Verdana"/>
          <w:bCs/>
          <w:sz w:val="18"/>
          <w:szCs w:val="18"/>
          <w:lang w:val="nl-NL"/>
        </w:rPr>
        <w:t xml:space="preserve">Als gevolg van de bezuinigingen </w:t>
      </w:r>
      <w:r w:rsidRPr="00A1465E" w:rsidR="0010619A">
        <w:rPr>
          <w:rFonts w:ascii="Verdana" w:hAnsi="Verdana"/>
          <w:sz w:val="18"/>
          <w:szCs w:val="18"/>
          <w:lang w:val="nl-NL"/>
        </w:rPr>
        <w:t xml:space="preserve">is </w:t>
      </w:r>
      <w:r w:rsidRPr="00A1465E">
        <w:rPr>
          <w:rFonts w:ascii="Verdana" w:hAnsi="Verdana"/>
          <w:sz w:val="18"/>
          <w:szCs w:val="18"/>
          <w:lang w:val="nl-NL"/>
        </w:rPr>
        <w:t xml:space="preserve">hiervoor </w:t>
      </w:r>
      <w:r w:rsidRPr="00A1465E" w:rsidR="0010619A">
        <w:rPr>
          <w:rFonts w:ascii="Verdana" w:hAnsi="Verdana"/>
          <w:sz w:val="18"/>
          <w:szCs w:val="18"/>
          <w:lang w:val="nl-NL"/>
        </w:rPr>
        <w:t>in 2025, 2026 en 2027 minder budget beschikbaar dan voorheen</w:t>
      </w:r>
      <w:r w:rsidRPr="00A1465E">
        <w:rPr>
          <w:rFonts w:ascii="Verdana" w:hAnsi="Verdana"/>
          <w:sz w:val="18"/>
          <w:szCs w:val="18"/>
          <w:lang w:val="nl-NL"/>
        </w:rPr>
        <w:t>. Dit heeft met name effect op de inzet</w:t>
      </w:r>
      <w:r w:rsidRPr="00A1465E" w:rsidR="0010619A">
        <w:rPr>
          <w:rFonts w:ascii="Verdana" w:hAnsi="Verdana"/>
          <w:sz w:val="18"/>
          <w:szCs w:val="18"/>
          <w:lang w:val="nl-NL"/>
        </w:rPr>
        <w:t xml:space="preserve"> </w:t>
      </w:r>
      <w:r w:rsidRPr="00A1465E">
        <w:rPr>
          <w:rFonts w:ascii="Verdana" w:hAnsi="Verdana"/>
          <w:sz w:val="18"/>
          <w:szCs w:val="18"/>
          <w:lang w:val="nl-NL"/>
        </w:rPr>
        <w:t>gericht op</w:t>
      </w:r>
      <w:r w:rsidRPr="00A1465E" w:rsidR="0010619A">
        <w:rPr>
          <w:rFonts w:ascii="Verdana" w:hAnsi="Verdana"/>
          <w:sz w:val="18"/>
          <w:szCs w:val="18"/>
          <w:lang w:val="nl-NL"/>
        </w:rPr>
        <w:t xml:space="preserve"> toegang tot basisgezondheidszorg</w:t>
      </w:r>
      <w:r w:rsidRPr="00A1465E">
        <w:rPr>
          <w:rFonts w:ascii="Verdana" w:hAnsi="Verdana"/>
          <w:sz w:val="18"/>
          <w:szCs w:val="18"/>
          <w:lang w:val="nl-NL"/>
        </w:rPr>
        <w:t xml:space="preserve"> voor vrouwen en kinderen</w:t>
      </w:r>
      <w:r w:rsidRPr="00A1465E" w:rsidR="0010619A">
        <w:rPr>
          <w:rFonts w:ascii="Verdana" w:hAnsi="Verdana"/>
          <w:sz w:val="18"/>
          <w:szCs w:val="18"/>
          <w:lang w:val="nl-NL"/>
        </w:rPr>
        <w:t xml:space="preserve"> en </w:t>
      </w:r>
      <w:r w:rsidRPr="00A1465E">
        <w:rPr>
          <w:rFonts w:ascii="Verdana" w:hAnsi="Verdana"/>
          <w:sz w:val="18"/>
          <w:szCs w:val="18"/>
          <w:lang w:val="nl-NL"/>
        </w:rPr>
        <w:t xml:space="preserve">het bereiken van </w:t>
      </w:r>
      <w:r w:rsidRPr="00A1465E" w:rsidR="0010619A">
        <w:rPr>
          <w:rFonts w:ascii="Verdana" w:hAnsi="Verdana"/>
          <w:sz w:val="18"/>
          <w:szCs w:val="18"/>
          <w:lang w:val="nl-NL"/>
        </w:rPr>
        <w:t>hoge risicogroepen zoals sekswerkers en jonge meisjes met HIV remmers en preventieve zorg.</w:t>
      </w:r>
      <w:r w:rsidRPr="00A1465E">
        <w:rPr>
          <w:rFonts w:ascii="Verdana" w:hAnsi="Verdana"/>
          <w:sz w:val="18"/>
          <w:szCs w:val="18"/>
          <w:lang w:val="nl-NL"/>
        </w:rPr>
        <w:t xml:space="preserve"> Na 2027 groeit het budget weer. </w:t>
      </w:r>
      <w:r w:rsidRPr="00A1465E" w:rsidR="0010619A">
        <w:rPr>
          <w:rFonts w:ascii="Verdana" w:hAnsi="Verdana"/>
          <w:sz w:val="18"/>
          <w:szCs w:val="18"/>
          <w:lang w:val="nl-NL"/>
        </w:rPr>
        <w:t xml:space="preserve">  </w:t>
      </w:r>
    </w:p>
    <w:p w:rsidRPr="00A1465E" w:rsidR="0090783A" w:rsidP="0090783A" w:rsidRDefault="0090783A" w14:paraId="6736E071" w14:textId="23A595B4">
      <w:r w:rsidRPr="00A1465E">
        <w:t>Voor een aantal onderwerpen wordt het budget verminderd</w:t>
      </w:r>
      <w:r w:rsidRPr="00A1465E" w:rsidR="007A7BC9">
        <w:t xml:space="preserve"> of afgebouwd</w:t>
      </w:r>
      <w:r w:rsidRPr="00A1465E">
        <w:t>:</w:t>
      </w:r>
    </w:p>
    <w:p w:rsidRPr="00A1465E" w:rsidR="0090783A" w:rsidP="00D360EC" w:rsidRDefault="00D360EC" w14:paraId="584C1C47" w14:textId="77777777">
      <w:pPr>
        <w:pStyle w:val="ListParagraph"/>
        <w:numPr>
          <w:ilvl w:val="0"/>
          <w:numId w:val="7"/>
        </w:numPr>
        <w:rPr>
          <w:rFonts w:ascii="Verdana" w:hAnsi="Verdana"/>
          <w:sz w:val="18"/>
          <w:szCs w:val="18"/>
          <w:lang w:val="nl-NL"/>
        </w:rPr>
      </w:pPr>
      <w:r w:rsidRPr="00A1465E">
        <w:rPr>
          <w:rFonts w:ascii="Verdana" w:hAnsi="Verdana"/>
          <w:sz w:val="18"/>
          <w:szCs w:val="18"/>
          <w:lang w:val="nl-NL"/>
        </w:rPr>
        <w:t xml:space="preserve">Als gevolg van de bezuinigingen op </w:t>
      </w:r>
      <w:r w:rsidRPr="00A1465E">
        <w:rPr>
          <w:rFonts w:ascii="Verdana" w:hAnsi="Verdana"/>
          <w:b/>
          <w:sz w:val="18"/>
          <w:szCs w:val="18"/>
          <w:lang w:val="nl-NL"/>
        </w:rPr>
        <w:t>Klimaat</w:t>
      </w:r>
      <w:r w:rsidRPr="00A1465E">
        <w:rPr>
          <w:rFonts w:ascii="Verdana" w:hAnsi="Verdana"/>
          <w:sz w:val="18"/>
          <w:szCs w:val="18"/>
          <w:lang w:val="nl-NL"/>
        </w:rPr>
        <w:t xml:space="preserve"> gaat er in de toekomst geen geld meer naar kleinschalige hernieuwbare energie en regionale klimaatfondsen.</w:t>
      </w:r>
      <w:r w:rsidRPr="00A1465E">
        <w:rPr>
          <w:lang w:val="nl-NL"/>
        </w:rPr>
        <w:t xml:space="preserve"> </w:t>
      </w:r>
      <w:r w:rsidRPr="00A1465E">
        <w:rPr>
          <w:rFonts w:ascii="Verdana" w:hAnsi="Verdana"/>
          <w:sz w:val="18"/>
          <w:szCs w:val="18"/>
          <w:lang w:val="nl-NL"/>
        </w:rPr>
        <w:t xml:space="preserve">Uw Kamer is op 20 februari jl. nader geïnformeerd over de effecten van de bezuinigingen op de in de Internationale Klimaatstrategie genoemde inzet (Kamerstuk 31793, nr. 279). </w:t>
      </w:r>
      <w:r w:rsidRPr="00A1465E" w:rsidR="0090783A">
        <w:rPr>
          <w:rFonts w:ascii="Verdana" w:hAnsi="Verdana"/>
          <w:sz w:val="18"/>
          <w:szCs w:val="18"/>
          <w:lang w:val="nl-NL"/>
        </w:rPr>
        <w:t xml:space="preserve">We blijven ons aandeel aan internationale klimaatfinanciering leveren, o.a. door de financiële inzet op watermanagement en voedselzekerheid ook te richten op het tegengaan van de negatieve gevolgen van klimaatverandering.  </w:t>
      </w:r>
    </w:p>
    <w:p w:rsidRPr="00A1465E" w:rsidR="0090783A" w:rsidP="0090783A" w:rsidRDefault="0090783A" w14:paraId="7AE5C581" w14:textId="33390D4C">
      <w:pPr>
        <w:pStyle w:val="ListParagraph"/>
        <w:numPr>
          <w:ilvl w:val="0"/>
          <w:numId w:val="7"/>
        </w:numPr>
        <w:rPr>
          <w:rFonts w:ascii="Verdana" w:hAnsi="Verdana"/>
          <w:sz w:val="18"/>
          <w:szCs w:val="18"/>
          <w:lang w:val="nl-NL"/>
        </w:rPr>
      </w:pPr>
      <w:r w:rsidRPr="00A1465E">
        <w:rPr>
          <w:rFonts w:ascii="Verdana" w:hAnsi="Verdana"/>
          <w:sz w:val="18"/>
          <w:szCs w:val="18"/>
          <w:lang w:val="nl-NL"/>
        </w:rPr>
        <w:t xml:space="preserve">De komende jaren is minder geld beschikbaar voor het beleidskader voor de samenwerking met het </w:t>
      </w:r>
      <w:r w:rsidRPr="00A1465E">
        <w:rPr>
          <w:rFonts w:ascii="Verdana" w:hAnsi="Verdana"/>
          <w:b/>
          <w:sz w:val="18"/>
          <w:szCs w:val="18"/>
          <w:lang w:val="nl-NL"/>
        </w:rPr>
        <w:t>Maatschappelijk middenveld</w:t>
      </w:r>
      <w:r w:rsidRPr="00A1465E">
        <w:rPr>
          <w:rFonts w:ascii="Verdana" w:hAnsi="Verdana"/>
          <w:sz w:val="18"/>
          <w:szCs w:val="18"/>
          <w:lang w:val="nl-NL"/>
        </w:rPr>
        <w:t xml:space="preserve"> zoals toegelicht in de Kamerbrief Toekomst samenwerking met maatschappelijke organisaties in ontwikkelingshulp (Kamerstuknr. 36600-XVII-13). Als gevolg van het amendement Hirsch en De Korte (Kamerstuknr. 36725-XVII-20) </w:t>
      </w:r>
      <w:r w:rsidRPr="00A1465E" w:rsidR="006D0F64">
        <w:rPr>
          <w:rFonts w:ascii="Verdana" w:hAnsi="Verdana"/>
          <w:sz w:val="18"/>
          <w:szCs w:val="18"/>
          <w:lang w:val="nl-NL"/>
        </w:rPr>
        <w:t>is</w:t>
      </w:r>
      <w:r w:rsidRPr="00A1465E">
        <w:rPr>
          <w:rFonts w:ascii="Verdana" w:hAnsi="Verdana"/>
          <w:sz w:val="18"/>
          <w:szCs w:val="18"/>
          <w:lang w:val="nl-NL"/>
        </w:rPr>
        <w:t xml:space="preserve"> voor het gehele kader (2026-2030) EUR 110 miljoen extra beschikbaar gemaakt om deze bezuinigingen te dempen.  </w:t>
      </w:r>
    </w:p>
    <w:p w:rsidRPr="00A1465E" w:rsidR="0090783A" w:rsidP="0090783A" w:rsidRDefault="0090783A" w14:paraId="5CBB1DB7" w14:textId="7FC2A027">
      <w:pPr>
        <w:pStyle w:val="ListParagraph"/>
        <w:numPr>
          <w:ilvl w:val="0"/>
          <w:numId w:val="7"/>
        </w:numPr>
        <w:rPr>
          <w:rFonts w:ascii="Verdana" w:hAnsi="Verdana"/>
          <w:sz w:val="18"/>
          <w:szCs w:val="18"/>
          <w:lang w:val="nl-NL"/>
        </w:rPr>
      </w:pPr>
      <w:bookmarkStart w:name="_Hlk202358922" w:id="2"/>
      <w:r w:rsidRPr="00A1465E">
        <w:rPr>
          <w:rFonts w:ascii="Verdana" w:hAnsi="Verdana"/>
          <w:sz w:val="18"/>
          <w:szCs w:val="18"/>
          <w:lang w:val="nl-NL"/>
        </w:rPr>
        <w:t xml:space="preserve">Door het dalende bedrag dat beschikbaar is voor </w:t>
      </w:r>
      <w:r w:rsidRPr="00A1465E">
        <w:rPr>
          <w:rFonts w:ascii="Verdana" w:hAnsi="Verdana"/>
          <w:b/>
          <w:sz w:val="18"/>
          <w:szCs w:val="18"/>
          <w:lang w:val="nl-NL"/>
        </w:rPr>
        <w:t>Multilaterale samenwerking</w:t>
      </w:r>
      <w:r w:rsidRPr="00A1465E">
        <w:rPr>
          <w:rFonts w:ascii="Verdana" w:hAnsi="Verdana"/>
          <w:sz w:val="18"/>
          <w:szCs w:val="18"/>
          <w:lang w:val="nl-NL"/>
        </w:rPr>
        <w:t xml:space="preserve"> worden de kernbijdragen aan UNICEF en UNDP gehalveerd ten opzichte van de ontwerpbegroting 2025. Ook is het budget voor het Junior Professional </w:t>
      </w:r>
      <w:proofErr w:type="spellStart"/>
      <w:r w:rsidRPr="00A1465E">
        <w:rPr>
          <w:rFonts w:ascii="Verdana" w:hAnsi="Verdana"/>
          <w:sz w:val="18"/>
          <w:szCs w:val="18"/>
          <w:lang w:val="nl-NL"/>
        </w:rPr>
        <w:t>Officers</w:t>
      </w:r>
      <w:proofErr w:type="spellEnd"/>
      <w:r w:rsidRPr="00A1465E">
        <w:rPr>
          <w:rFonts w:ascii="Verdana" w:hAnsi="Verdana"/>
          <w:sz w:val="18"/>
          <w:szCs w:val="18"/>
          <w:lang w:val="nl-NL"/>
        </w:rPr>
        <w:t xml:space="preserve"> programma met de helft verlaagd.</w:t>
      </w:r>
      <w:r w:rsidRPr="00A1465E" w:rsidR="007A7BC9">
        <w:rPr>
          <w:rFonts w:ascii="Verdana" w:hAnsi="Verdana"/>
          <w:sz w:val="18"/>
          <w:szCs w:val="18"/>
          <w:lang w:val="nl-NL"/>
        </w:rPr>
        <w:t xml:space="preserve"> Wel wordt bijgedragen aan VN-organisaties vanuit de prioritaire thema’s en belangen, wanneer dit het beleid effectiever maakt. </w:t>
      </w:r>
    </w:p>
    <w:p w:rsidRPr="00A1465E" w:rsidR="0090783A" w:rsidP="0090783A" w:rsidRDefault="0090783A" w14:paraId="1B18B225" w14:textId="54533542">
      <w:pPr>
        <w:pStyle w:val="ListParagraph"/>
        <w:numPr>
          <w:ilvl w:val="0"/>
          <w:numId w:val="7"/>
        </w:numPr>
        <w:rPr>
          <w:rFonts w:ascii="Verdana" w:hAnsi="Verdana"/>
          <w:sz w:val="18"/>
          <w:szCs w:val="18"/>
          <w:lang w:val="nl-NL"/>
        </w:rPr>
      </w:pPr>
      <w:r w:rsidRPr="00A1465E">
        <w:rPr>
          <w:rFonts w:ascii="Verdana" w:hAnsi="Verdana"/>
          <w:sz w:val="18"/>
          <w:szCs w:val="18"/>
          <w:lang w:val="nl-NL"/>
        </w:rPr>
        <w:t xml:space="preserve">Wat betreft </w:t>
      </w:r>
      <w:r w:rsidRPr="00A1465E">
        <w:rPr>
          <w:rFonts w:ascii="Verdana" w:hAnsi="Verdana"/>
          <w:b/>
          <w:sz w:val="18"/>
          <w:szCs w:val="18"/>
          <w:lang w:val="nl-NL"/>
        </w:rPr>
        <w:t>Overig armoedebeleid</w:t>
      </w:r>
      <w:r w:rsidRPr="00A1465E">
        <w:rPr>
          <w:rFonts w:ascii="Verdana" w:hAnsi="Verdana"/>
          <w:sz w:val="18"/>
          <w:szCs w:val="18"/>
          <w:lang w:val="nl-NL"/>
        </w:rPr>
        <w:t xml:space="preserve"> is de komende jaren minder budget beschikbaar voor schuldverlichting dan voorgaande jaren. Verder worden de sport en cultuurprogramma's afgebouwd.</w:t>
      </w:r>
    </w:p>
    <w:bookmarkEnd w:id="2"/>
    <w:p w:rsidRPr="00A1465E" w:rsidR="00D360EC" w:rsidP="00D360EC" w:rsidRDefault="00D360EC" w14:paraId="27DC91D5" w14:textId="2AE76ABA">
      <w:pPr>
        <w:pStyle w:val="ListParagraph"/>
        <w:numPr>
          <w:ilvl w:val="0"/>
          <w:numId w:val="7"/>
        </w:numPr>
        <w:rPr>
          <w:rFonts w:ascii="Verdana" w:hAnsi="Verdana"/>
          <w:sz w:val="18"/>
          <w:szCs w:val="18"/>
          <w:lang w:val="nl-NL"/>
        </w:rPr>
      </w:pPr>
      <w:r w:rsidRPr="00A1465E">
        <w:rPr>
          <w:rFonts w:ascii="Verdana" w:hAnsi="Verdana"/>
          <w:sz w:val="18"/>
          <w:szCs w:val="18"/>
          <w:lang w:val="nl-NL"/>
        </w:rPr>
        <w:t xml:space="preserve">Doordat het budget voor </w:t>
      </w:r>
      <w:r w:rsidRPr="00A1465E">
        <w:rPr>
          <w:rFonts w:ascii="Verdana" w:hAnsi="Verdana"/>
          <w:b/>
          <w:sz w:val="18"/>
          <w:szCs w:val="18"/>
          <w:lang w:val="nl-NL"/>
        </w:rPr>
        <w:t xml:space="preserve">Vrouwenrechten en gendergelijkheid </w:t>
      </w:r>
      <w:r w:rsidRPr="00A1465E">
        <w:rPr>
          <w:rFonts w:ascii="Verdana" w:hAnsi="Verdana"/>
          <w:sz w:val="18"/>
          <w:szCs w:val="18"/>
          <w:lang w:val="nl-NL"/>
        </w:rPr>
        <w:t xml:space="preserve">op artikel 3.2 op termijn wordt afgebouwd, vervallen vanaf 2028 o.a. de bijdrage aan UNWOMEN en de instrumenten </w:t>
      </w:r>
      <w:proofErr w:type="spellStart"/>
      <w:r w:rsidRPr="00A1465E">
        <w:rPr>
          <w:rFonts w:ascii="Verdana" w:hAnsi="Verdana"/>
          <w:i/>
          <w:iCs/>
          <w:sz w:val="18"/>
          <w:szCs w:val="18"/>
          <w:lang w:val="nl-NL"/>
        </w:rPr>
        <w:t>Leading</w:t>
      </w:r>
      <w:proofErr w:type="spellEnd"/>
      <w:r w:rsidRPr="00A1465E">
        <w:rPr>
          <w:rFonts w:ascii="Verdana" w:hAnsi="Verdana"/>
          <w:i/>
          <w:iCs/>
          <w:sz w:val="18"/>
          <w:szCs w:val="18"/>
          <w:lang w:val="nl-NL"/>
        </w:rPr>
        <w:t xml:space="preserve"> from the South</w:t>
      </w:r>
      <w:r w:rsidRPr="00A1465E">
        <w:rPr>
          <w:rFonts w:ascii="Verdana" w:hAnsi="Verdana"/>
          <w:sz w:val="18"/>
          <w:szCs w:val="18"/>
          <w:lang w:val="nl-NL"/>
        </w:rPr>
        <w:t xml:space="preserve"> en </w:t>
      </w:r>
      <w:r w:rsidRPr="00A1465E">
        <w:rPr>
          <w:rFonts w:ascii="Verdana" w:hAnsi="Verdana"/>
          <w:i/>
          <w:iCs/>
          <w:sz w:val="18"/>
          <w:szCs w:val="18"/>
          <w:lang w:val="nl-NL"/>
        </w:rPr>
        <w:t>Power of Women</w:t>
      </w:r>
      <w:r w:rsidRPr="00A1465E">
        <w:rPr>
          <w:rFonts w:ascii="Verdana" w:hAnsi="Verdana"/>
          <w:sz w:val="18"/>
          <w:szCs w:val="18"/>
          <w:lang w:val="nl-NL"/>
        </w:rPr>
        <w:t xml:space="preserve"> (voorheen onderdeel van kader Versterking Maatschappelijk Middenveld), waarmee vrouwenrechtenorganisaties in ontwikkelingslanden werden gesteund. Als gevolg van amendement Hirsch (Kamerstuknr. 36725-XVII-21) blijft in 2026 en 2027 geld beschikbaar voor vrouwenrechten en gendergelijkheid.</w:t>
      </w:r>
      <w:r w:rsidRPr="00A1465E" w:rsidR="005C63CD">
        <w:rPr>
          <w:rFonts w:ascii="Verdana" w:hAnsi="Verdana"/>
          <w:sz w:val="18"/>
          <w:szCs w:val="18"/>
          <w:lang w:val="nl-NL"/>
        </w:rPr>
        <w:t xml:space="preserve"> Bovendien wordt vanuit andere begrotingsartikelen bijgedragen aan vrouwenrechten en gendergelijkheid.</w:t>
      </w:r>
      <w:r w:rsidRPr="00A1465E">
        <w:rPr>
          <w:rFonts w:ascii="Verdana" w:hAnsi="Verdana"/>
          <w:sz w:val="18"/>
          <w:szCs w:val="18"/>
          <w:lang w:val="nl-NL"/>
        </w:rPr>
        <w:t xml:space="preserve">  </w:t>
      </w:r>
    </w:p>
    <w:p w:rsidRPr="00A1465E" w:rsidR="00D360EC" w:rsidP="00D360EC" w:rsidRDefault="00D360EC" w14:paraId="6CE97887" w14:textId="77777777">
      <w:pPr>
        <w:pStyle w:val="ListParagraph"/>
        <w:numPr>
          <w:ilvl w:val="0"/>
          <w:numId w:val="7"/>
        </w:numPr>
        <w:rPr>
          <w:rFonts w:ascii="Verdana" w:hAnsi="Verdana"/>
          <w:sz w:val="18"/>
          <w:szCs w:val="18"/>
          <w:lang w:val="nl-NL"/>
        </w:rPr>
      </w:pPr>
      <w:r w:rsidRPr="00A1465E">
        <w:rPr>
          <w:rFonts w:ascii="Verdana" w:hAnsi="Verdana"/>
          <w:sz w:val="18"/>
          <w:szCs w:val="18"/>
          <w:lang w:val="nl-NL"/>
        </w:rPr>
        <w:t xml:space="preserve">Doordat het budget voor </w:t>
      </w:r>
      <w:r w:rsidRPr="00A1465E">
        <w:rPr>
          <w:rFonts w:ascii="Verdana" w:hAnsi="Verdana"/>
          <w:b/>
          <w:sz w:val="18"/>
          <w:szCs w:val="18"/>
          <w:lang w:val="nl-NL"/>
        </w:rPr>
        <w:t xml:space="preserve">Onderwijs </w:t>
      </w:r>
      <w:r w:rsidRPr="00A1465E">
        <w:rPr>
          <w:rFonts w:ascii="Verdana" w:hAnsi="Verdana"/>
          <w:sz w:val="18"/>
          <w:szCs w:val="18"/>
          <w:lang w:val="nl-NL"/>
        </w:rPr>
        <w:t xml:space="preserve">wordt afgebouwd, is geen geld beschikbaar voor het langjarige beroeps- en hoger onderwijsprogramma in Afrika dat was voorzien.  </w:t>
      </w:r>
    </w:p>
    <w:p w:rsidR="00D360EC" w:rsidRDefault="00D360EC" w14:paraId="3929204A" w14:textId="77777777"/>
    <w:sectPr w:rsidR="00D360EC" w:rsidSect="00A1465E">
      <w:headerReference w:type="default"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84B4" w14:textId="77777777" w:rsidR="0053652C" w:rsidRDefault="0053652C">
      <w:pPr>
        <w:spacing w:line="240" w:lineRule="auto"/>
      </w:pPr>
      <w:r>
        <w:separator/>
      </w:r>
    </w:p>
  </w:endnote>
  <w:endnote w:type="continuationSeparator" w:id="0">
    <w:p w14:paraId="35C71B6C" w14:textId="77777777" w:rsidR="0053652C" w:rsidRDefault="0053652C">
      <w:pPr>
        <w:spacing w:line="240" w:lineRule="auto"/>
      </w:pPr>
      <w:r>
        <w:continuationSeparator/>
      </w:r>
    </w:p>
  </w:endnote>
  <w:endnote w:type="continuationNotice" w:id="1">
    <w:p w14:paraId="1F29FA1D" w14:textId="77777777" w:rsidR="0053652C" w:rsidRDefault="00536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935047"/>
      <w:docPartObj>
        <w:docPartGallery w:val="Page Numbers (Bottom of Page)"/>
        <w:docPartUnique/>
      </w:docPartObj>
    </w:sdtPr>
    <w:sdtEndPr/>
    <w:sdtContent>
      <w:p w14:paraId="76F8617C" w14:textId="2DA1B02B" w:rsidR="0059217C" w:rsidRDefault="0059217C">
        <w:pPr>
          <w:pStyle w:val="Footer"/>
          <w:jc w:val="center"/>
        </w:pPr>
        <w:r>
          <w:fldChar w:fldCharType="begin"/>
        </w:r>
        <w:r>
          <w:instrText>PAGE   \* MERGEFORMAT</w:instrText>
        </w:r>
        <w:r>
          <w:fldChar w:fldCharType="separate"/>
        </w:r>
        <w:r>
          <w:t>2</w:t>
        </w:r>
        <w:r>
          <w:fldChar w:fldCharType="end"/>
        </w:r>
      </w:p>
    </w:sdtContent>
  </w:sdt>
  <w:p w14:paraId="23F500E9" w14:textId="77777777" w:rsidR="00785877" w:rsidRDefault="00785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40062"/>
      <w:docPartObj>
        <w:docPartGallery w:val="Page Numbers (Bottom of Page)"/>
        <w:docPartUnique/>
      </w:docPartObj>
    </w:sdtPr>
    <w:sdtEndPr/>
    <w:sdtContent>
      <w:p w14:paraId="1ED23921" w14:textId="7C417B97" w:rsidR="00BA0AE6" w:rsidRDefault="00BA0AE6">
        <w:pPr>
          <w:pStyle w:val="Footer"/>
          <w:jc w:val="center"/>
        </w:pPr>
        <w:r>
          <w:fldChar w:fldCharType="begin"/>
        </w:r>
        <w:r>
          <w:instrText>PAGE   \* MERGEFORMAT</w:instrText>
        </w:r>
        <w:r>
          <w:fldChar w:fldCharType="separate"/>
        </w:r>
        <w:r>
          <w:t>2</w:t>
        </w:r>
        <w:r>
          <w:fldChar w:fldCharType="end"/>
        </w:r>
      </w:p>
    </w:sdtContent>
  </w:sdt>
  <w:p w14:paraId="7F151134" w14:textId="77777777" w:rsidR="00BA0AE6" w:rsidRDefault="00BA0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F6AF" w14:textId="77777777" w:rsidR="0053652C" w:rsidRDefault="0053652C">
      <w:pPr>
        <w:spacing w:line="240" w:lineRule="auto"/>
      </w:pPr>
      <w:r>
        <w:separator/>
      </w:r>
    </w:p>
  </w:footnote>
  <w:footnote w:type="continuationSeparator" w:id="0">
    <w:p w14:paraId="0FB8E02A" w14:textId="77777777" w:rsidR="0053652C" w:rsidRDefault="0053652C">
      <w:pPr>
        <w:spacing w:line="240" w:lineRule="auto"/>
      </w:pPr>
      <w:r>
        <w:continuationSeparator/>
      </w:r>
    </w:p>
  </w:footnote>
  <w:footnote w:type="continuationNotice" w:id="1">
    <w:p w14:paraId="3A08AFED" w14:textId="77777777" w:rsidR="0053652C" w:rsidRDefault="0053652C">
      <w:pPr>
        <w:spacing w:line="240" w:lineRule="auto"/>
      </w:pPr>
    </w:p>
  </w:footnote>
  <w:footnote w:id="2">
    <w:p w14:paraId="028D288E" w14:textId="385478F2" w:rsidR="000F29C6" w:rsidRPr="00186E8F" w:rsidRDefault="000F29C6" w:rsidP="000F29C6">
      <w:pPr>
        <w:pStyle w:val="FootnoteText"/>
        <w:rPr>
          <w:rFonts w:ascii="Verdana" w:hAnsi="Verdana"/>
          <w:sz w:val="14"/>
          <w:szCs w:val="14"/>
        </w:rPr>
      </w:pPr>
      <w:r w:rsidRPr="00186E8F">
        <w:rPr>
          <w:rStyle w:val="FootnoteReference"/>
          <w:rFonts w:ascii="Verdana" w:hAnsi="Verdana"/>
          <w:sz w:val="14"/>
          <w:szCs w:val="14"/>
        </w:rPr>
        <w:footnoteRef/>
      </w:r>
      <w:r w:rsidRPr="00186E8F">
        <w:rPr>
          <w:rFonts w:ascii="Verdana" w:hAnsi="Verdana"/>
          <w:sz w:val="14"/>
          <w:szCs w:val="14"/>
        </w:rPr>
        <w:t xml:space="preserve"> OECD (2025), “Cuts in official development assistance: OECD projections for 2025 and the near term”, </w:t>
      </w:r>
      <w:r w:rsidRPr="00186E8F">
        <w:rPr>
          <w:rFonts w:ascii="Verdana" w:hAnsi="Verdana"/>
          <w:i/>
          <w:iCs/>
          <w:sz w:val="14"/>
          <w:szCs w:val="14"/>
        </w:rPr>
        <w:t>OECD Policy Briefs</w:t>
      </w:r>
      <w:r w:rsidRPr="00186E8F">
        <w:rPr>
          <w:rFonts w:ascii="Verdana" w:hAnsi="Verdana"/>
          <w:sz w:val="14"/>
          <w:szCs w:val="14"/>
        </w:rPr>
        <w:t>, OECD Publishing, Paris, </w:t>
      </w:r>
      <w:hyperlink r:id="rId1" w:history="1">
        <w:r w:rsidRPr="00186E8F">
          <w:rPr>
            <w:rStyle w:val="Hyperlink"/>
            <w:rFonts w:ascii="Verdana" w:hAnsi="Verdana"/>
            <w:sz w:val="14"/>
            <w:szCs w:val="14"/>
          </w:rPr>
          <w:t>https://doi.org/10.1787/8c530629-en</w:t>
        </w:r>
      </w:hyperlink>
      <w:r w:rsidRPr="00186E8F">
        <w:rPr>
          <w:rFonts w:ascii="Verdana" w:hAnsi="Verdana"/>
          <w:sz w:val="14"/>
          <w:szCs w:val="14"/>
        </w:rPr>
        <w:t>.</w:t>
      </w:r>
    </w:p>
  </w:footnote>
  <w:footnote w:id="3">
    <w:p w14:paraId="0DC5BC66" w14:textId="0AFE99BE" w:rsidR="00026B5C" w:rsidRPr="00E35FB7" w:rsidRDefault="00026B5C" w:rsidP="00026B5C">
      <w:pPr>
        <w:pStyle w:val="FootnoteText"/>
        <w:rPr>
          <w:lang w:val="nl-NL"/>
        </w:rPr>
      </w:pPr>
      <w:r w:rsidRPr="00186E8F">
        <w:rPr>
          <w:rStyle w:val="FootnoteReference"/>
          <w:rFonts w:ascii="Verdana" w:hAnsi="Verdana"/>
          <w:sz w:val="14"/>
          <w:szCs w:val="14"/>
        </w:rPr>
        <w:footnoteRef/>
      </w:r>
      <w:r w:rsidRPr="00186E8F">
        <w:rPr>
          <w:rFonts w:ascii="Verdana" w:hAnsi="Verdana"/>
          <w:sz w:val="14"/>
          <w:szCs w:val="14"/>
          <w:lang w:val="nl-NL"/>
        </w:rPr>
        <w:t xml:space="preserve"> De volgende DAC-donoren hebben bezuinigingen aangekondigd </w:t>
      </w:r>
      <w:r w:rsidR="002B6AA9">
        <w:rPr>
          <w:rFonts w:ascii="Verdana" w:hAnsi="Verdana"/>
          <w:sz w:val="14"/>
          <w:szCs w:val="14"/>
          <w:lang w:val="nl-NL"/>
        </w:rPr>
        <w:t>voor</w:t>
      </w:r>
      <w:r w:rsidRPr="00186E8F">
        <w:rPr>
          <w:rFonts w:ascii="Verdana" w:hAnsi="Verdana"/>
          <w:sz w:val="14"/>
          <w:szCs w:val="14"/>
          <w:lang w:val="nl-NL"/>
        </w:rPr>
        <w:t xml:space="preserve"> hun 2025-2027 ODA budgetten: België,</w:t>
      </w:r>
      <w:r w:rsidR="000107B9">
        <w:rPr>
          <w:rFonts w:ascii="Verdana" w:hAnsi="Verdana"/>
          <w:sz w:val="14"/>
          <w:szCs w:val="14"/>
          <w:lang w:val="nl-NL"/>
        </w:rPr>
        <w:t xml:space="preserve"> Duitsland,</w:t>
      </w:r>
      <w:r w:rsidRPr="00186E8F">
        <w:rPr>
          <w:rFonts w:ascii="Verdana" w:hAnsi="Verdana"/>
          <w:sz w:val="14"/>
          <w:szCs w:val="14"/>
          <w:lang w:val="nl-NL"/>
        </w:rPr>
        <w:t xml:space="preserve"> Finland, Frankrijk, Nederland, Nieuw-Zeeland,</w:t>
      </w:r>
      <w:r w:rsidR="000107B9" w:rsidRPr="000107B9">
        <w:rPr>
          <w:rFonts w:ascii="Verdana" w:hAnsi="Verdana"/>
          <w:sz w:val="14"/>
          <w:szCs w:val="14"/>
          <w:lang w:val="nl-NL"/>
        </w:rPr>
        <w:t xml:space="preserve"> </w:t>
      </w:r>
      <w:r w:rsidR="000107B9" w:rsidRPr="00186E8F">
        <w:rPr>
          <w:rFonts w:ascii="Verdana" w:hAnsi="Verdana"/>
          <w:sz w:val="14"/>
          <w:szCs w:val="14"/>
          <w:lang w:val="nl-NL"/>
        </w:rPr>
        <w:t>Oostenrijk, het Verenigd Koninkrijk</w:t>
      </w:r>
      <w:r w:rsidR="000107B9">
        <w:rPr>
          <w:rFonts w:ascii="Verdana" w:hAnsi="Verdana"/>
          <w:sz w:val="14"/>
          <w:szCs w:val="14"/>
          <w:lang w:val="nl-NL"/>
        </w:rPr>
        <w:t xml:space="preserve">, </w:t>
      </w:r>
      <w:r w:rsidR="000107B9" w:rsidRPr="00186E8F">
        <w:rPr>
          <w:rFonts w:ascii="Verdana" w:hAnsi="Verdana"/>
          <w:sz w:val="14"/>
          <w:szCs w:val="14"/>
          <w:lang w:val="nl-NL"/>
        </w:rPr>
        <w:t>de Verenigde Staten</w:t>
      </w:r>
      <w:r w:rsidR="000107B9">
        <w:rPr>
          <w:rFonts w:ascii="Verdana" w:hAnsi="Verdana"/>
          <w:sz w:val="14"/>
          <w:szCs w:val="14"/>
          <w:lang w:val="nl-NL"/>
        </w:rPr>
        <w:t>,</w:t>
      </w:r>
      <w:r w:rsidR="000107B9" w:rsidRPr="00186E8F">
        <w:rPr>
          <w:rFonts w:ascii="Verdana" w:hAnsi="Verdana"/>
          <w:sz w:val="14"/>
          <w:szCs w:val="14"/>
          <w:lang w:val="nl-NL"/>
        </w:rPr>
        <w:t xml:space="preserve"> </w:t>
      </w:r>
      <w:r w:rsidRPr="00186E8F">
        <w:rPr>
          <w:rFonts w:ascii="Verdana" w:hAnsi="Verdana"/>
          <w:sz w:val="14"/>
          <w:szCs w:val="14"/>
          <w:lang w:val="nl-NL"/>
        </w:rPr>
        <w:t>Zweden</w:t>
      </w:r>
      <w:r w:rsidR="000107B9">
        <w:rPr>
          <w:rFonts w:ascii="Verdana" w:hAnsi="Verdana"/>
          <w:sz w:val="14"/>
          <w:szCs w:val="14"/>
          <w:lang w:val="nl-NL"/>
        </w:rPr>
        <w:t xml:space="preserve"> en </w:t>
      </w:r>
      <w:r w:rsidRPr="00186E8F">
        <w:rPr>
          <w:rFonts w:ascii="Verdana" w:hAnsi="Verdana"/>
          <w:sz w:val="14"/>
          <w:szCs w:val="14"/>
          <w:lang w:val="nl-NL"/>
        </w:rPr>
        <w:t>Zwitserland</w:t>
      </w:r>
      <w:r w:rsidR="000107B9">
        <w:rPr>
          <w:rFonts w:ascii="Verdana" w:hAnsi="Verdana"/>
          <w:sz w:val="14"/>
          <w:szCs w:val="14"/>
          <w:lang w:val="nl-NL"/>
        </w:rPr>
        <w:t>.</w:t>
      </w:r>
    </w:p>
  </w:footnote>
  <w:footnote w:id="4">
    <w:p w14:paraId="6336ABB7" w14:textId="77777777" w:rsidR="00B65074" w:rsidRPr="00ED6A53" w:rsidRDefault="00B65074" w:rsidP="00B65074">
      <w:pPr>
        <w:pStyle w:val="FootnoteText"/>
        <w:rPr>
          <w:rFonts w:ascii="Verdana" w:hAnsi="Verdana"/>
          <w:sz w:val="16"/>
          <w:szCs w:val="16"/>
          <w:lang w:val="nl-NL"/>
        </w:rPr>
      </w:pPr>
      <w:r w:rsidRPr="00ED6A53">
        <w:rPr>
          <w:rStyle w:val="FootnoteReference"/>
          <w:rFonts w:ascii="Verdana" w:hAnsi="Verdana"/>
          <w:sz w:val="16"/>
          <w:szCs w:val="16"/>
        </w:rPr>
        <w:footnoteRef/>
      </w:r>
      <w:r w:rsidRPr="00ED6A53">
        <w:rPr>
          <w:rFonts w:ascii="Verdana" w:hAnsi="Verdana"/>
          <w:sz w:val="16"/>
          <w:szCs w:val="16"/>
          <w:lang w:val="nl-NL"/>
        </w:rPr>
        <w:t xml:space="preserve"> Tot en met 2024 gaat het om realisaties, vanaf 2025 om de verwachte prestatie.</w:t>
      </w:r>
    </w:p>
  </w:footnote>
  <w:footnote w:id="5">
    <w:p w14:paraId="6905135C" w14:textId="77777777" w:rsidR="00D360EC" w:rsidRPr="00186E8F" w:rsidRDefault="00D360EC" w:rsidP="00D360EC">
      <w:pPr>
        <w:pStyle w:val="FootnoteText"/>
        <w:rPr>
          <w:rFonts w:ascii="Verdana" w:hAnsi="Verdana"/>
          <w:lang w:val="nl-NL"/>
        </w:rPr>
      </w:pPr>
      <w:r w:rsidRPr="00ED6A53">
        <w:rPr>
          <w:rStyle w:val="FootnoteReference"/>
          <w:rFonts w:ascii="Verdana" w:hAnsi="Verdana"/>
          <w:sz w:val="16"/>
          <w:szCs w:val="16"/>
        </w:rPr>
        <w:footnoteRef/>
      </w:r>
      <w:r w:rsidRPr="00ED6A53">
        <w:rPr>
          <w:rFonts w:ascii="Verdana" w:hAnsi="Verdana"/>
          <w:sz w:val="16"/>
          <w:szCs w:val="16"/>
          <w:lang w:val="nl-NL"/>
        </w:rPr>
        <w:t xml:space="preserve"> Tot en met 2024 gaat het om realisaties, vanaf 2025 om ramingen (stand 1</w:t>
      </w:r>
      <w:r w:rsidRPr="00ED6A53">
        <w:rPr>
          <w:rFonts w:ascii="Verdana" w:hAnsi="Verdana"/>
          <w:sz w:val="16"/>
          <w:szCs w:val="16"/>
          <w:vertAlign w:val="superscript"/>
          <w:lang w:val="nl-NL"/>
        </w:rPr>
        <w:t>e</w:t>
      </w:r>
      <w:r w:rsidRPr="00ED6A53">
        <w:rPr>
          <w:rFonts w:ascii="Verdana" w:hAnsi="Verdana"/>
          <w:sz w:val="16"/>
          <w:szCs w:val="16"/>
          <w:lang w:val="nl-NL"/>
        </w:rPr>
        <w:t xml:space="preserve"> suppletoire begroting 2025). De bedragen zijn in lopende prijzen (incl. inflatiecorrectie).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1041" w14:textId="5CEE210B" w:rsidR="0042635B" w:rsidRDefault="006C61CA">
    <w:r>
      <w:rPr>
        <w:noProof/>
      </w:rPr>
      <mc:AlternateContent>
        <mc:Choice Requires="wps">
          <w:drawing>
            <wp:anchor distT="0" distB="0" distL="0" distR="0" simplePos="0" relativeHeight="251658240" behindDoc="0" locked="1" layoutInCell="1" allowOverlap="1" wp14:anchorId="58E41045" wp14:editId="22236E74">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58E41073" w14:textId="77777777" w:rsidR="0042635B" w:rsidRDefault="006C61CA">
                          <w:pPr>
                            <w:pStyle w:val="Referentiegegevensbold"/>
                          </w:pPr>
                          <w:r>
                            <w:t>Ministerie van Buitenlandse Zaken</w:t>
                          </w:r>
                        </w:p>
                        <w:p w14:paraId="58E41074" w14:textId="77777777" w:rsidR="0042635B" w:rsidRDefault="0042635B">
                          <w:pPr>
                            <w:pStyle w:val="WitregelW2"/>
                          </w:pPr>
                        </w:p>
                        <w:p w14:paraId="58E41075" w14:textId="77777777" w:rsidR="0042635B" w:rsidRDefault="006C61CA">
                          <w:pPr>
                            <w:pStyle w:val="Referentiegegevensbold"/>
                          </w:pPr>
                          <w:r>
                            <w:t>Onze referentie</w:t>
                          </w:r>
                        </w:p>
                        <w:p w14:paraId="2CE4C32D" w14:textId="77777777" w:rsidR="00BA0AE6" w:rsidRDefault="00BA0AE6" w:rsidP="00BA0AE6">
                          <w:pPr>
                            <w:pStyle w:val="Referentiegegevens"/>
                          </w:pPr>
                          <w:r>
                            <w:t>BZ2518397</w:t>
                          </w:r>
                        </w:p>
                        <w:p w14:paraId="58E41076" w14:textId="59AF15D0" w:rsidR="0042635B" w:rsidRDefault="0042635B" w:rsidP="00BA0AE6">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58E41045"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58E41073" w14:textId="77777777" w:rsidR="0042635B" w:rsidRDefault="006C61CA">
                    <w:pPr>
                      <w:pStyle w:val="Referentiegegevensbold"/>
                    </w:pPr>
                    <w:r>
                      <w:t>Ministerie van Buitenlandse Zaken</w:t>
                    </w:r>
                  </w:p>
                  <w:p w14:paraId="58E41074" w14:textId="77777777" w:rsidR="0042635B" w:rsidRDefault="0042635B">
                    <w:pPr>
                      <w:pStyle w:val="WitregelW2"/>
                    </w:pPr>
                  </w:p>
                  <w:p w14:paraId="58E41075" w14:textId="77777777" w:rsidR="0042635B" w:rsidRDefault="006C61CA">
                    <w:pPr>
                      <w:pStyle w:val="Referentiegegevensbold"/>
                    </w:pPr>
                    <w:r>
                      <w:t>Onze referentie</w:t>
                    </w:r>
                  </w:p>
                  <w:p w14:paraId="2CE4C32D" w14:textId="77777777" w:rsidR="00BA0AE6" w:rsidRDefault="00BA0AE6" w:rsidP="00BA0AE6">
                    <w:pPr>
                      <w:pStyle w:val="Referentiegegevens"/>
                    </w:pPr>
                    <w:r>
                      <w:t>BZ2518397</w:t>
                    </w:r>
                  </w:p>
                  <w:p w14:paraId="58E41076" w14:textId="59AF15D0" w:rsidR="0042635B" w:rsidRDefault="0042635B" w:rsidP="00BA0AE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8E41049" wp14:editId="3A1FD75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E41084" w14:textId="77777777" w:rsidR="006C61CA" w:rsidRDefault="006C61CA"/>
                      </w:txbxContent>
                    </wps:txbx>
                    <wps:bodyPr vert="horz" wrap="square" lIns="0" tIns="0" rIns="0" bIns="0" anchor="t" anchorCtr="0"/>
                  </wps:wsp>
                </a:graphicData>
              </a:graphic>
            </wp:anchor>
          </w:drawing>
        </mc:Choice>
        <mc:Fallback>
          <w:pict>
            <v:shape w14:anchorId="58E4104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8E41084" w14:textId="77777777" w:rsidR="006C61CA" w:rsidRDefault="006C61C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1043" w14:textId="47F52660" w:rsidR="0042635B" w:rsidRDefault="006C61CA">
    <w:pPr>
      <w:spacing w:after="7131" w:line="14" w:lineRule="exact"/>
    </w:pPr>
    <w:r>
      <w:rPr>
        <w:noProof/>
      </w:rPr>
      <mc:AlternateContent>
        <mc:Choice Requires="wps">
          <w:drawing>
            <wp:anchor distT="0" distB="0" distL="0" distR="0" simplePos="0" relativeHeight="251658243" behindDoc="0" locked="1" layoutInCell="1" allowOverlap="1" wp14:anchorId="58E4104B" wp14:editId="58E4104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8E41078" w14:textId="77777777" w:rsidR="006C61CA" w:rsidRDefault="006C61CA"/>
                      </w:txbxContent>
                    </wps:txbx>
                    <wps:bodyPr vert="horz" wrap="square" lIns="0" tIns="0" rIns="0" bIns="0" anchor="t" anchorCtr="0"/>
                  </wps:wsp>
                </a:graphicData>
              </a:graphic>
            </wp:anchor>
          </w:drawing>
        </mc:Choice>
        <mc:Fallback>
          <w:pict>
            <v:shapetype w14:anchorId="58E4104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8E41078" w14:textId="77777777" w:rsidR="006C61CA" w:rsidRDefault="006C61C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8E4104D" wp14:editId="58E4104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609938" w14:textId="1B08FA41" w:rsidR="00E00C2D" w:rsidRDefault="00BA0AE6" w:rsidP="00E00C2D">
                          <w:r>
                            <w:t>A</w:t>
                          </w:r>
                          <w:r w:rsidR="00E00C2D" w:rsidRPr="00E00C2D">
                            <w:t xml:space="preserve">an de Voorzitter van de </w:t>
                          </w:r>
                        </w:p>
                        <w:p w14:paraId="18ED5DCE" w14:textId="612FF897" w:rsidR="00E00C2D" w:rsidRDefault="00E00C2D" w:rsidP="00E00C2D">
                          <w:r w:rsidRPr="00E00C2D">
                            <w:t xml:space="preserve">Tweede Kamer der Staten-Generaal </w:t>
                          </w:r>
                        </w:p>
                        <w:p w14:paraId="2404A4B8" w14:textId="77777777" w:rsidR="00E00C2D" w:rsidRDefault="00E00C2D" w:rsidP="00E00C2D">
                          <w:r w:rsidRPr="00E00C2D">
                            <w:t xml:space="preserve">Prinses Irenestraat 6 </w:t>
                          </w:r>
                        </w:p>
                        <w:p w14:paraId="3E5FE1D0" w14:textId="65345743" w:rsidR="00E00C2D" w:rsidRPr="00E00C2D" w:rsidRDefault="00E00C2D" w:rsidP="00E00C2D">
                          <w:r w:rsidRPr="00E00C2D">
                            <w:t>Den Haag</w:t>
                          </w:r>
                        </w:p>
                      </w:txbxContent>
                    </wps:txbx>
                    <wps:bodyPr vert="horz" wrap="square" lIns="0" tIns="0" rIns="0" bIns="0" anchor="t" anchorCtr="0"/>
                  </wps:wsp>
                </a:graphicData>
              </a:graphic>
            </wp:anchor>
          </w:drawing>
        </mc:Choice>
        <mc:Fallback>
          <w:pict>
            <v:shape w14:anchorId="58E4104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8609938" w14:textId="1B08FA41" w:rsidR="00E00C2D" w:rsidRDefault="00BA0AE6" w:rsidP="00E00C2D">
                    <w:r>
                      <w:t>A</w:t>
                    </w:r>
                    <w:r w:rsidR="00E00C2D" w:rsidRPr="00E00C2D">
                      <w:t xml:space="preserve">an de Voorzitter van de </w:t>
                    </w:r>
                  </w:p>
                  <w:p w14:paraId="18ED5DCE" w14:textId="612FF897" w:rsidR="00E00C2D" w:rsidRDefault="00E00C2D" w:rsidP="00E00C2D">
                    <w:r w:rsidRPr="00E00C2D">
                      <w:t xml:space="preserve">Tweede Kamer der Staten-Generaal </w:t>
                    </w:r>
                  </w:p>
                  <w:p w14:paraId="2404A4B8" w14:textId="77777777" w:rsidR="00E00C2D" w:rsidRDefault="00E00C2D" w:rsidP="00E00C2D">
                    <w:r w:rsidRPr="00E00C2D">
                      <w:t xml:space="preserve">Prinses Irenestraat 6 </w:t>
                    </w:r>
                  </w:p>
                  <w:p w14:paraId="3E5FE1D0" w14:textId="65345743" w:rsidR="00E00C2D" w:rsidRPr="00E00C2D" w:rsidRDefault="00E00C2D" w:rsidP="00E00C2D">
                    <w:r w:rsidRPr="00E00C2D">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8E4104F" wp14:editId="58E4105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2635B" w14:paraId="58E4105E" w14:textId="77777777">
                            <w:tc>
                              <w:tcPr>
                                <w:tcW w:w="678" w:type="dxa"/>
                              </w:tcPr>
                              <w:p w14:paraId="58E4105C" w14:textId="77777777" w:rsidR="0042635B" w:rsidRDefault="006C61CA">
                                <w:r>
                                  <w:t>Datum</w:t>
                                </w:r>
                              </w:p>
                            </w:tc>
                            <w:tc>
                              <w:tcPr>
                                <w:tcW w:w="6851" w:type="dxa"/>
                              </w:tcPr>
                              <w:p w14:paraId="58E4105D" w14:textId="0DCB9A34" w:rsidR="0042635B" w:rsidRDefault="00BA0AE6">
                                <w:r>
                                  <w:t xml:space="preserve"> </w:t>
                                </w:r>
                                <w:r w:rsidR="00430C03">
                                  <w:t>19</w:t>
                                </w:r>
                                <w:r>
                                  <w:t xml:space="preserve"> </w:t>
                                </w:r>
                                <w:r w:rsidR="009C0EDF">
                                  <w:t>september</w:t>
                                </w:r>
                                <w:r w:rsidR="002A7534">
                                  <w:t xml:space="preserve"> 2025</w:t>
                                </w:r>
                              </w:p>
                            </w:tc>
                          </w:tr>
                          <w:tr w:rsidR="0042635B" w14:paraId="58E41063" w14:textId="77777777">
                            <w:tc>
                              <w:tcPr>
                                <w:tcW w:w="678" w:type="dxa"/>
                              </w:tcPr>
                              <w:p w14:paraId="58E4105F" w14:textId="77777777" w:rsidR="0042635B" w:rsidRDefault="006C61CA">
                                <w:r>
                                  <w:t>Betreft</w:t>
                                </w:r>
                              </w:p>
                              <w:p w14:paraId="58E41060" w14:textId="77777777" w:rsidR="0042635B" w:rsidRDefault="0042635B"/>
                            </w:tc>
                            <w:tc>
                              <w:tcPr>
                                <w:tcW w:w="6851" w:type="dxa"/>
                              </w:tcPr>
                              <w:p w14:paraId="58E41061" w14:textId="34AB5A6F" w:rsidR="0042635B" w:rsidRDefault="00E73E44">
                                <w:r>
                                  <w:t xml:space="preserve"> </w:t>
                                </w:r>
                                <w:r w:rsidR="006C61CA">
                                  <w:t>Effecten bezuinigingen</w:t>
                                </w:r>
                              </w:p>
                              <w:p w14:paraId="58E41062" w14:textId="77777777" w:rsidR="0042635B" w:rsidRDefault="0042635B"/>
                            </w:tc>
                          </w:tr>
                        </w:tbl>
                        <w:p w14:paraId="58E41064" w14:textId="77777777" w:rsidR="0042635B" w:rsidRDefault="0042635B"/>
                        <w:p w14:paraId="58E41065" w14:textId="77777777" w:rsidR="0042635B" w:rsidRDefault="0042635B"/>
                      </w:txbxContent>
                    </wps:txbx>
                    <wps:bodyPr vert="horz" wrap="square" lIns="0" tIns="0" rIns="0" bIns="0" anchor="t" anchorCtr="0"/>
                  </wps:wsp>
                </a:graphicData>
              </a:graphic>
            </wp:anchor>
          </w:drawing>
        </mc:Choice>
        <mc:Fallback>
          <w:pict>
            <v:shape w14:anchorId="58E4104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2635B" w14:paraId="58E4105E" w14:textId="77777777">
                      <w:tc>
                        <w:tcPr>
                          <w:tcW w:w="678" w:type="dxa"/>
                        </w:tcPr>
                        <w:p w14:paraId="58E4105C" w14:textId="77777777" w:rsidR="0042635B" w:rsidRDefault="006C61CA">
                          <w:r>
                            <w:t>Datum</w:t>
                          </w:r>
                        </w:p>
                      </w:tc>
                      <w:tc>
                        <w:tcPr>
                          <w:tcW w:w="6851" w:type="dxa"/>
                        </w:tcPr>
                        <w:p w14:paraId="58E4105D" w14:textId="0DCB9A34" w:rsidR="0042635B" w:rsidRDefault="00BA0AE6">
                          <w:r>
                            <w:t xml:space="preserve"> </w:t>
                          </w:r>
                          <w:r w:rsidR="00430C03">
                            <w:t>19</w:t>
                          </w:r>
                          <w:r>
                            <w:t xml:space="preserve"> </w:t>
                          </w:r>
                          <w:r w:rsidR="009C0EDF">
                            <w:t>september</w:t>
                          </w:r>
                          <w:r w:rsidR="002A7534">
                            <w:t xml:space="preserve"> 2025</w:t>
                          </w:r>
                        </w:p>
                      </w:tc>
                    </w:tr>
                    <w:tr w:rsidR="0042635B" w14:paraId="58E41063" w14:textId="77777777">
                      <w:tc>
                        <w:tcPr>
                          <w:tcW w:w="678" w:type="dxa"/>
                        </w:tcPr>
                        <w:p w14:paraId="58E4105F" w14:textId="77777777" w:rsidR="0042635B" w:rsidRDefault="006C61CA">
                          <w:r>
                            <w:t>Betreft</w:t>
                          </w:r>
                        </w:p>
                        <w:p w14:paraId="58E41060" w14:textId="77777777" w:rsidR="0042635B" w:rsidRDefault="0042635B"/>
                      </w:tc>
                      <w:tc>
                        <w:tcPr>
                          <w:tcW w:w="6851" w:type="dxa"/>
                        </w:tcPr>
                        <w:p w14:paraId="58E41061" w14:textId="34AB5A6F" w:rsidR="0042635B" w:rsidRDefault="00E73E44">
                          <w:r>
                            <w:t xml:space="preserve"> </w:t>
                          </w:r>
                          <w:r w:rsidR="006C61CA">
                            <w:t>Effecten bezuinigingen</w:t>
                          </w:r>
                        </w:p>
                        <w:p w14:paraId="58E41062" w14:textId="77777777" w:rsidR="0042635B" w:rsidRDefault="0042635B"/>
                      </w:tc>
                    </w:tr>
                  </w:tbl>
                  <w:p w14:paraId="58E41064" w14:textId="77777777" w:rsidR="0042635B" w:rsidRDefault="0042635B"/>
                  <w:p w14:paraId="58E41065" w14:textId="77777777" w:rsidR="0042635B" w:rsidRDefault="0042635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8E41051" wp14:editId="4BF6416C">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58E41066" w14:textId="77777777" w:rsidR="0042635B" w:rsidRDefault="006C61CA">
                          <w:pPr>
                            <w:pStyle w:val="Referentiegegevensbold"/>
                          </w:pPr>
                          <w:r>
                            <w:t>Ministerie van Buitenlandse Zaken</w:t>
                          </w:r>
                        </w:p>
                        <w:p w14:paraId="7D68A5A6" w14:textId="77777777" w:rsidR="0060064D" w:rsidRPr="00EE5E5D" w:rsidRDefault="0060064D" w:rsidP="0060064D">
                          <w:pPr>
                            <w:rPr>
                              <w:sz w:val="13"/>
                              <w:szCs w:val="13"/>
                            </w:rPr>
                          </w:pPr>
                          <w:r>
                            <w:rPr>
                              <w:sz w:val="13"/>
                              <w:szCs w:val="13"/>
                            </w:rPr>
                            <w:t>Rijnstraat 8</w:t>
                          </w:r>
                        </w:p>
                        <w:p w14:paraId="32A7C931" w14:textId="77777777" w:rsidR="0060064D" w:rsidRPr="009400E1" w:rsidRDefault="0060064D" w:rsidP="0060064D">
                          <w:pPr>
                            <w:rPr>
                              <w:sz w:val="13"/>
                              <w:szCs w:val="13"/>
                              <w:lang w:val="da-DK"/>
                            </w:rPr>
                          </w:pPr>
                          <w:r w:rsidRPr="009400E1">
                            <w:rPr>
                              <w:sz w:val="13"/>
                              <w:szCs w:val="13"/>
                              <w:lang w:val="da-DK"/>
                            </w:rPr>
                            <w:t>2515 XP Den Haag</w:t>
                          </w:r>
                        </w:p>
                        <w:p w14:paraId="69DE2840" w14:textId="77777777" w:rsidR="0060064D" w:rsidRPr="009400E1" w:rsidRDefault="0060064D" w:rsidP="0060064D">
                          <w:pPr>
                            <w:rPr>
                              <w:sz w:val="13"/>
                              <w:szCs w:val="13"/>
                              <w:lang w:val="da-DK"/>
                            </w:rPr>
                          </w:pPr>
                          <w:r w:rsidRPr="009400E1">
                            <w:rPr>
                              <w:sz w:val="13"/>
                              <w:szCs w:val="13"/>
                              <w:lang w:val="da-DK"/>
                            </w:rPr>
                            <w:t>Postbus 20061</w:t>
                          </w:r>
                        </w:p>
                        <w:p w14:paraId="0ABB1C16" w14:textId="77777777" w:rsidR="0060064D" w:rsidRPr="0059764A" w:rsidRDefault="0060064D" w:rsidP="0060064D">
                          <w:pPr>
                            <w:rPr>
                              <w:sz w:val="13"/>
                              <w:szCs w:val="13"/>
                              <w:lang w:val="da-DK"/>
                            </w:rPr>
                          </w:pPr>
                          <w:r w:rsidRPr="0059764A">
                            <w:rPr>
                              <w:sz w:val="13"/>
                              <w:szCs w:val="13"/>
                              <w:lang w:val="da-DK"/>
                            </w:rPr>
                            <w:t>Nederland</w:t>
                          </w:r>
                        </w:p>
                        <w:p w14:paraId="47311CA2" w14:textId="77777777" w:rsidR="0060064D" w:rsidRPr="0059764A" w:rsidRDefault="0060064D" w:rsidP="0060064D">
                          <w:pPr>
                            <w:rPr>
                              <w:sz w:val="13"/>
                              <w:szCs w:val="13"/>
                              <w:lang w:val="da-DK"/>
                            </w:rPr>
                          </w:pPr>
                          <w:r w:rsidRPr="0059764A">
                            <w:rPr>
                              <w:sz w:val="13"/>
                              <w:szCs w:val="13"/>
                              <w:lang w:val="da-DK"/>
                            </w:rPr>
                            <w:t>www.rijksoverheid.nl</w:t>
                          </w:r>
                        </w:p>
                        <w:p w14:paraId="58E4106A" w14:textId="77777777" w:rsidR="0042635B" w:rsidRPr="009400E1" w:rsidRDefault="0042635B">
                          <w:pPr>
                            <w:pStyle w:val="WitregelW2"/>
                            <w:rPr>
                              <w:lang w:val="da-DK"/>
                            </w:rPr>
                          </w:pPr>
                        </w:p>
                        <w:p w14:paraId="58E4106B" w14:textId="77777777" w:rsidR="0042635B" w:rsidRDefault="006C61CA">
                          <w:pPr>
                            <w:pStyle w:val="Referentiegegevensbold"/>
                          </w:pPr>
                          <w:r>
                            <w:t>Onze referentie</w:t>
                          </w:r>
                        </w:p>
                        <w:p w14:paraId="58E4106C" w14:textId="1A82D162" w:rsidR="0042635B" w:rsidRDefault="00BA0AE6">
                          <w:pPr>
                            <w:pStyle w:val="Referentiegegevens"/>
                          </w:pPr>
                          <w:r>
                            <w:t>BZ2518397</w:t>
                          </w:r>
                        </w:p>
                        <w:p w14:paraId="58E4106D" w14:textId="77777777" w:rsidR="0042635B" w:rsidRDefault="0042635B">
                          <w:pPr>
                            <w:pStyle w:val="WitregelW1"/>
                          </w:pPr>
                        </w:p>
                        <w:p w14:paraId="58E4106E" w14:textId="77777777" w:rsidR="0042635B" w:rsidRDefault="006C61CA">
                          <w:pPr>
                            <w:pStyle w:val="Referentiegegevensbold"/>
                          </w:pPr>
                          <w:r>
                            <w:t>Bijlage(n)</w:t>
                          </w:r>
                        </w:p>
                        <w:p w14:paraId="58E4106F" w14:textId="7C469FF5" w:rsidR="0042635B" w:rsidRPr="00413533" w:rsidRDefault="00E73E44" w:rsidP="002A7534">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58E41051" id="41b10cd4-80a4-11ea-b356-6230a4311406" o:spid="_x0000_s1031" type="#_x0000_t202" style="position:absolute;margin-left:466.5pt;margin-top:155pt;width:111.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p w14:paraId="58E41066" w14:textId="77777777" w:rsidR="0042635B" w:rsidRDefault="006C61CA">
                    <w:pPr>
                      <w:pStyle w:val="Referentiegegevensbold"/>
                    </w:pPr>
                    <w:r>
                      <w:t>Ministerie van Buitenlandse Zaken</w:t>
                    </w:r>
                  </w:p>
                  <w:p w14:paraId="7D68A5A6" w14:textId="77777777" w:rsidR="0060064D" w:rsidRPr="00EE5E5D" w:rsidRDefault="0060064D" w:rsidP="0060064D">
                    <w:pPr>
                      <w:rPr>
                        <w:sz w:val="13"/>
                        <w:szCs w:val="13"/>
                      </w:rPr>
                    </w:pPr>
                    <w:r>
                      <w:rPr>
                        <w:sz w:val="13"/>
                        <w:szCs w:val="13"/>
                      </w:rPr>
                      <w:t>Rijnstraat 8</w:t>
                    </w:r>
                  </w:p>
                  <w:p w14:paraId="32A7C931" w14:textId="77777777" w:rsidR="0060064D" w:rsidRPr="009400E1" w:rsidRDefault="0060064D" w:rsidP="0060064D">
                    <w:pPr>
                      <w:rPr>
                        <w:sz w:val="13"/>
                        <w:szCs w:val="13"/>
                        <w:lang w:val="da-DK"/>
                      </w:rPr>
                    </w:pPr>
                    <w:r w:rsidRPr="009400E1">
                      <w:rPr>
                        <w:sz w:val="13"/>
                        <w:szCs w:val="13"/>
                        <w:lang w:val="da-DK"/>
                      </w:rPr>
                      <w:t>2515 XP Den Haag</w:t>
                    </w:r>
                  </w:p>
                  <w:p w14:paraId="69DE2840" w14:textId="77777777" w:rsidR="0060064D" w:rsidRPr="009400E1" w:rsidRDefault="0060064D" w:rsidP="0060064D">
                    <w:pPr>
                      <w:rPr>
                        <w:sz w:val="13"/>
                        <w:szCs w:val="13"/>
                        <w:lang w:val="da-DK"/>
                      </w:rPr>
                    </w:pPr>
                    <w:r w:rsidRPr="009400E1">
                      <w:rPr>
                        <w:sz w:val="13"/>
                        <w:szCs w:val="13"/>
                        <w:lang w:val="da-DK"/>
                      </w:rPr>
                      <w:t>Postbus 20061</w:t>
                    </w:r>
                  </w:p>
                  <w:p w14:paraId="0ABB1C16" w14:textId="77777777" w:rsidR="0060064D" w:rsidRPr="0059764A" w:rsidRDefault="0060064D" w:rsidP="0060064D">
                    <w:pPr>
                      <w:rPr>
                        <w:sz w:val="13"/>
                        <w:szCs w:val="13"/>
                        <w:lang w:val="da-DK"/>
                      </w:rPr>
                    </w:pPr>
                    <w:r w:rsidRPr="0059764A">
                      <w:rPr>
                        <w:sz w:val="13"/>
                        <w:szCs w:val="13"/>
                        <w:lang w:val="da-DK"/>
                      </w:rPr>
                      <w:t>Nederland</w:t>
                    </w:r>
                  </w:p>
                  <w:p w14:paraId="47311CA2" w14:textId="77777777" w:rsidR="0060064D" w:rsidRPr="0059764A" w:rsidRDefault="0060064D" w:rsidP="0060064D">
                    <w:pPr>
                      <w:rPr>
                        <w:sz w:val="13"/>
                        <w:szCs w:val="13"/>
                        <w:lang w:val="da-DK"/>
                      </w:rPr>
                    </w:pPr>
                    <w:r w:rsidRPr="0059764A">
                      <w:rPr>
                        <w:sz w:val="13"/>
                        <w:szCs w:val="13"/>
                        <w:lang w:val="da-DK"/>
                      </w:rPr>
                      <w:t>www.rijksoverheid.nl</w:t>
                    </w:r>
                  </w:p>
                  <w:p w14:paraId="58E4106A" w14:textId="77777777" w:rsidR="0042635B" w:rsidRPr="009400E1" w:rsidRDefault="0042635B">
                    <w:pPr>
                      <w:pStyle w:val="WitregelW2"/>
                      <w:rPr>
                        <w:lang w:val="da-DK"/>
                      </w:rPr>
                    </w:pPr>
                  </w:p>
                  <w:p w14:paraId="58E4106B" w14:textId="77777777" w:rsidR="0042635B" w:rsidRDefault="006C61CA">
                    <w:pPr>
                      <w:pStyle w:val="Referentiegegevensbold"/>
                    </w:pPr>
                    <w:r>
                      <w:t>Onze referentie</w:t>
                    </w:r>
                  </w:p>
                  <w:p w14:paraId="58E4106C" w14:textId="1A82D162" w:rsidR="0042635B" w:rsidRDefault="00BA0AE6">
                    <w:pPr>
                      <w:pStyle w:val="Referentiegegevens"/>
                    </w:pPr>
                    <w:r>
                      <w:t>BZ2518397</w:t>
                    </w:r>
                  </w:p>
                  <w:p w14:paraId="58E4106D" w14:textId="77777777" w:rsidR="0042635B" w:rsidRDefault="0042635B">
                    <w:pPr>
                      <w:pStyle w:val="WitregelW1"/>
                    </w:pPr>
                  </w:p>
                  <w:p w14:paraId="58E4106E" w14:textId="77777777" w:rsidR="0042635B" w:rsidRDefault="006C61CA">
                    <w:pPr>
                      <w:pStyle w:val="Referentiegegevensbold"/>
                    </w:pPr>
                    <w:r>
                      <w:t>Bijlage(n)</w:t>
                    </w:r>
                  </w:p>
                  <w:p w14:paraId="58E4106F" w14:textId="7C469FF5" w:rsidR="0042635B" w:rsidRPr="00413533" w:rsidRDefault="00E73E44" w:rsidP="002A753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E41055" wp14:editId="22CE01C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E4107E" w14:textId="77777777" w:rsidR="006C61CA" w:rsidRDefault="006C61CA"/>
                      </w:txbxContent>
                    </wps:txbx>
                    <wps:bodyPr vert="horz" wrap="square" lIns="0" tIns="0" rIns="0" bIns="0" anchor="t" anchorCtr="0"/>
                  </wps:wsp>
                </a:graphicData>
              </a:graphic>
            </wp:anchor>
          </w:drawing>
        </mc:Choice>
        <mc:Fallback>
          <w:pict>
            <v:shape w14:anchorId="58E4105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8E4107E" w14:textId="77777777" w:rsidR="006C61CA" w:rsidRDefault="006C61C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8E41057" wp14:editId="58E4105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E41071" w14:textId="77777777" w:rsidR="0042635B" w:rsidRDefault="006C61CA">
                          <w:pPr>
                            <w:spacing w:line="240" w:lineRule="auto"/>
                          </w:pPr>
                          <w:r>
                            <w:rPr>
                              <w:noProof/>
                            </w:rPr>
                            <w:drawing>
                              <wp:inline distT="0" distB="0" distL="0" distR="0" wp14:anchorId="58E41078" wp14:editId="58E4107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E4105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8E41071" w14:textId="77777777" w:rsidR="0042635B" w:rsidRDefault="006C61CA">
                    <w:pPr>
                      <w:spacing w:line="240" w:lineRule="auto"/>
                    </w:pPr>
                    <w:r>
                      <w:rPr>
                        <w:noProof/>
                      </w:rPr>
                      <w:drawing>
                        <wp:inline distT="0" distB="0" distL="0" distR="0" wp14:anchorId="58E41078" wp14:editId="58E4107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8E41059" wp14:editId="58E4105A">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E41072" w14:textId="77777777" w:rsidR="0042635B" w:rsidRDefault="006C61CA">
                          <w:pPr>
                            <w:spacing w:line="240" w:lineRule="auto"/>
                          </w:pPr>
                          <w:r>
                            <w:rPr>
                              <w:noProof/>
                            </w:rPr>
                            <w:drawing>
                              <wp:inline distT="0" distB="0" distL="0" distR="0" wp14:anchorId="58E4107A" wp14:editId="58E4107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E4105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8E41072" w14:textId="77777777" w:rsidR="0042635B" w:rsidRDefault="006C61CA">
                    <w:pPr>
                      <w:spacing w:line="240" w:lineRule="auto"/>
                    </w:pPr>
                    <w:r>
                      <w:rPr>
                        <w:noProof/>
                      </w:rPr>
                      <w:drawing>
                        <wp:inline distT="0" distB="0" distL="0" distR="0" wp14:anchorId="58E4107A" wp14:editId="58E4107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18363"/>
    <w:multiLevelType w:val="multilevel"/>
    <w:tmpl w:val="52B7942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8B8871"/>
    <w:multiLevelType w:val="multilevel"/>
    <w:tmpl w:val="4F79E55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7BE1884"/>
    <w:multiLevelType w:val="hybridMultilevel"/>
    <w:tmpl w:val="531CEDB0"/>
    <w:lvl w:ilvl="0" w:tplc="A3A0D184">
      <w:start w:val="7"/>
      <w:numFmt w:val="bullet"/>
      <w:lvlText w:val="-"/>
      <w:lvlJc w:val="left"/>
      <w:pPr>
        <w:ind w:left="720" w:hanging="360"/>
      </w:pPr>
      <w:rPr>
        <w:rFonts w:ascii="Verdana" w:eastAsia="DejaVu Sans" w:hAnsi="Verdana" w:cs="Lohit Hin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65E1"/>
    <w:multiLevelType w:val="hybridMultilevel"/>
    <w:tmpl w:val="4BEE8194"/>
    <w:lvl w:ilvl="0" w:tplc="EB9A35F4">
      <w:start w:val="7"/>
      <w:numFmt w:val="bullet"/>
      <w:lvlText w:val="-"/>
      <w:lvlJc w:val="left"/>
      <w:pPr>
        <w:ind w:left="720" w:hanging="360"/>
      </w:pPr>
      <w:rPr>
        <w:rFonts w:ascii="Verdana" w:eastAsia="DejaVu Sans" w:hAnsi="Verdana" w:cs="Lohit Hin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D0056"/>
    <w:multiLevelType w:val="hybridMultilevel"/>
    <w:tmpl w:val="34FC1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CD6BA9"/>
    <w:multiLevelType w:val="hybridMultilevel"/>
    <w:tmpl w:val="EC58756A"/>
    <w:lvl w:ilvl="0" w:tplc="C0D08666">
      <w:start w:val="1"/>
      <w:numFmt w:val="decimal"/>
      <w:lvlText w:val="%1."/>
      <w:lvlJc w:val="left"/>
      <w:pPr>
        <w:ind w:left="1020" w:hanging="360"/>
      </w:pPr>
    </w:lvl>
    <w:lvl w:ilvl="1" w:tplc="910E4970">
      <w:start w:val="1"/>
      <w:numFmt w:val="decimal"/>
      <w:lvlText w:val="%2."/>
      <w:lvlJc w:val="left"/>
      <w:pPr>
        <w:ind w:left="1020" w:hanging="360"/>
      </w:pPr>
    </w:lvl>
    <w:lvl w:ilvl="2" w:tplc="9C90B2EC">
      <w:start w:val="1"/>
      <w:numFmt w:val="decimal"/>
      <w:lvlText w:val="%3."/>
      <w:lvlJc w:val="left"/>
      <w:pPr>
        <w:ind w:left="1020" w:hanging="360"/>
      </w:pPr>
    </w:lvl>
    <w:lvl w:ilvl="3" w:tplc="BA26CEE0">
      <w:start w:val="1"/>
      <w:numFmt w:val="decimal"/>
      <w:lvlText w:val="%4."/>
      <w:lvlJc w:val="left"/>
      <w:pPr>
        <w:ind w:left="1020" w:hanging="360"/>
      </w:pPr>
    </w:lvl>
    <w:lvl w:ilvl="4" w:tplc="E3967334">
      <w:start w:val="1"/>
      <w:numFmt w:val="decimal"/>
      <w:lvlText w:val="%5."/>
      <w:lvlJc w:val="left"/>
      <w:pPr>
        <w:ind w:left="1020" w:hanging="360"/>
      </w:pPr>
    </w:lvl>
    <w:lvl w:ilvl="5" w:tplc="07AA6AAE">
      <w:start w:val="1"/>
      <w:numFmt w:val="decimal"/>
      <w:lvlText w:val="%6."/>
      <w:lvlJc w:val="left"/>
      <w:pPr>
        <w:ind w:left="1020" w:hanging="360"/>
      </w:pPr>
    </w:lvl>
    <w:lvl w:ilvl="6" w:tplc="2578E726">
      <w:start w:val="1"/>
      <w:numFmt w:val="decimal"/>
      <w:lvlText w:val="%7."/>
      <w:lvlJc w:val="left"/>
      <w:pPr>
        <w:ind w:left="1020" w:hanging="360"/>
      </w:pPr>
    </w:lvl>
    <w:lvl w:ilvl="7" w:tplc="39783426">
      <w:start w:val="1"/>
      <w:numFmt w:val="decimal"/>
      <w:lvlText w:val="%8."/>
      <w:lvlJc w:val="left"/>
      <w:pPr>
        <w:ind w:left="1020" w:hanging="360"/>
      </w:pPr>
    </w:lvl>
    <w:lvl w:ilvl="8" w:tplc="18F27428">
      <w:start w:val="1"/>
      <w:numFmt w:val="decimal"/>
      <w:lvlText w:val="%9."/>
      <w:lvlJc w:val="left"/>
      <w:pPr>
        <w:ind w:left="1020" w:hanging="360"/>
      </w:pPr>
    </w:lvl>
  </w:abstractNum>
  <w:abstractNum w:abstractNumId="6" w15:restartNumberingAfterBreak="0">
    <w:nsid w:val="54DE474A"/>
    <w:multiLevelType w:val="multilevel"/>
    <w:tmpl w:val="D4B1309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EAFC721"/>
    <w:multiLevelType w:val="multilevel"/>
    <w:tmpl w:val="C7D796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11716CF"/>
    <w:multiLevelType w:val="multilevel"/>
    <w:tmpl w:val="26071BD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9" w15:restartNumberingAfterBreak="0">
    <w:nsid w:val="6CB95260"/>
    <w:multiLevelType w:val="hybridMultilevel"/>
    <w:tmpl w:val="83D4D75E"/>
    <w:lvl w:ilvl="0" w:tplc="0652C13A">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627995">
    <w:abstractNumId w:val="8"/>
  </w:num>
  <w:num w:numId="2" w16cid:durableId="97792770">
    <w:abstractNumId w:val="6"/>
  </w:num>
  <w:num w:numId="3" w16cid:durableId="1264997692">
    <w:abstractNumId w:val="7"/>
  </w:num>
  <w:num w:numId="4" w16cid:durableId="1215703859">
    <w:abstractNumId w:val="1"/>
  </w:num>
  <w:num w:numId="5" w16cid:durableId="1649943344">
    <w:abstractNumId w:val="0"/>
  </w:num>
  <w:num w:numId="6" w16cid:durableId="1346858191">
    <w:abstractNumId w:val="9"/>
  </w:num>
  <w:num w:numId="7" w16cid:durableId="276958129">
    <w:abstractNumId w:val="4"/>
  </w:num>
  <w:num w:numId="8" w16cid:durableId="1522207860">
    <w:abstractNumId w:val="5"/>
  </w:num>
  <w:num w:numId="9" w16cid:durableId="654068803">
    <w:abstractNumId w:val="3"/>
  </w:num>
  <w:num w:numId="10" w16cid:durableId="1847864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5B"/>
    <w:rsid w:val="00004311"/>
    <w:rsid w:val="000107B9"/>
    <w:rsid w:val="00017950"/>
    <w:rsid w:val="00026B5C"/>
    <w:rsid w:val="000325EC"/>
    <w:rsid w:val="00033B92"/>
    <w:rsid w:val="00040803"/>
    <w:rsid w:val="00042337"/>
    <w:rsid w:val="000451D0"/>
    <w:rsid w:val="000506F8"/>
    <w:rsid w:val="000579CA"/>
    <w:rsid w:val="0006701D"/>
    <w:rsid w:val="00070BE3"/>
    <w:rsid w:val="00083AE5"/>
    <w:rsid w:val="000863EE"/>
    <w:rsid w:val="000935AA"/>
    <w:rsid w:val="000A309C"/>
    <w:rsid w:val="000B1F4D"/>
    <w:rsid w:val="000C0269"/>
    <w:rsid w:val="000C591C"/>
    <w:rsid w:val="000D29A5"/>
    <w:rsid w:val="000E2963"/>
    <w:rsid w:val="000F29C6"/>
    <w:rsid w:val="000F7DCE"/>
    <w:rsid w:val="0010098C"/>
    <w:rsid w:val="0010619A"/>
    <w:rsid w:val="00106E3D"/>
    <w:rsid w:val="00116E4F"/>
    <w:rsid w:val="0012368A"/>
    <w:rsid w:val="00135A43"/>
    <w:rsid w:val="001362F9"/>
    <w:rsid w:val="001411DA"/>
    <w:rsid w:val="001426DD"/>
    <w:rsid w:val="00142CEF"/>
    <w:rsid w:val="00145C9A"/>
    <w:rsid w:val="00156DD0"/>
    <w:rsid w:val="001600BF"/>
    <w:rsid w:val="001738D9"/>
    <w:rsid w:val="00181259"/>
    <w:rsid w:val="00181B2E"/>
    <w:rsid w:val="00186E8F"/>
    <w:rsid w:val="00187021"/>
    <w:rsid w:val="00187AB8"/>
    <w:rsid w:val="001A11C7"/>
    <w:rsid w:val="001B3747"/>
    <w:rsid w:val="001D4B4E"/>
    <w:rsid w:val="001D75E3"/>
    <w:rsid w:val="001D794D"/>
    <w:rsid w:val="0021254C"/>
    <w:rsid w:val="0021363D"/>
    <w:rsid w:val="00213BB8"/>
    <w:rsid w:val="002157A1"/>
    <w:rsid w:val="00215C4D"/>
    <w:rsid w:val="002200FF"/>
    <w:rsid w:val="0022340A"/>
    <w:rsid w:val="002247F5"/>
    <w:rsid w:val="00236DE1"/>
    <w:rsid w:val="00240AEA"/>
    <w:rsid w:val="00247051"/>
    <w:rsid w:val="00256E30"/>
    <w:rsid w:val="0027215C"/>
    <w:rsid w:val="00283A55"/>
    <w:rsid w:val="00293623"/>
    <w:rsid w:val="002A14F5"/>
    <w:rsid w:val="002A3917"/>
    <w:rsid w:val="002A7534"/>
    <w:rsid w:val="002B1252"/>
    <w:rsid w:val="002B1B93"/>
    <w:rsid w:val="002B487F"/>
    <w:rsid w:val="002B60CA"/>
    <w:rsid w:val="002B6AA9"/>
    <w:rsid w:val="002B7C9C"/>
    <w:rsid w:val="002B7FEB"/>
    <w:rsid w:val="002C4AA0"/>
    <w:rsid w:val="002E58EF"/>
    <w:rsid w:val="0031551C"/>
    <w:rsid w:val="003257A5"/>
    <w:rsid w:val="00325B07"/>
    <w:rsid w:val="003303A0"/>
    <w:rsid w:val="00331078"/>
    <w:rsid w:val="00345892"/>
    <w:rsid w:val="00354EEC"/>
    <w:rsid w:val="00386045"/>
    <w:rsid w:val="003913FF"/>
    <w:rsid w:val="003937F1"/>
    <w:rsid w:val="003B3E86"/>
    <w:rsid w:val="003C737F"/>
    <w:rsid w:val="003D3242"/>
    <w:rsid w:val="003D7E01"/>
    <w:rsid w:val="00410754"/>
    <w:rsid w:val="004116F3"/>
    <w:rsid w:val="00413533"/>
    <w:rsid w:val="00414EC0"/>
    <w:rsid w:val="0041611C"/>
    <w:rsid w:val="00425DCD"/>
    <w:rsid w:val="0042635B"/>
    <w:rsid w:val="00430C03"/>
    <w:rsid w:val="0043107E"/>
    <w:rsid w:val="004310E0"/>
    <w:rsid w:val="00437FCA"/>
    <w:rsid w:val="00445D14"/>
    <w:rsid w:val="00452888"/>
    <w:rsid w:val="00460A07"/>
    <w:rsid w:val="0046637F"/>
    <w:rsid w:val="00473032"/>
    <w:rsid w:val="0048698B"/>
    <w:rsid w:val="00487AC3"/>
    <w:rsid w:val="004A238B"/>
    <w:rsid w:val="004B141A"/>
    <w:rsid w:val="004B668C"/>
    <w:rsid w:val="004C023C"/>
    <w:rsid w:val="004C1D01"/>
    <w:rsid w:val="004D4EFA"/>
    <w:rsid w:val="004D675B"/>
    <w:rsid w:val="004E0C78"/>
    <w:rsid w:val="004E4993"/>
    <w:rsid w:val="004E6E62"/>
    <w:rsid w:val="004F14D7"/>
    <w:rsid w:val="004F23B7"/>
    <w:rsid w:val="004F2BFF"/>
    <w:rsid w:val="004F51E0"/>
    <w:rsid w:val="005114D7"/>
    <w:rsid w:val="00515803"/>
    <w:rsid w:val="0053652C"/>
    <w:rsid w:val="00536E82"/>
    <w:rsid w:val="00541785"/>
    <w:rsid w:val="005468B0"/>
    <w:rsid w:val="00552E47"/>
    <w:rsid w:val="0055403D"/>
    <w:rsid w:val="0055472F"/>
    <w:rsid w:val="00563598"/>
    <w:rsid w:val="00571726"/>
    <w:rsid w:val="005914C0"/>
    <w:rsid w:val="0059217C"/>
    <w:rsid w:val="00594DBE"/>
    <w:rsid w:val="005A5405"/>
    <w:rsid w:val="005B033E"/>
    <w:rsid w:val="005B46B6"/>
    <w:rsid w:val="005B5374"/>
    <w:rsid w:val="005C63CD"/>
    <w:rsid w:val="005D1BF4"/>
    <w:rsid w:val="005D23F7"/>
    <w:rsid w:val="005D7A2C"/>
    <w:rsid w:val="005E6FA6"/>
    <w:rsid w:val="005F05F2"/>
    <w:rsid w:val="0060064D"/>
    <w:rsid w:val="00603083"/>
    <w:rsid w:val="006043B2"/>
    <w:rsid w:val="0061091E"/>
    <w:rsid w:val="00626852"/>
    <w:rsid w:val="00627EB3"/>
    <w:rsid w:val="00634903"/>
    <w:rsid w:val="006777BA"/>
    <w:rsid w:val="0068380C"/>
    <w:rsid w:val="00693368"/>
    <w:rsid w:val="006C382A"/>
    <w:rsid w:val="006C5F75"/>
    <w:rsid w:val="006C61CA"/>
    <w:rsid w:val="006D0F1A"/>
    <w:rsid w:val="006D0F64"/>
    <w:rsid w:val="006D5541"/>
    <w:rsid w:val="006D754A"/>
    <w:rsid w:val="006E025E"/>
    <w:rsid w:val="006E0556"/>
    <w:rsid w:val="007006BA"/>
    <w:rsid w:val="0070162A"/>
    <w:rsid w:val="00701FB2"/>
    <w:rsid w:val="007127FA"/>
    <w:rsid w:val="007229FE"/>
    <w:rsid w:val="007303F7"/>
    <w:rsid w:val="0073225C"/>
    <w:rsid w:val="007416A4"/>
    <w:rsid w:val="007420BC"/>
    <w:rsid w:val="00746AF9"/>
    <w:rsid w:val="007614FD"/>
    <w:rsid w:val="00784CBB"/>
    <w:rsid w:val="00785877"/>
    <w:rsid w:val="00787C9C"/>
    <w:rsid w:val="00792ED5"/>
    <w:rsid w:val="007A5E8F"/>
    <w:rsid w:val="007A7BC9"/>
    <w:rsid w:val="007B1CBB"/>
    <w:rsid w:val="007C6F64"/>
    <w:rsid w:val="007F05EC"/>
    <w:rsid w:val="007F0DE5"/>
    <w:rsid w:val="00813193"/>
    <w:rsid w:val="00821B70"/>
    <w:rsid w:val="00822E18"/>
    <w:rsid w:val="00825E16"/>
    <w:rsid w:val="00831126"/>
    <w:rsid w:val="008343BA"/>
    <w:rsid w:val="00836BF7"/>
    <w:rsid w:val="0084293C"/>
    <w:rsid w:val="00842A67"/>
    <w:rsid w:val="00844E4C"/>
    <w:rsid w:val="00846856"/>
    <w:rsid w:val="00857C1C"/>
    <w:rsid w:val="00872531"/>
    <w:rsid w:val="00890127"/>
    <w:rsid w:val="00892D22"/>
    <w:rsid w:val="0089528A"/>
    <w:rsid w:val="008964CD"/>
    <w:rsid w:val="00896EBC"/>
    <w:rsid w:val="00897158"/>
    <w:rsid w:val="008A38DC"/>
    <w:rsid w:val="008A736F"/>
    <w:rsid w:val="008A7BB8"/>
    <w:rsid w:val="008C118F"/>
    <w:rsid w:val="008C7425"/>
    <w:rsid w:val="008D0B77"/>
    <w:rsid w:val="008D4F18"/>
    <w:rsid w:val="008D5AD6"/>
    <w:rsid w:val="00902721"/>
    <w:rsid w:val="0090783A"/>
    <w:rsid w:val="00911A1D"/>
    <w:rsid w:val="009201DC"/>
    <w:rsid w:val="0092032D"/>
    <w:rsid w:val="00922234"/>
    <w:rsid w:val="009239E2"/>
    <w:rsid w:val="0093249B"/>
    <w:rsid w:val="00936F88"/>
    <w:rsid w:val="00937F3A"/>
    <w:rsid w:val="009400E1"/>
    <w:rsid w:val="00952F04"/>
    <w:rsid w:val="00953FE6"/>
    <w:rsid w:val="0096001B"/>
    <w:rsid w:val="00971C9E"/>
    <w:rsid w:val="00975133"/>
    <w:rsid w:val="00977CBA"/>
    <w:rsid w:val="00982AA5"/>
    <w:rsid w:val="009A03BE"/>
    <w:rsid w:val="009A44E1"/>
    <w:rsid w:val="009B14EA"/>
    <w:rsid w:val="009C0EDF"/>
    <w:rsid w:val="009D2E7D"/>
    <w:rsid w:val="009E1CBF"/>
    <w:rsid w:val="009E3196"/>
    <w:rsid w:val="009E55C7"/>
    <w:rsid w:val="009E6F49"/>
    <w:rsid w:val="009E7623"/>
    <w:rsid w:val="009F057F"/>
    <w:rsid w:val="009F3A03"/>
    <w:rsid w:val="00A0764B"/>
    <w:rsid w:val="00A111DF"/>
    <w:rsid w:val="00A140D7"/>
    <w:rsid w:val="00A1465E"/>
    <w:rsid w:val="00A146E7"/>
    <w:rsid w:val="00A16C66"/>
    <w:rsid w:val="00A22B10"/>
    <w:rsid w:val="00A30B9B"/>
    <w:rsid w:val="00A32323"/>
    <w:rsid w:val="00A323DD"/>
    <w:rsid w:val="00A425DB"/>
    <w:rsid w:val="00A46803"/>
    <w:rsid w:val="00A536A1"/>
    <w:rsid w:val="00A53F46"/>
    <w:rsid w:val="00A72697"/>
    <w:rsid w:val="00A75DD2"/>
    <w:rsid w:val="00A9241F"/>
    <w:rsid w:val="00A95A64"/>
    <w:rsid w:val="00AA0C24"/>
    <w:rsid w:val="00AA1463"/>
    <w:rsid w:val="00AA7CE3"/>
    <w:rsid w:val="00AB0038"/>
    <w:rsid w:val="00AB05DA"/>
    <w:rsid w:val="00AC5149"/>
    <w:rsid w:val="00AE1F08"/>
    <w:rsid w:val="00AF0B29"/>
    <w:rsid w:val="00AF229A"/>
    <w:rsid w:val="00AF2499"/>
    <w:rsid w:val="00B11295"/>
    <w:rsid w:val="00B149E9"/>
    <w:rsid w:val="00B15140"/>
    <w:rsid w:val="00B152B3"/>
    <w:rsid w:val="00B20770"/>
    <w:rsid w:val="00B24467"/>
    <w:rsid w:val="00B60174"/>
    <w:rsid w:val="00B65074"/>
    <w:rsid w:val="00B759BD"/>
    <w:rsid w:val="00B82935"/>
    <w:rsid w:val="00B85FCD"/>
    <w:rsid w:val="00B90800"/>
    <w:rsid w:val="00BA0AE6"/>
    <w:rsid w:val="00BA3844"/>
    <w:rsid w:val="00BA692B"/>
    <w:rsid w:val="00BA70EA"/>
    <w:rsid w:val="00BB1AC8"/>
    <w:rsid w:val="00BB4B85"/>
    <w:rsid w:val="00BC0108"/>
    <w:rsid w:val="00BC2B8E"/>
    <w:rsid w:val="00BC4C32"/>
    <w:rsid w:val="00BC6A66"/>
    <w:rsid w:val="00BD08DE"/>
    <w:rsid w:val="00BD3881"/>
    <w:rsid w:val="00BD6DC3"/>
    <w:rsid w:val="00C02677"/>
    <w:rsid w:val="00C27D45"/>
    <w:rsid w:val="00C27D8F"/>
    <w:rsid w:val="00C33782"/>
    <w:rsid w:val="00C37BB8"/>
    <w:rsid w:val="00C4565E"/>
    <w:rsid w:val="00C45F71"/>
    <w:rsid w:val="00C46E2E"/>
    <w:rsid w:val="00C501C3"/>
    <w:rsid w:val="00C544C8"/>
    <w:rsid w:val="00C56AB5"/>
    <w:rsid w:val="00C57D57"/>
    <w:rsid w:val="00CB05F9"/>
    <w:rsid w:val="00CB333D"/>
    <w:rsid w:val="00CB4490"/>
    <w:rsid w:val="00CC2D9E"/>
    <w:rsid w:val="00CC5574"/>
    <w:rsid w:val="00CE11A8"/>
    <w:rsid w:val="00CF1979"/>
    <w:rsid w:val="00CF549B"/>
    <w:rsid w:val="00CF6F60"/>
    <w:rsid w:val="00CF7DDF"/>
    <w:rsid w:val="00D27A38"/>
    <w:rsid w:val="00D31BB2"/>
    <w:rsid w:val="00D360EC"/>
    <w:rsid w:val="00D5175A"/>
    <w:rsid w:val="00D52C1B"/>
    <w:rsid w:val="00D55943"/>
    <w:rsid w:val="00D568F4"/>
    <w:rsid w:val="00D60FF1"/>
    <w:rsid w:val="00D618F6"/>
    <w:rsid w:val="00D61F21"/>
    <w:rsid w:val="00D63738"/>
    <w:rsid w:val="00D766B5"/>
    <w:rsid w:val="00D82213"/>
    <w:rsid w:val="00DA38BE"/>
    <w:rsid w:val="00DB405B"/>
    <w:rsid w:val="00DC116B"/>
    <w:rsid w:val="00DC6150"/>
    <w:rsid w:val="00DD31EC"/>
    <w:rsid w:val="00DD4224"/>
    <w:rsid w:val="00DD737E"/>
    <w:rsid w:val="00DE17E5"/>
    <w:rsid w:val="00DE1A42"/>
    <w:rsid w:val="00DF073E"/>
    <w:rsid w:val="00DF23EF"/>
    <w:rsid w:val="00DF3B8F"/>
    <w:rsid w:val="00DF5E22"/>
    <w:rsid w:val="00E00C2D"/>
    <w:rsid w:val="00E0250B"/>
    <w:rsid w:val="00E1096F"/>
    <w:rsid w:val="00E111E0"/>
    <w:rsid w:val="00E1592F"/>
    <w:rsid w:val="00E1685B"/>
    <w:rsid w:val="00E25240"/>
    <w:rsid w:val="00E324BF"/>
    <w:rsid w:val="00E37909"/>
    <w:rsid w:val="00E428E6"/>
    <w:rsid w:val="00E43CAC"/>
    <w:rsid w:val="00E44DE4"/>
    <w:rsid w:val="00E4729D"/>
    <w:rsid w:val="00E51C7D"/>
    <w:rsid w:val="00E62EDD"/>
    <w:rsid w:val="00E64E8E"/>
    <w:rsid w:val="00E73E44"/>
    <w:rsid w:val="00E77BBF"/>
    <w:rsid w:val="00E91C5B"/>
    <w:rsid w:val="00E96249"/>
    <w:rsid w:val="00EA1E05"/>
    <w:rsid w:val="00EC6A99"/>
    <w:rsid w:val="00ED12E6"/>
    <w:rsid w:val="00ED13F5"/>
    <w:rsid w:val="00ED26CA"/>
    <w:rsid w:val="00ED6A53"/>
    <w:rsid w:val="00EE6D45"/>
    <w:rsid w:val="00EF7260"/>
    <w:rsid w:val="00F0463E"/>
    <w:rsid w:val="00F05FAF"/>
    <w:rsid w:val="00F154C9"/>
    <w:rsid w:val="00F17897"/>
    <w:rsid w:val="00F2139A"/>
    <w:rsid w:val="00F21891"/>
    <w:rsid w:val="00F21B9A"/>
    <w:rsid w:val="00F33851"/>
    <w:rsid w:val="00F402EE"/>
    <w:rsid w:val="00F4434B"/>
    <w:rsid w:val="00F547B2"/>
    <w:rsid w:val="00F57C1C"/>
    <w:rsid w:val="00F61824"/>
    <w:rsid w:val="00F6406E"/>
    <w:rsid w:val="00F67B82"/>
    <w:rsid w:val="00F82CDC"/>
    <w:rsid w:val="00F84F81"/>
    <w:rsid w:val="00FA47BC"/>
    <w:rsid w:val="00FB0F46"/>
    <w:rsid w:val="00FB5CEE"/>
    <w:rsid w:val="00FB66B4"/>
    <w:rsid w:val="00FC084F"/>
    <w:rsid w:val="00FC2178"/>
    <w:rsid w:val="00FC5167"/>
    <w:rsid w:val="00FC75FB"/>
    <w:rsid w:val="00FD475A"/>
    <w:rsid w:val="00FD7C4C"/>
    <w:rsid w:val="00FE3396"/>
    <w:rsid w:val="00FE3F2D"/>
    <w:rsid w:val="00FE4526"/>
    <w:rsid w:val="00FE45FC"/>
    <w:rsid w:val="00FF02D6"/>
    <w:rsid w:val="05572E69"/>
    <w:rsid w:val="06454712"/>
    <w:rsid w:val="291C032A"/>
    <w:rsid w:val="31662EE3"/>
    <w:rsid w:val="39801EBA"/>
    <w:rsid w:val="421E2C63"/>
    <w:rsid w:val="552B03A4"/>
    <w:rsid w:val="6298D15F"/>
    <w:rsid w:val="661325D4"/>
    <w:rsid w:val="7B221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1038"/>
  <w15:docId w15:val="{03EDC6F3-5505-4FE2-9AA6-E453F4CE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BA70EA"/>
    <w:pPr>
      <w:autoSpaceDN/>
      <w:spacing w:after="160" w:line="259" w:lineRule="auto"/>
      <w:ind w:left="720"/>
      <w:contextualSpacing/>
      <w:textAlignment w:val="auto"/>
    </w:pPr>
    <w:rPr>
      <w:rFonts w:asciiTheme="minorHAnsi" w:eastAsiaTheme="minorHAnsi" w:hAnsiTheme="minorHAnsi" w:cstheme="minorBidi"/>
      <w:color w:val="auto"/>
      <w:sz w:val="22"/>
      <w:szCs w:val="22"/>
      <w:lang w:val="en-US" w:eastAsia="en-US"/>
    </w:rPr>
  </w:style>
  <w:style w:type="paragraph" w:styleId="FootnoteText">
    <w:name w:val="footnote text"/>
    <w:basedOn w:val="Normal"/>
    <w:link w:val="FootnoteTextChar"/>
    <w:uiPriority w:val="99"/>
    <w:semiHidden/>
    <w:unhideWhenUsed/>
    <w:rsid w:val="00BA70EA"/>
    <w:pPr>
      <w:autoSpaceDN/>
      <w:spacing w:line="240" w:lineRule="auto"/>
      <w:textAlignment w:val="auto"/>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BA70EA"/>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BA70EA"/>
    <w:rPr>
      <w:vertAlign w:val="superscript"/>
    </w:rPr>
  </w:style>
  <w:style w:type="character" w:styleId="CommentReference">
    <w:name w:val="annotation reference"/>
    <w:basedOn w:val="DefaultParagraphFont"/>
    <w:uiPriority w:val="99"/>
    <w:semiHidden/>
    <w:unhideWhenUsed/>
    <w:rsid w:val="00BA70EA"/>
    <w:rPr>
      <w:sz w:val="16"/>
      <w:szCs w:val="16"/>
    </w:rPr>
  </w:style>
  <w:style w:type="paragraph" w:styleId="CommentText">
    <w:name w:val="annotation text"/>
    <w:basedOn w:val="Normal"/>
    <w:link w:val="CommentTextChar"/>
    <w:uiPriority w:val="99"/>
    <w:unhideWhenUsed/>
    <w:rsid w:val="00BA70EA"/>
    <w:pPr>
      <w:autoSpaceDN/>
      <w:spacing w:after="160" w:line="240" w:lineRule="auto"/>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BA70EA"/>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B11295"/>
    <w:pPr>
      <w:tabs>
        <w:tab w:val="center" w:pos="4513"/>
        <w:tab w:val="right" w:pos="9026"/>
      </w:tabs>
      <w:spacing w:line="240" w:lineRule="auto"/>
    </w:pPr>
  </w:style>
  <w:style w:type="character" w:customStyle="1" w:styleId="HeaderChar">
    <w:name w:val="Header Char"/>
    <w:basedOn w:val="DefaultParagraphFont"/>
    <w:link w:val="Header"/>
    <w:uiPriority w:val="99"/>
    <w:rsid w:val="00B11295"/>
    <w:rPr>
      <w:rFonts w:ascii="Verdana" w:hAnsi="Verdana"/>
      <w:color w:val="000000"/>
      <w:sz w:val="18"/>
      <w:szCs w:val="18"/>
    </w:rPr>
  </w:style>
  <w:style w:type="paragraph" w:styleId="Footer">
    <w:name w:val="footer"/>
    <w:basedOn w:val="Normal"/>
    <w:link w:val="FooterChar"/>
    <w:uiPriority w:val="99"/>
    <w:unhideWhenUsed/>
    <w:rsid w:val="00B11295"/>
    <w:pPr>
      <w:tabs>
        <w:tab w:val="center" w:pos="4513"/>
        <w:tab w:val="right" w:pos="9026"/>
      </w:tabs>
      <w:spacing w:line="240" w:lineRule="auto"/>
    </w:pPr>
  </w:style>
  <w:style w:type="character" w:customStyle="1" w:styleId="FooterChar">
    <w:name w:val="Footer Char"/>
    <w:basedOn w:val="DefaultParagraphFont"/>
    <w:link w:val="Footer"/>
    <w:uiPriority w:val="99"/>
    <w:rsid w:val="00B11295"/>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B11295"/>
    <w:pPr>
      <w:autoSpaceDN w:val="0"/>
      <w:spacing w:after="0"/>
      <w:textAlignment w:val="baseline"/>
    </w:pPr>
    <w:rPr>
      <w:rFonts w:ascii="Verdana" w:eastAsia="DejaVu Sans" w:hAnsi="Verdana" w:cs="Lohit Hindi"/>
      <w:b/>
      <w:bCs/>
      <w:color w:val="000000"/>
      <w:lang w:val="nl-NL" w:eastAsia="nl-NL"/>
    </w:rPr>
  </w:style>
  <w:style w:type="character" w:customStyle="1" w:styleId="CommentSubjectChar">
    <w:name w:val="Comment Subject Char"/>
    <w:basedOn w:val="CommentTextChar"/>
    <w:link w:val="CommentSubject"/>
    <w:uiPriority w:val="99"/>
    <w:semiHidden/>
    <w:rsid w:val="00B11295"/>
    <w:rPr>
      <w:rFonts w:ascii="Verdana" w:eastAsiaTheme="minorHAnsi" w:hAnsi="Verdana" w:cstheme="minorBidi"/>
      <w:b/>
      <w:bCs/>
      <w:color w:val="000000"/>
      <w:lang w:val="en-US" w:eastAsia="en-US"/>
    </w:rPr>
  </w:style>
  <w:style w:type="paragraph" w:styleId="Revision">
    <w:name w:val="Revision"/>
    <w:hidden/>
    <w:uiPriority w:val="99"/>
    <w:semiHidden/>
    <w:rsid w:val="00B11295"/>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11295"/>
    <w:rPr>
      <w:color w:val="96607D" w:themeColor="followedHyperlink"/>
      <w:u w:val="single"/>
    </w:rPr>
  </w:style>
  <w:style w:type="character" w:styleId="UnresolvedMention">
    <w:name w:val="Unresolved Mention"/>
    <w:basedOn w:val="DefaultParagraphFont"/>
    <w:uiPriority w:val="99"/>
    <w:semiHidden/>
    <w:unhideWhenUsed/>
    <w:rsid w:val="00A3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webSetting" Target="webSettings0.xml" Id="rId29" /><Relationship Type="http://schemas.openxmlformats.org/officeDocument/2006/relationships/webSettings" Target="webSettings.xml" Id="rId11" /><Relationship Type="http://schemas.openxmlformats.org/officeDocument/2006/relationships/image" Target="media/image2.png" Id="rId15"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styles" Target="styles.xml" Id="rId9" /><Relationship Type="http://schemas.openxmlformats.org/officeDocument/2006/relationships/image" Target="media/image1.png"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ecd.org/content/dam/oecd/en/publications/reports/2025/06/cuts-in-official-development-assistance_e161f0c5/8c530629-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1433</ap:Words>
  <ap:Characters>7886</ap:Characters>
  <ap:DocSecurity>0</ap:DocSecurity>
  <ap:Lines>65</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Effecten bezuinigingen</vt:lpstr>
      <vt:lpstr>Kamerbrief Effecten bezuinigingen</vt:lpstr>
    </vt:vector>
  </ap:TitlesOfParts>
  <ap:LinksUpToDate>false</ap:LinksUpToDate>
  <ap:CharactersWithSpaces>9301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2025-09-05T15:04:00.0000000Z</lastPrinted>
  <dcterms:created xsi:type="dcterms:W3CDTF">2025-09-19T08:54:00.0000000Z</dcterms:created>
  <dcterms:modified xsi:type="dcterms:W3CDTF">2025-09-19T08:54:00.0000000Z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c4b55a5ee91473b87ec338540cdae54">
    <vt:lpwstr>The Netherlands|7f69a7bb-478c-499d-a6cf-5869916dfee4</vt:lpwstr>
  </property>
  <property fmtid="{D5CDD505-2E9C-101B-9397-08002B2CF9AE}" pid="4" name="TaxCatchAll">
    <vt:lpwstr>5;#NO MARKING;#4;#UNCLASSIFIED (U);#3;#The Netherlands;#2;#Not applicable;#1;#Organization and management general</vt:lpwstr>
  </property>
  <property fmtid="{D5CDD505-2E9C-101B-9397-08002B2CF9AE}" pid="5" name="bb20b5f81c9f47a48f8188e85aec1253">
    <vt:lpwstr>Organization and management general|0de1cc90-a8d1-4553-a3b7-516b6498b343</vt:lpwstr>
  </property>
  <property fmtid="{D5CDD505-2E9C-101B-9397-08002B2CF9AE}" pid="6" name="f7af940f06314dc78018242c25682d67">
    <vt:lpwstr>NO MARKING|0a4eb9ae-69eb-4d9e-b573-43ab99ef8592</vt:lpwstr>
  </property>
  <property fmtid="{D5CDD505-2E9C-101B-9397-08002B2CF9AE}" pid="7" name="e35afc56668347c3aef24194d1ed59ea">
    <vt:lpwstr>Not applicable|0049e722-bfb1-4a3f-9d08-af7366a9af40</vt:lpwstr>
  </property>
  <property fmtid="{D5CDD505-2E9C-101B-9397-08002B2CF9AE}" pid="8" name="d1b77f58b5724360bd683b4bf0d30054">
    <vt:lpwstr>UNCLASSIFIED (U)|284e6a62-15ab-4017-be27-a1e965f4e940</vt:lpwstr>
  </property>
  <property fmtid="{D5CDD505-2E9C-101B-9397-08002B2CF9AE}" pid="9" name="BZForumOrganisation">
    <vt:lpwstr>2;#Not applicable|0049e722-bfb1-4a3f-9d08-af7366a9af40</vt:lpwstr>
  </property>
  <property fmtid="{D5CDD505-2E9C-101B-9397-08002B2CF9AE}" pid="10" name="BZDossierProcessType">
    <vt:lpwstr/>
  </property>
  <property fmtid="{D5CDD505-2E9C-101B-9397-08002B2CF9AE}" pid="11" name="gc2efd3bfea04f7f8169be07009f5536">
    <vt:lpwstr/>
  </property>
  <property fmtid="{D5CDD505-2E9C-101B-9397-08002B2CF9AE}" pid="12" name="URL">
    <vt:lpwstr>, </vt:lpwstr>
  </property>
  <property fmtid="{D5CDD505-2E9C-101B-9397-08002B2CF9AE}" pid="13" name="BZDossierBudgetManager">
    <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_dlc_DocIdItemGuid">
    <vt:lpwstr>b2feb638-fa39-46a0-b3ad-845d6ff5228f</vt:lpwstr>
  </property>
  <property fmtid="{D5CDD505-2E9C-101B-9397-08002B2CF9AE}" pid="30" name="_docset_NoMedatataSyncRequired">
    <vt:lpwstr>False</vt:lpwstr>
  </property>
</Properties>
</file>