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1C0" w:rsidP="00565D4E" w:rsidRDefault="00793114" w14:paraId="6317EDDC" w14:textId="264B83EE">
      <w:pPr>
        <w:spacing w:line="240" w:lineRule="auto"/>
      </w:pPr>
      <w:r>
        <w:t>Geachte voorzitter,</w:t>
      </w:r>
    </w:p>
    <w:p w:rsidR="00D221C0" w:rsidP="00565D4E" w:rsidRDefault="00D221C0" w14:paraId="6317EDDD" w14:textId="77777777">
      <w:pPr>
        <w:spacing w:line="240" w:lineRule="auto"/>
      </w:pPr>
    </w:p>
    <w:p w:rsidR="00127348" w:rsidP="00565D4E" w:rsidRDefault="0092100B" w14:paraId="2F4C5A93" w14:textId="77777777">
      <w:pPr>
        <w:spacing w:line="240" w:lineRule="auto"/>
      </w:pPr>
      <w:r>
        <w:t>Met deze brief informeer ik uw Kamer over het kabinetsbeleid ten aanzien van Syrië, met aandacht voor de bescherming van Syrische minderheden.</w:t>
      </w:r>
    </w:p>
    <w:p w:rsidR="00127348" w:rsidP="00565D4E" w:rsidRDefault="00127348" w14:paraId="49369E18" w14:textId="77777777">
      <w:pPr>
        <w:spacing w:line="240" w:lineRule="auto"/>
      </w:pPr>
    </w:p>
    <w:p w:rsidR="00183F6A" w:rsidP="00565D4E" w:rsidRDefault="0092100B" w14:paraId="71878C15" w14:textId="4F5BE54C">
      <w:pPr>
        <w:spacing w:line="240" w:lineRule="auto"/>
      </w:pPr>
      <w:r>
        <w:t xml:space="preserve">In december 2024 kwam er na 54 jaar een einde aan de </w:t>
      </w:r>
      <w:r w:rsidR="00183F6A">
        <w:t xml:space="preserve">verschrikkelijke </w:t>
      </w:r>
      <w:r>
        <w:t>dictatuur van het Assad-regime.</w:t>
      </w:r>
      <w:r w:rsidR="00183F6A">
        <w:t xml:space="preserve"> </w:t>
      </w:r>
      <w:r>
        <w:t>De machtswisseling in Damascus heeft de regionale verhoudingen opgeschud</w:t>
      </w:r>
      <w:r w:rsidR="00183F6A">
        <w:t>, het land ligt nog grotendeels in puin, en geweldsescalaties</w:t>
      </w:r>
      <w:r w:rsidR="007C31A9">
        <w:t xml:space="preserve"> met een sektarisch karakter</w:t>
      </w:r>
      <w:r w:rsidR="00183F6A">
        <w:t xml:space="preserve"> hebben op verschillende plekken plaatsgevonden.</w:t>
      </w:r>
      <w:r w:rsidR="007C31A9">
        <w:t xml:space="preserve"> </w:t>
      </w:r>
      <w:r w:rsidR="00183F6A">
        <w:t xml:space="preserve">Kortom, de situatie in Syrië blijft complex, volatiel en onvoorspelbaar. </w:t>
      </w:r>
    </w:p>
    <w:p w:rsidR="00183F6A" w:rsidP="00565D4E" w:rsidRDefault="00183F6A" w14:paraId="7D03D4B6" w14:textId="77777777">
      <w:pPr>
        <w:spacing w:line="240" w:lineRule="auto"/>
      </w:pPr>
    </w:p>
    <w:p w:rsidR="00183F6A" w:rsidP="00565D4E" w:rsidRDefault="00183F6A" w14:paraId="2F9D3443" w14:textId="12B1A279">
      <w:pPr>
        <w:spacing w:line="240" w:lineRule="auto"/>
      </w:pPr>
      <w:r>
        <w:t>Nederland heeft belang bij een veilig en stabiel Syrië. Nieuwe geweldsescalaties kunnen leiden tot vluchtelingenbewegingen en regionale instabiliteit, wat ook gevolgen kan hebben voor onze veiligheid. Om die reden zet het kabinet zich langs meerdere sporen in.</w:t>
      </w:r>
    </w:p>
    <w:p w:rsidR="0092100B" w:rsidP="00565D4E" w:rsidRDefault="0092100B" w14:paraId="19D47DE5" w14:textId="77777777">
      <w:pPr>
        <w:spacing w:line="240" w:lineRule="auto"/>
      </w:pPr>
    </w:p>
    <w:p w:rsidR="004F20CE" w:rsidP="00565D4E" w:rsidRDefault="0092100B" w14:paraId="590C5345" w14:textId="10C2C441">
      <w:pPr>
        <w:spacing w:line="240" w:lineRule="auto"/>
      </w:pPr>
      <w:r>
        <w:t>Allereerst onderhoudt Nederland contact met de Syrische overgangsregering</w:t>
      </w:r>
      <w:r w:rsidR="00183F6A">
        <w:t>,</w:t>
      </w:r>
      <w:r>
        <w:t xml:space="preserve"> met diverse gemeenschappen in Syrië</w:t>
      </w:r>
      <w:r w:rsidR="00183F6A">
        <w:t xml:space="preserve"> en de verschillende spelers in de regio</w:t>
      </w:r>
      <w:r>
        <w:t xml:space="preserve">. </w:t>
      </w:r>
      <w:bookmarkStart w:name="_Hlk208572915" w:id="0"/>
      <w:r w:rsidR="004D5AA4">
        <w:t>Het kabinet is zich bewust van</w:t>
      </w:r>
      <w:r w:rsidR="00AF2295">
        <w:t xml:space="preserve"> </w:t>
      </w:r>
      <w:r w:rsidRPr="007C31A9" w:rsidR="00AF2295">
        <w:t xml:space="preserve">de achtergrond van de </w:t>
      </w:r>
      <w:r w:rsidR="00AF2295">
        <w:t>huidige</w:t>
      </w:r>
      <w:r w:rsidRPr="007C31A9" w:rsidR="00AF2295">
        <w:t xml:space="preserve"> machtshebbers</w:t>
      </w:r>
      <w:r w:rsidR="00AF2295">
        <w:t xml:space="preserve"> in Damascus</w:t>
      </w:r>
      <w:r w:rsidR="004F20CE">
        <w:t>.</w:t>
      </w:r>
      <w:r w:rsidRPr="007C31A9" w:rsidR="00AF2295">
        <w:t xml:space="preserve"> </w:t>
      </w:r>
      <w:r w:rsidR="004F20CE">
        <w:t xml:space="preserve">Echter, </w:t>
      </w:r>
      <w:r w:rsidRPr="007C31A9" w:rsidR="00AF2295">
        <w:t>in het licht van de Nederlandse belangen</w:t>
      </w:r>
      <w:r w:rsidR="00F24E78">
        <w:t xml:space="preserve"> en om de invloed van Iran en Rusland te beteugelen</w:t>
      </w:r>
      <w:r w:rsidRPr="007C31A9" w:rsidR="00F24E78">
        <w:t xml:space="preserve"> </w:t>
      </w:r>
      <w:r w:rsidR="004F20CE">
        <w:t xml:space="preserve">is </w:t>
      </w:r>
      <w:r w:rsidR="0001193D">
        <w:t>het noodzakelijk om te engageren met de</w:t>
      </w:r>
      <w:r w:rsidR="004F20CE">
        <w:t xml:space="preserve"> huidige </w:t>
      </w:r>
      <w:r w:rsidR="0001193D">
        <w:t>Syrische overgangs</w:t>
      </w:r>
      <w:r w:rsidR="004F20CE">
        <w:t xml:space="preserve">regering. </w:t>
      </w:r>
      <w:r w:rsidR="00E82C1F">
        <w:t>Dat doet</w:t>
      </w:r>
      <w:r w:rsidR="004F20CE">
        <w:t xml:space="preserve"> Nederland in nauwe samenwerking met de EU </w:t>
      </w:r>
      <w:r w:rsidR="0001193D">
        <w:t>en andere partners</w:t>
      </w:r>
      <w:r w:rsidR="004F20CE">
        <w:t>.</w:t>
      </w:r>
    </w:p>
    <w:bookmarkEnd w:id="0"/>
    <w:p w:rsidR="004F20CE" w:rsidP="00565D4E" w:rsidRDefault="004F20CE" w14:paraId="6650E836" w14:textId="2D4B3604">
      <w:pPr>
        <w:spacing w:line="240" w:lineRule="auto"/>
      </w:pPr>
    </w:p>
    <w:p w:rsidR="0092100B" w:rsidP="00565D4E" w:rsidRDefault="00183F6A" w14:paraId="07EE66B4" w14:textId="302F4731">
      <w:pPr>
        <w:spacing w:line="240" w:lineRule="auto"/>
      </w:pPr>
      <w:r>
        <w:t xml:space="preserve">Er valt veel </w:t>
      </w:r>
      <w:r w:rsidRPr="007C31A9">
        <w:t xml:space="preserve">aan te merken op de processen van deze transitie, waaronder de parlementaire verkiezingen deze maand, en de Syrische overgangsregering heeft vooralsnog onvoldoende grip op veiligheid en rechtshandhaving. Het kabinet blijft de stappen </w:t>
      </w:r>
      <w:r w:rsidR="007C31A9">
        <w:t>wel</w:t>
      </w:r>
      <w:r w:rsidRPr="007C31A9">
        <w:t xml:space="preserve"> zeer nauwlettend en kritisch volgen. Samen met </w:t>
      </w:r>
      <w:r w:rsidR="00F24E78">
        <w:t xml:space="preserve">de EU en andere </w:t>
      </w:r>
      <w:r w:rsidRPr="007C31A9">
        <w:t>partners</w:t>
      </w:r>
      <w:r w:rsidR="00AF2295">
        <w:t xml:space="preserve"> blijven</w:t>
      </w:r>
      <w:r w:rsidRPr="007C31A9">
        <w:t xml:space="preserve"> we in ons contact met de Syrische overgangsregering </w:t>
      </w:r>
      <w:r w:rsidRPr="007C31A9" w:rsidR="007C31A9">
        <w:rPr>
          <w:rFonts w:cs="Arial"/>
        </w:rPr>
        <w:t>serieus aandringen op het belang van een inclusieve transitie en de bescherming van alle gemeenschappen</w:t>
      </w:r>
      <w:r w:rsidRPr="007C31A9">
        <w:t>. Afhankelijk van hun houding</w:t>
      </w:r>
      <w:r w:rsidR="00AF2295">
        <w:t xml:space="preserve"> </w:t>
      </w:r>
      <w:r w:rsidRPr="007C31A9">
        <w:t xml:space="preserve">schromen we het niet om de druk op de ketel te houden, bijvoorbeeld via onze </w:t>
      </w:r>
      <w:r w:rsidR="007C31A9">
        <w:t xml:space="preserve">diplomatieke </w:t>
      </w:r>
      <w:r w:rsidRPr="007C31A9">
        <w:t>kanalen en het sanctie-instrumentarium.</w:t>
      </w:r>
      <w:r>
        <w:t xml:space="preserve"> </w:t>
      </w:r>
    </w:p>
    <w:p w:rsidR="0092100B" w:rsidP="00565D4E" w:rsidRDefault="0092100B" w14:paraId="5FE6B6D2" w14:textId="77777777">
      <w:pPr>
        <w:spacing w:line="240" w:lineRule="auto"/>
      </w:pPr>
    </w:p>
    <w:p w:rsidR="007C31A9" w:rsidP="00565D4E" w:rsidRDefault="0092100B" w14:paraId="74AB463F" w14:textId="68FBF1CC">
      <w:pPr>
        <w:spacing w:line="240" w:lineRule="auto"/>
      </w:pPr>
      <w:r>
        <w:t>Ook in Europees verband blijft Nederland actief.</w:t>
      </w:r>
      <w:r w:rsidR="007C31A9">
        <w:t xml:space="preserve"> Het kabinet onderkent dat wederopbouw, economische ontwikkeling en stabiliteit bijdragen aan veiligheid en perspectief voor alle Syriërs. </w:t>
      </w:r>
      <w:r w:rsidR="00AF2295">
        <w:t>Vooruitgang op wederopbouw</w:t>
      </w:r>
      <w:r w:rsidR="00D744B6">
        <w:t xml:space="preserve">, </w:t>
      </w:r>
      <w:r w:rsidR="00AF2295">
        <w:t>economisch herstel</w:t>
      </w:r>
      <w:r w:rsidR="00D744B6">
        <w:t xml:space="preserve"> en versterkt vertrouwen tussen overheid en burgers</w:t>
      </w:r>
      <w:r w:rsidR="00AF2295">
        <w:t xml:space="preserve"> zal ook bijdragen aan het </w:t>
      </w:r>
      <w:r w:rsidR="00AF2295">
        <w:lastRenderedPageBreak/>
        <w:t xml:space="preserve">creëren van voorwaarden voor terugkeer van Syriërs. </w:t>
      </w:r>
      <w:r w:rsidR="007C31A9">
        <w:t>In de EU zet het kabinet zich in voor versterkte Europese en internationale coördinatie ten aanzien van wederopbouw en</w:t>
      </w:r>
      <w:r w:rsidR="00AF2295">
        <w:t xml:space="preserve"> te kijken naar </w:t>
      </w:r>
      <w:bookmarkStart w:name="_Hlk208577105" w:id="1"/>
      <w:r w:rsidR="00AF2295">
        <w:t xml:space="preserve">verdere </w:t>
      </w:r>
      <w:r w:rsidR="007C31A9">
        <w:t xml:space="preserve">sectorale sanctieverlichting </w:t>
      </w:r>
      <w:bookmarkEnd w:id="1"/>
      <w:r w:rsidR="007C31A9">
        <w:t xml:space="preserve">die nodig </w:t>
      </w:r>
      <w:r w:rsidR="00AF2295">
        <w:t>is</w:t>
      </w:r>
      <w:r w:rsidR="007C31A9">
        <w:t xml:space="preserve"> voor economisch herstel.</w:t>
      </w:r>
      <w:r w:rsidR="00AF2295">
        <w:t xml:space="preserve"> Ook landen in de regio, waaronder de Golfstaten, en internationaal financiële instellingen als de Wereldbank en de IMF zijn in gesprek met de Syrische overgangsregering over steunpakketten voor macro-economisch herstel. Het kabinet volgt deze ontwikkelingen nauwgezet. </w:t>
      </w:r>
    </w:p>
    <w:p w:rsidR="00AF2295" w:rsidP="00565D4E" w:rsidRDefault="00AF2295" w14:paraId="17CFA5A1" w14:textId="77777777">
      <w:pPr>
        <w:spacing w:line="240" w:lineRule="auto"/>
      </w:pPr>
    </w:p>
    <w:p w:rsidR="00AF2295" w:rsidP="00565D4E" w:rsidRDefault="00AF2295" w14:paraId="530464E8" w14:textId="0CBDEC28">
      <w:pPr>
        <w:spacing w:line="240" w:lineRule="auto"/>
      </w:pPr>
      <w:r>
        <w:t>Verder blijft humanitaire steun onmisbaar. Nederland ondersteunt de meest kwetsbaren in Syrië met flexibele financiering aan humanitaire partners. In 2025 gaat het om in totaal EUR 20,4 miljoen, via de Dutch Relief Alliance, het Nederlandse Rode Kruis en VN-humanitaire landenfondsen. Conform de motie Kahraman</w:t>
      </w:r>
      <w:r w:rsidR="005620EB">
        <w:t xml:space="preserve">, </w:t>
      </w:r>
      <w:r>
        <w:t>heeft Nederland in EU-verband bepleit dat hulp wordt verleend op basis van de grootste noden</w:t>
      </w:r>
      <w:r w:rsidR="007B47BF">
        <w:t xml:space="preserve"> en ten behoeve van de meest kwetsbare groepen</w:t>
      </w:r>
      <w:r>
        <w:t xml:space="preserve">, </w:t>
      </w:r>
      <w:r w:rsidRPr="007B47BF" w:rsidR="007B47BF">
        <w:t>inclusief aan etnische en religieuze gemeenschappen zoals christenen, Alawieten, Druzen, en Koerden.</w:t>
      </w:r>
    </w:p>
    <w:p w:rsidR="007C31A9" w:rsidP="00565D4E" w:rsidRDefault="007C31A9" w14:paraId="0E44E5C2" w14:textId="77777777">
      <w:pPr>
        <w:spacing w:line="240" w:lineRule="auto"/>
      </w:pPr>
    </w:p>
    <w:p w:rsidR="0092100B" w:rsidP="00565D4E" w:rsidRDefault="00AF2295" w14:paraId="75B4C229" w14:textId="435E7139">
      <w:pPr>
        <w:spacing w:line="240" w:lineRule="auto"/>
      </w:pPr>
      <w:r>
        <w:t>Ten slotte</w:t>
      </w:r>
      <w:r w:rsidR="0092100B">
        <w:t xml:space="preserve"> is</w:t>
      </w:r>
      <w:r w:rsidR="007C31A9">
        <w:t xml:space="preserve"> het tegengaan van straffeloosheid en</w:t>
      </w:r>
      <w:r w:rsidR="0092100B">
        <w:t xml:space="preserve"> gerechtigheid voo</w:t>
      </w:r>
      <w:r w:rsidR="007C31A9">
        <w:t>r</w:t>
      </w:r>
      <w:r w:rsidR="0092100B">
        <w:t xml:space="preserve"> misdaden onder het Assad-regime essentieel voor duurzame vrede.</w:t>
      </w:r>
      <w:r>
        <w:t xml:space="preserve"> Nederland heeft ten tijde van het Assad-regime een actieve rol </w:t>
      </w:r>
      <w:r w:rsidR="003B718D">
        <w:t>gespeeld op deze thema’s</w:t>
      </w:r>
      <w:r>
        <w:t xml:space="preserve">, bijvoorbeeld samen met Canada </w:t>
      </w:r>
      <w:r w:rsidR="003B718D">
        <w:t>in</w:t>
      </w:r>
      <w:r>
        <w:t xml:space="preserve"> de zaak bij het Internationaal Gerechtshof tegen Syrië onder het </w:t>
      </w:r>
      <w:r w:rsidR="00177F2E">
        <w:t>VN-antifolterverdrag</w:t>
      </w:r>
      <w:r>
        <w:t>, en zal dit blijven doen.</w:t>
      </w:r>
      <w:r w:rsidR="0092100B">
        <w:t xml:space="preserve"> Het kabinet heeft dit jaar opnieuw middelen beschikbaar gesteld voor de VN-bewijzenbank IIIM</w:t>
      </w:r>
      <w:r w:rsidR="00D744B6">
        <w:t>,</w:t>
      </w:r>
      <w:r w:rsidR="00846C6C">
        <w:t xml:space="preserve"> </w:t>
      </w:r>
      <w:r w:rsidR="0092100B">
        <w:t>het OHCHR-veldkantoor in Damascus</w:t>
      </w:r>
      <w:r w:rsidRPr="00D744B6" w:rsidR="00D744B6">
        <w:t xml:space="preserve"> en het </w:t>
      </w:r>
      <w:r w:rsidRPr="00846C6C" w:rsidR="00D744B6">
        <w:rPr>
          <w:i/>
          <w:iCs/>
        </w:rPr>
        <w:t xml:space="preserve">International Center for </w:t>
      </w:r>
      <w:proofErr w:type="spellStart"/>
      <w:r w:rsidRPr="00846C6C" w:rsidR="00D744B6">
        <w:rPr>
          <w:i/>
          <w:iCs/>
        </w:rPr>
        <w:t>Transitional</w:t>
      </w:r>
      <w:proofErr w:type="spellEnd"/>
      <w:r w:rsidRPr="00846C6C" w:rsidR="00D744B6">
        <w:rPr>
          <w:i/>
          <w:iCs/>
        </w:rPr>
        <w:t xml:space="preserve"> Justice</w:t>
      </w:r>
      <w:r w:rsidR="0092100B">
        <w:t>.</w:t>
      </w:r>
      <w:r w:rsidR="00420D1C">
        <w:rPr>
          <w:rStyle w:val="FootnoteReference"/>
        </w:rPr>
        <w:footnoteReference w:id="2"/>
      </w:r>
      <w:r w:rsidR="0092100B">
        <w:t xml:space="preserve"> Deze instellingen verzamelen en bewaren bewijs, zodat vervolging in nationale en internationale processen mogelijk blijft.</w:t>
      </w:r>
      <w:r w:rsidRPr="007C31A9" w:rsidR="007C31A9">
        <w:t xml:space="preserve"> </w:t>
      </w:r>
      <w:r w:rsidR="00D744B6">
        <w:t xml:space="preserve">Ook ondersteunen ze slachtoffers van onrecht. </w:t>
      </w:r>
      <w:r w:rsidR="007C31A9">
        <w:t xml:space="preserve">Mede op aandringen van Nederland heeft de EU de recente geweldsescalaties scherp veroordeeld en de overgangsregering gemaand tot actie. Daarnaast zijn sancties ingesteld tegen individuen die verantwoordelijk zijn voor sektarisch geweld en mensenrechtenschendingen. </w:t>
      </w:r>
    </w:p>
    <w:p w:rsidR="0092100B" w:rsidP="00565D4E" w:rsidRDefault="0092100B" w14:paraId="64B1F384" w14:textId="77777777">
      <w:pPr>
        <w:spacing w:line="240" w:lineRule="auto"/>
      </w:pPr>
    </w:p>
    <w:p w:rsidR="00793114" w:rsidP="00565D4E" w:rsidRDefault="0092100B" w14:paraId="052EC3C9" w14:textId="50AE33A0">
      <w:pPr>
        <w:spacing w:line="240" w:lineRule="auto"/>
      </w:pPr>
      <w:r>
        <w:t>De komende periode blijft onzeker en vraagt voortdurende afweging. De situatie in Syrië kent grote risico’s, maar ook kansen. Door vast te houden aan druk en sancties waar nodig, steun te geven aan verantwoordingsmechanismen en humanitaire partners,</w:t>
      </w:r>
      <w:r w:rsidR="00AF2295">
        <w:t xml:space="preserve"> bij te dragen aan wederopbouw en economisch herstel,</w:t>
      </w:r>
      <w:r>
        <w:t xml:space="preserve"> en de Syrische overgangsregering aan te spreken op haar verantwoordelijkheden, draagt Nederland bij aan de bescherming van minderheden en de stabiliteit in de regio. Tegelijkertijd biedt deze inzet kansen om onze waarden van rechtvaardigheid en inclusiviteit uit te dragen,</w:t>
      </w:r>
      <w:r w:rsidR="001F43FF">
        <w:t xml:space="preserve"> stappen te zetten ten aanzien van migratie en terugkeer, en</w:t>
      </w:r>
      <w:r>
        <w:t xml:space="preserve"> internationale samenwerking te versterken en zo ook de veiligheid van Nederland zelf te waarborgen.</w:t>
      </w:r>
    </w:p>
    <w:p w:rsidR="00196E89" w:rsidP="00565D4E" w:rsidRDefault="00196E89" w14:paraId="2069D6AC" w14:textId="77777777">
      <w:pPr>
        <w:spacing w:line="240" w:lineRule="auto"/>
      </w:pPr>
    </w:p>
    <w:p w:rsidR="00565D4E" w:rsidP="00565D4E" w:rsidRDefault="00565D4E" w14:paraId="1E3425D1" w14:textId="77777777">
      <w:pPr>
        <w:spacing w:line="240"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D221C0" w:rsidTr="28CBFA3E" w14:paraId="6317EDE2" w14:textId="77777777">
        <w:tc>
          <w:tcPr>
            <w:tcW w:w="3620" w:type="dxa"/>
          </w:tcPr>
          <w:p w:rsidR="00127348" w:rsidP="00565D4E" w:rsidRDefault="00793114" w14:paraId="6515FB15" w14:textId="0A6A6A69">
            <w:pPr>
              <w:spacing w:line="240" w:lineRule="auto"/>
            </w:pPr>
            <w:r>
              <w:t xml:space="preserve">De </w:t>
            </w:r>
            <w:r w:rsidR="0065426D">
              <w:t>m</w:t>
            </w:r>
            <w:r>
              <w:t>inister van Buitenlandse Zaken</w:t>
            </w:r>
            <w:r w:rsidR="00565D4E">
              <w:t>,</w:t>
            </w:r>
          </w:p>
          <w:p w:rsidR="00565D4E" w:rsidP="00565D4E" w:rsidRDefault="00793114" w14:paraId="577C287F" w14:textId="77777777">
            <w:pPr>
              <w:spacing w:line="240" w:lineRule="auto"/>
            </w:pPr>
            <w:r>
              <w:br/>
            </w:r>
          </w:p>
          <w:p w:rsidR="00565D4E" w:rsidP="00565D4E" w:rsidRDefault="00565D4E" w14:paraId="25E6A081" w14:textId="77777777">
            <w:pPr>
              <w:spacing w:line="240" w:lineRule="auto"/>
            </w:pPr>
          </w:p>
          <w:p w:rsidR="00565D4E" w:rsidP="00565D4E" w:rsidRDefault="00565D4E" w14:paraId="1D991DD9" w14:textId="77777777">
            <w:pPr>
              <w:spacing w:line="240" w:lineRule="auto"/>
            </w:pPr>
          </w:p>
          <w:p w:rsidR="00D221C0" w:rsidP="00565D4E" w:rsidRDefault="00793114" w14:paraId="6317EDE0" w14:textId="1BA82B7D">
            <w:pPr>
              <w:spacing w:line="240" w:lineRule="auto"/>
            </w:pPr>
            <w:r>
              <w:br/>
              <w:t>D.M. van Weel</w:t>
            </w:r>
          </w:p>
        </w:tc>
        <w:tc>
          <w:tcPr>
            <w:tcW w:w="3921" w:type="dxa"/>
          </w:tcPr>
          <w:p w:rsidR="00D221C0" w:rsidP="00565D4E" w:rsidRDefault="00D221C0" w14:paraId="6317EDE1" w14:textId="77777777">
            <w:pPr>
              <w:spacing w:line="240" w:lineRule="auto"/>
            </w:pPr>
          </w:p>
        </w:tc>
      </w:tr>
    </w:tbl>
    <w:p w:rsidR="00D221C0" w:rsidP="00565D4E" w:rsidRDefault="00D221C0" w14:paraId="6317EDE3" w14:textId="77777777">
      <w:pPr>
        <w:spacing w:line="240" w:lineRule="auto"/>
      </w:pPr>
    </w:p>
    <w:sectPr w:rsidR="00D221C0" w:rsidSect="00A96C7F">
      <w:headerReference w:type="default" r:id="rId14"/>
      <w:headerReference w:type="first" r:id="rId15"/>
      <w:pgSz w:w="11905" w:h="16837"/>
      <w:pgMar w:top="283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5E7D" w14:textId="77777777" w:rsidR="00793114" w:rsidRDefault="00793114">
      <w:pPr>
        <w:spacing w:line="240" w:lineRule="auto"/>
      </w:pPr>
      <w:r>
        <w:separator/>
      </w:r>
    </w:p>
  </w:endnote>
  <w:endnote w:type="continuationSeparator" w:id="0">
    <w:p w14:paraId="06C9A7C3" w14:textId="77777777" w:rsidR="00793114" w:rsidRDefault="00793114">
      <w:pPr>
        <w:spacing w:line="240" w:lineRule="auto"/>
      </w:pPr>
      <w:r>
        <w:continuationSeparator/>
      </w:r>
    </w:p>
  </w:endnote>
  <w:endnote w:type="continuationNotice" w:id="1">
    <w:p w14:paraId="7D740D31" w14:textId="77777777" w:rsidR="00662062" w:rsidRDefault="006620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14B3" w14:textId="77777777" w:rsidR="00793114" w:rsidRDefault="00793114">
      <w:pPr>
        <w:spacing w:line="240" w:lineRule="auto"/>
      </w:pPr>
      <w:r>
        <w:separator/>
      </w:r>
    </w:p>
  </w:footnote>
  <w:footnote w:type="continuationSeparator" w:id="0">
    <w:p w14:paraId="6F8C00E3" w14:textId="77777777" w:rsidR="00793114" w:rsidRDefault="00793114">
      <w:pPr>
        <w:spacing w:line="240" w:lineRule="auto"/>
      </w:pPr>
      <w:r>
        <w:continuationSeparator/>
      </w:r>
    </w:p>
  </w:footnote>
  <w:footnote w:type="continuationNotice" w:id="1">
    <w:p w14:paraId="63BC8886" w14:textId="77777777" w:rsidR="00662062" w:rsidRDefault="00662062">
      <w:pPr>
        <w:spacing w:line="240" w:lineRule="auto"/>
      </w:pPr>
    </w:p>
  </w:footnote>
  <w:footnote w:id="2">
    <w:p w14:paraId="192A632A" w14:textId="62697B91" w:rsidR="00420D1C" w:rsidRPr="00420D1C" w:rsidRDefault="00420D1C">
      <w:pPr>
        <w:pStyle w:val="FootnoteText"/>
        <w:rPr>
          <w:sz w:val="16"/>
          <w:szCs w:val="16"/>
        </w:rPr>
      </w:pPr>
      <w:r w:rsidRPr="00420D1C">
        <w:rPr>
          <w:rStyle w:val="FootnoteReference"/>
          <w:sz w:val="16"/>
          <w:szCs w:val="16"/>
        </w:rPr>
        <w:footnoteRef/>
      </w:r>
      <w:r w:rsidRPr="00420D1C">
        <w:rPr>
          <w:sz w:val="16"/>
          <w:szCs w:val="16"/>
        </w:rPr>
        <w:t xml:space="preserve"> Middels deze inzet </w:t>
      </w:r>
      <w:r>
        <w:rPr>
          <w:sz w:val="16"/>
          <w:szCs w:val="16"/>
        </w:rPr>
        <w:t xml:space="preserve">geeft het </w:t>
      </w:r>
      <w:r w:rsidR="00F21DD3">
        <w:rPr>
          <w:sz w:val="16"/>
          <w:szCs w:val="16"/>
        </w:rPr>
        <w:t>k</w:t>
      </w:r>
      <w:r>
        <w:rPr>
          <w:sz w:val="16"/>
          <w:szCs w:val="16"/>
        </w:rPr>
        <w:t>abinet uitvoering</w:t>
      </w:r>
      <w:r w:rsidRPr="00420D1C">
        <w:rPr>
          <w:sz w:val="16"/>
          <w:szCs w:val="16"/>
        </w:rPr>
        <w:t xml:space="preserve"> aan </w:t>
      </w:r>
      <w:r w:rsidR="00F21DD3">
        <w:rPr>
          <w:sz w:val="16"/>
          <w:szCs w:val="16"/>
        </w:rPr>
        <w:t>m</w:t>
      </w:r>
      <w:r w:rsidRPr="00420D1C">
        <w:rPr>
          <w:sz w:val="16"/>
          <w:szCs w:val="16"/>
        </w:rPr>
        <w:t>otie 32 623, nr. 343 - Kahraman c.s. over steun voor het OHCHR-veldkantoor of bewijzenbank IIIM.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DE4" w14:textId="77777777" w:rsidR="00D221C0" w:rsidRDefault="00793114">
    <w:r>
      <w:rPr>
        <w:noProof/>
      </w:rPr>
      <mc:AlternateContent>
        <mc:Choice Requires="wps">
          <w:drawing>
            <wp:anchor distT="0" distB="0" distL="0" distR="0" simplePos="0" relativeHeight="251658240" behindDoc="0" locked="1" layoutInCell="1" allowOverlap="1" wp14:anchorId="6317EDE8" wp14:editId="6F5445D9">
              <wp:simplePos x="0" y="0"/>
              <wp:positionH relativeFrom="page">
                <wp:posOffset>6102350</wp:posOffset>
              </wp:positionH>
              <wp:positionV relativeFrom="page">
                <wp:posOffset>1841500</wp:posOffset>
              </wp:positionV>
              <wp:extent cx="1352550" cy="815594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155940"/>
                      </a:xfrm>
                      <a:prstGeom prst="rect">
                        <a:avLst/>
                      </a:prstGeom>
                      <a:noFill/>
                    </wps:spPr>
                    <wps:txbx>
                      <w:txbxContent>
                        <w:p w14:paraId="6317EE1A" w14:textId="77777777" w:rsidR="00D221C0" w:rsidRDefault="00793114">
                          <w:pPr>
                            <w:pStyle w:val="Referentiegegevensbold"/>
                          </w:pPr>
                          <w:r>
                            <w:t>Ministerie van Buitenlandse Zaken</w:t>
                          </w:r>
                        </w:p>
                        <w:p w14:paraId="6317EE1B" w14:textId="77777777" w:rsidR="00D221C0" w:rsidRDefault="00D221C0">
                          <w:pPr>
                            <w:pStyle w:val="WitregelW2"/>
                          </w:pPr>
                        </w:p>
                        <w:p w14:paraId="6317EE1C" w14:textId="77777777" w:rsidR="00D221C0" w:rsidRDefault="00793114">
                          <w:pPr>
                            <w:pStyle w:val="Referentiegegevensbold"/>
                          </w:pPr>
                          <w:r>
                            <w:t>Onze referentie</w:t>
                          </w:r>
                        </w:p>
                        <w:p w14:paraId="6317EE1D" w14:textId="77777777" w:rsidR="00D221C0" w:rsidRDefault="00793114">
                          <w:pPr>
                            <w:pStyle w:val="Referentiegegevens"/>
                          </w:pPr>
                          <w:r>
                            <w:t>BZ2519878</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7EDE8" id="_x0000_t202" coordsize="21600,21600" o:spt="202" path="m,l,21600r21600,l21600,xe">
              <v:stroke joinstyle="miter"/>
              <v:path gradientshapeok="t" o:connecttype="rect"/>
            </v:shapetype>
            <v:shape id="41b1110a-80a4-11ea-b356-6230a4311406" o:spid="_x0000_s1026" type="#_x0000_t202" style="position:absolute;margin-left:480.5pt;margin-top:145pt;width:106.5pt;height:64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" filled="f" stroked="f">
              <v:textbox inset="0,0,0,0">
                <w:txbxContent>
                  <w:p w14:paraId="6317EE1A" w14:textId="77777777" w:rsidR="00D221C0" w:rsidRDefault="00793114">
                    <w:pPr>
                      <w:pStyle w:val="Referentiegegevensbold"/>
                    </w:pPr>
                    <w:r>
                      <w:t>Ministerie van Buitenlandse Zaken</w:t>
                    </w:r>
                  </w:p>
                  <w:p w14:paraId="6317EE1B" w14:textId="77777777" w:rsidR="00D221C0" w:rsidRDefault="00D221C0">
                    <w:pPr>
                      <w:pStyle w:val="WitregelW2"/>
                    </w:pPr>
                  </w:p>
                  <w:p w14:paraId="6317EE1C" w14:textId="77777777" w:rsidR="00D221C0" w:rsidRDefault="00793114">
                    <w:pPr>
                      <w:pStyle w:val="Referentiegegevensbold"/>
                    </w:pPr>
                    <w:r>
                      <w:t>Onze referentie</w:t>
                    </w:r>
                  </w:p>
                  <w:p w14:paraId="6317EE1D" w14:textId="77777777" w:rsidR="00D221C0" w:rsidRDefault="00793114">
                    <w:pPr>
                      <w:pStyle w:val="Referentiegegevens"/>
                    </w:pPr>
                    <w:r>
                      <w:t>BZ2519878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317EDEA" wp14:editId="6317EDE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317EE2A" w14:textId="77777777" w:rsidR="00793114" w:rsidRDefault="00793114"/>
                      </w:txbxContent>
                    </wps:txbx>
                    <wps:bodyPr vert="horz" wrap="square" lIns="0" tIns="0" rIns="0" bIns="0" anchor="t" anchorCtr="0"/>
                  </wps:wsp>
                </a:graphicData>
              </a:graphic>
            </wp:anchor>
          </w:drawing>
        </mc:Choice>
        <mc:Fallback>
          <w:pict>
            <v:shape w14:anchorId="6317EDEA"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317EE2A" w14:textId="77777777" w:rsidR="00793114" w:rsidRDefault="00793114"/>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317EDEC" wp14:editId="6317EDE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17EE1E" w14:textId="7F2EFFFB" w:rsidR="00D221C0" w:rsidRDefault="00793114">
                          <w:pPr>
                            <w:pStyle w:val="Referentiegegevens"/>
                          </w:pPr>
                          <w:r>
                            <w:t xml:space="preserve">Pagina </w:t>
                          </w:r>
                          <w:r>
                            <w:fldChar w:fldCharType="begin"/>
                          </w:r>
                          <w:r>
                            <w:instrText>PAGE</w:instrText>
                          </w:r>
                          <w:r>
                            <w:fldChar w:fldCharType="separate"/>
                          </w:r>
                          <w:r w:rsidR="00196E89">
                            <w:rPr>
                              <w:noProof/>
                            </w:rPr>
                            <w:t>2</w:t>
                          </w:r>
                          <w:r>
                            <w:fldChar w:fldCharType="end"/>
                          </w:r>
                          <w:r>
                            <w:t xml:space="preserve"> van </w:t>
                          </w:r>
                          <w:r>
                            <w:fldChar w:fldCharType="begin"/>
                          </w:r>
                          <w:r>
                            <w:instrText>NUMPAGES</w:instrText>
                          </w:r>
                          <w:r>
                            <w:fldChar w:fldCharType="separate"/>
                          </w:r>
                          <w:r w:rsidR="00196E89">
                            <w:rPr>
                              <w:noProof/>
                            </w:rPr>
                            <w:t>2</w:t>
                          </w:r>
                          <w:r>
                            <w:fldChar w:fldCharType="end"/>
                          </w:r>
                        </w:p>
                      </w:txbxContent>
                    </wps:txbx>
                    <wps:bodyPr vert="horz" wrap="square" lIns="0" tIns="0" rIns="0" bIns="0" anchor="t" anchorCtr="0"/>
                  </wps:wsp>
                </a:graphicData>
              </a:graphic>
            </wp:anchor>
          </w:drawing>
        </mc:Choice>
        <mc:Fallback>
          <w:pict>
            <v:shape w14:anchorId="6317EDEC"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317EE1E" w14:textId="7F2EFFFB" w:rsidR="00D221C0" w:rsidRDefault="00793114">
                    <w:pPr>
                      <w:pStyle w:val="Referentiegegevens"/>
                    </w:pPr>
                    <w:r>
                      <w:t xml:space="preserve">Pagina </w:t>
                    </w:r>
                    <w:r>
                      <w:fldChar w:fldCharType="begin"/>
                    </w:r>
                    <w:r>
                      <w:instrText>PAGE</w:instrText>
                    </w:r>
                    <w:r>
                      <w:fldChar w:fldCharType="separate"/>
                    </w:r>
                    <w:r w:rsidR="00196E89">
                      <w:rPr>
                        <w:noProof/>
                      </w:rPr>
                      <w:t>2</w:t>
                    </w:r>
                    <w:r>
                      <w:fldChar w:fldCharType="end"/>
                    </w:r>
                    <w:r>
                      <w:t xml:space="preserve"> van </w:t>
                    </w:r>
                    <w:r>
                      <w:fldChar w:fldCharType="begin"/>
                    </w:r>
                    <w:r>
                      <w:instrText>NUMPAGES</w:instrText>
                    </w:r>
                    <w:r>
                      <w:fldChar w:fldCharType="separate"/>
                    </w:r>
                    <w:r w:rsidR="00196E8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DE6" w14:textId="77777777" w:rsidR="00D221C0" w:rsidRDefault="00793114">
    <w:pPr>
      <w:spacing w:after="7131" w:line="14" w:lineRule="exact"/>
    </w:pPr>
    <w:r>
      <w:rPr>
        <w:noProof/>
      </w:rPr>
      <mc:AlternateContent>
        <mc:Choice Requires="wps">
          <w:drawing>
            <wp:anchor distT="0" distB="0" distL="0" distR="0" simplePos="0" relativeHeight="251658243" behindDoc="0" locked="1" layoutInCell="1" allowOverlap="1" wp14:anchorId="6317EDEE" wp14:editId="6317EDE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317EE1F" w14:textId="77777777" w:rsidR="00793114" w:rsidRDefault="00793114"/>
                      </w:txbxContent>
                    </wps:txbx>
                    <wps:bodyPr vert="horz" wrap="square" lIns="0" tIns="0" rIns="0" bIns="0" anchor="t" anchorCtr="0"/>
                  </wps:wsp>
                </a:graphicData>
              </a:graphic>
            </wp:anchor>
          </w:drawing>
        </mc:Choice>
        <mc:Fallback>
          <w:pict>
            <v:shapetype w14:anchorId="6317EDE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317EE1F" w14:textId="77777777" w:rsidR="00793114" w:rsidRDefault="0079311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317EDF0" wp14:editId="6317EDF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17EDFF" w14:textId="31CC6120" w:rsidR="00D221C0" w:rsidRDefault="00793114">
                          <w:r>
                            <w:t xml:space="preserve">Aan de Voorzitter van de </w:t>
                          </w:r>
                          <w:r>
                            <w:br/>
                            <w:t>Tweede Kamer der Staten-Generaal</w:t>
                          </w:r>
                          <w:r>
                            <w:br/>
                            <w:t>Prinses Irenestraat 6</w:t>
                          </w:r>
                          <w:r>
                            <w:br/>
                            <w:t>Den Haa</w:t>
                          </w:r>
                          <w:r w:rsidR="00565D4E">
                            <w:t>g</w:t>
                          </w:r>
                        </w:p>
                      </w:txbxContent>
                    </wps:txbx>
                    <wps:bodyPr vert="horz" wrap="square" lIns="0" tIns="0" rIns="0" bIns="0" anchor="t" anchorCtr="0"/>
                  </wps:wsp>
                </a:graphicData>
              </a:graphic>
            </wp:anchor>
          </w:drawing>
        </mc:Choice>
        <mc:Fallback>
          <w:pict>
            <v:shape w14:anchorId="6317EDF0"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317EDFF" w14:textId="31CC6120" w:rsidR="00D221C0" w:rsidRDefault="00793114">
                    <w:r>
                      <w:t xml:space="preserve">Aan de Voorzitter van de </w:t>
                    </w:r>
                    <w:r>
                      <w:br/>
                      <w:t>Tweede Kamer der Staten-Generaal</w:t>
                    </w:r>
                    <w:r>
                      <w:br/>
                      <w:t>Prinses Irenestraat 6</w:t>
                    </w:r>
                    <w:r>
                      <w:br/>
                      <w:t>Den Haa</w:t>
                    </w:r>
                    <w:r w:rsidR="00565D4E">
                      <w:t>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317EDF2" wp14:editId="6317EDF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221C0" w14:paraId="6317EE02" w14:textId="77777777">
                            <w:tc>
                              <w:tcPr>
                                <w:tcW w:w="678" w:type="dxa"/>
                              </w:tcPr>
                              <w:p w14:paraId="6317EE00" w14:textId="77777777" w:rsidR="00D221C0" w:rsidRDefault="00793114">
                                <w:r>
                                  <w:t>Datum</w:t>
                                </w:r>
                              </w:p>
                            </w:tc>
                            <w:tc>
                              <w:tcPr>
                                <w:tcW w:w="6851" w:type="dxa"/>
                              </w:tcPr>
                              <w:p w14:paraId="6317EE01" w14:textId="0D2F4BDA" w:rsidR="00D221C0" w:rsidRDefault="00565D4E">
                                <w:r>
                                  <w:t>19</w:t>
                                </w:r>
                                <w:r w:rsidR="00793114">
                                  <w:t xml:space="preserve"> september 2025</w:t>
                                </w:r>
                              </w:p>
                            </w:tc>
                          </w:tr>
                          <w:tr w:rsidR="00D221C0" w14:paraId="6317EE07" w14:textId="77777777">
                            <w:tc>
                              <w:tcPr>
                                <w:tcW w:w="678" w:type="dxa"/>
                              </w:tcPr>
                              <w:p w14:paraId="6317EE03" w14:textId="77777777" w:rsidR="00D221C0" w:rsidRDefault="00793114">
                                <w:r>
                                  <w:t>Betreft</w:t>
                                </w:r>
                              </w:p>
                              <w:p w14:paraId="6317EE04" w14:textId="77777777" w:rsidR="00D221C0" w:rsidRDefault="00D221C0"/>
                            </w:tc>
                            <w:tc>
                              <w:tcPr>
                                <w:tcW w:w="6851" w:type="dxa"/>
                              </w:tcPr>
                              <w:p w14:paraId="6317EE05" w14:textId="1BDEF9D5" w:rsidR="00D221C0" w:rsidRDefault="00FE7864">
                                <w:r>
                                  <w:t>Reactie</w:t>
                                </w:r>
                                <w:r w:rsidR="00793114">
                                  <w:t xml:space="preserve"> m</w:t>
                                </w:r>
                                <w:r w:rsidR="00C33DE2">
                                  <w:t>.b.t. de</w:t>
                                </w:r>
                                <w:r w:rsidR="00793114">
                                  <w:t xml:space="preserve"> bescherming van (religieuze) minderheden in Syri</w:t>
                                </w:r>
                                <w:r w:rsidR="00C33DE2">
                                  <w:t>ë</w:t>
                                </w:r>
                              </w:p>
                              <w:p w14:paraId="6317EE06" w14:textId="77777777" w:rsidR="00D221C0" w:rsidRDefault="00D221C0"/>
                            </w:tc>
                          </w:tr>
                        </w:tbl>
                        <w:p w14:paraId="6317EE08" w14:textId="77777777" w:rsidR="00D221C0" w:rsidRDefault="00D221C0"/>
                        <w:p w14:paraId="6317EE09" w14:textId="77777777" w:rsidR="00D221C0" w:rsidRDefault="00D221C0"/>
                      </w:txbxContent>
                    </wps:txbx>
                    <wps:bodyPr vert="horz" wrap="square" lIns="0" tIns="0" rIns="0" bIns="0" anchor="t" anchorCtr="0"/>
                  </wps:wsp>
                </a:graphicData>
              </a:graphic>
            </wp:anchor>
          </w:drawing>
        </mc:Choice>
        <mc:Fallback>
          <w:pict>
            <v:shape w14:anchorId="6317EDF2"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221C0" w14:paraId="6317EE02" w14:textId="77777777">
                      <w:tc>
                        <w:tcPr>
                          <w:tcW w:w="678" w:type="dxa"/>
                        </w:tcPr>
                        <w:p w14:paraId="6317EE00" w14:textId="77777777" w:rsidR="00D221C0" w:rsidRDefault="00793114">
                          <w:r>
                            <w:t>Datum</w:t>
                          </w:r>
                        </w:p>
                      </w:tc>
                      <w:tc>
                        <w:tcPr>
                          <w:tcW w:w="6851" w:type="dxa"/>
                        </w:tcPr>
                        <w:p w14:paraId="6317EE01" w14:textId="0D2F4BDA" w:rsidR="00D221C0" w:rsidRDefault="00565D4E">
                          <w:r>
                            <w:t>19</w:t>
                          </w:r>
                          <w:r w:rsidR="00793114">
                            <w:t xml:space="preserve"> september 2025</w:t>
                          </w:r>
                        </w:p>
                      </w:tc>
                    </w:tr>
                    <w:tr w:rsidR="00D221C0" w14:paraId="6317EE07" w14:textId="77777777">
                      <w:tc>
                        <w:tcPr>
                          <w:tcW w:w="678" w:type="dxa"/>
                        </w:tcPr>
                        <w:p w14:paraId="6317EE03" w14:textId="77777777" w:rsidR="00D221C0" w:rsidRDefault="00793114">
                          <w:r>
                            <w:t>Betreft</w:t>
                          </w:r>
                        </w:p>
                        <w:p w14:paraId="6317EE04" w14:textId="77777777" w:rsidR="00D221C0" w:rsidRDefault="00D221C0"/>
                      </w:tc>
                      <w:tc>
                        <w:tcPr>
                          <w:tcW w:w="6851" w:type="dxa"/>
                        </w:tcPr>
                        <w:p w14:paraId="6317EE05" w14:textId="1BDEF9D5" w:rsidR="00D221C0" w:rsidRDefault="00FE7864">
                          <w:r>
                            <w:t>Reactie</w:t>
                          </w:r>
                          <w:r w:rsidR="00793114">
                            <w:t xml:space="preserve"> m</w:t>
                          </w:r>
                          <w:r w:rsidR="00C33DE2">
                            <w:t>.b.t. de</w:t>
                          </w:r>
                          <w:r w:rsidR="00793114">
                            <w:t xml:space="preserve"> bescherming van (religieuze) minderheden in Syri</w:t>
                          </w:r>
                          <w:r w:rsidR="00C33DE2">
                            <w:t>ë</w:t>
                          </w:r>
                        </w:p>
                        <w:p w14:paraId="6317EE06" w14:textId="77777777" w:rsidR="00D221C0" w:rsidRDefault="00D221C0"/>
                      </w:tc>
                    </w:tr>
                  </w:tbl>
                  <w:p w14:paraId="6317EE08" w14:textId="77777777" w:rsidR="00D221C0" w:rsidRDefault="00D221C0"/>
                  <w:p w14:paraId="6317EE09" w14:textId="77777777" w:rsidR="00D221C0" w:rsidRDefault="00D221C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317EDF4" wp14:editId="265CD501">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6317EE0B" w14:textId="3E85E5C4" w:rsidR="00D221C0" w:rsidRDefault="00793114" w:rsidP="00565D4E">
                          <w:pPr>
                            <w:pStyle w:val="Referentiegegevensbold"/>
                          </w:pPr>
                          <w:r>
                            <w:t>Ministerie van Buitenlandse Zaken</w:t>
                          </w:r>
                        </w:p>
                        <w:p w14:paraId="6317EE0C" w14:textId="0C17AEE7" w:rsidR="00D221C0" w:rsidRDefault="0065426D">
                          <w:pPr>
                            <w:pStyle w:val="Referentiegegevens"/>
                          </w:pPr>
                          <w:r w:rsidRPr="0065426D">
                            <w:t>Rijnstraat 8</w:t>
                          </w:r>
                        </w:p>
                        <w:p w14:paraId="4F76A74F" w14:textId="13B80748" w:rsidR="0065426D" w:rsidRPr="0065426D" w:rsidRDefault="0065426D" w:rsidP="0065426D">
                          <w:pPr>
                            <w:rPr>
                              <w:sz w:val="13"/>
                              <w:szCs w:val="13"/>
                              <w:lang w:val="da-DK"/>
                            </w:rPr>
                          </w:pPr>
                          <w:r w:rsidRPr="0065426D">
                            <w:rPr>
                              <w:sz w:val="13"/>
                              <w:szCs w:val="13"/>
                              <w:lang w:val="da-DK"/>
                            </w:rPr>
                            <w:t>2515XP Den Haag</w:t>
                          </w:r>
                        </w:p>
                        <w:p w14:paraId="03E65DDE" w14:textId="3D4609AF" w:rsidR="0065426D" w:rsidRPr="0065426D" w:rsidRDefault="0065426D" w:rsidP="0065426D">
                          <w:pPr>
                            <w:rPr>
                              <w:sz w:val="13"/>
                              <w:szCs w:val="13"/>
                              <w:lang w:val="da-DK"/>
                            </w:rPr>
                          </w:pPr>
                          <w:r w:rsidRPr="0065426D">
                            <w:rPr>
                              <w:sz w:val="13"/>
                              <w:szCs w:val="13"/>
                              <w:lang w:val="da-DK"/>
                            </w:rPr>
                            <w:t>Postbus 20061</w:t>
                          </w:r>
                        </w:p>
                        <w:p w14:paraId="4CBFCC4F" w14:textId="29941C8A" w:rsidR="0065426D" w:rsidRPr="0065426D" w:rsidRDefault="0065426D" w:rsidP="0065426D">
                          <w:pPr>
                            <w:rPr>
                              <w:sz w:val="13"/>
                              <w:szCs w:val="13"/>
                              <w:lang w:val="da-DK"/>
                            </w:rPr>
                          </w:pPr>
                          <w:r w:rsidRPr="0065426D">
                            <w:rPr>
                              <w:sz w:val="13"/>
                              <w:szCs w:val="13"/>
                              <w:lang w:val="da-DK"/>
                            </w:rPr>
                            <w:t>Nederland</w:t>
                          </w:r>
                        </w:p>
                        <w:p w14:paraId="6317EE0D" w14:textId="77777777" w:rsidR="00D221C0" w:rsidRPr="0065426D" w:rsidRDefault="00793114">
                          <w:pPr>
                            <w:pStyle w:val="Referentiegegevens"/>
                            <w:rPr>
                              <w:lang w:val="da-DK"/>
                            </w:rPr>
                          </w:pPr>
                          <w:r w:rsidRPr="0065426D">
                            <w:rPr>
                              <w:lang w:val="da-DK"/>
                            </w:rPr>
                            <w:t>www.minbuza.nl</w:t>
                          </w:r>
                        </w:p>
                        <w:p w14:paraId="6317EE0E" w14:textId="77777777" w:rsidR="00D221C0" w:rsidRPr="0065426D" w:rsidRDefault="00D221C0">
                          <w:pPr>
                            <w:pStyle w:val="WitregelW2"/>
                            <w:rPr>
                              <w:lang w:val="da-DK"/>
                            </w:rPr>
                          </w:pPr>
                        </w:p>
                        <w:p w14:paraId="6317EE0F" w14:textId="77777777" w:rsidR="00D221C0" w:rsidRPr="00565D4E" w:rsidRDefault="00793114">
                          <w:pPr>
                            <w:pStyle w:val="Referentiegegevensbold"/>
                          </w:pPr>
                          <w:r w:rsidRPr="00565D4E">
                            <w:t>Onze referentie</w:t>
                          </w:r>
                        </w:p>
                        <w:p w14:paraId="6317EE10" w14:textId="77777777" w:rsidR="00D221C0" w:rsidRDefault="00793114">
                          <w:pPr>
                            <w:pStyle w:val="Referentiegegevens"/>
                          </w:pPr>
                          <w:r>
                            <w:t>BZ2519878</w:t>
                          </w:r>
                        </w:p>
                        <w:p w14:paraId="6317EE11" w14:textId="77777777" w:rsidR="00D221C0" w:rsidRDefault="00D221C0">
                          <w:pPr>
                            <w:pStyle w:val="WitregelW1"/>
                          </w:pPr>
                        </w:p>
                        <w:p w14:paraId="6317EE12" w14:textId="77777777" w:rsidR="00D221C0" w:rsidRDefault="00793114">
                          <w:pPr>
                            <w:pStyle w:val="Referentiegegevensbold"/>
                          </w:pPr>
                          <w:r>
                            <w:t>Uw referentie</w:t>
                          </w:r>
                        </w:p>
                        <w:p w14:paraId="6317EE13" w14:textId="77777777" w:rsidR="00D221C0" w:rsidRDefault="00793114">
                          <w:pPr>
                            <w:pStyle w:val="Referentiegegevens"/>
                          </w:pPr>
                          <w:r>
                            <w:t>025Z14802/2025D37265</w:t>
                          </w:r>
                        </w:p>
                        <w:p w14:paraId="6317EE14" w14:textId="77777777" w:rsidR="00D221C0" w:rsidRDefault="00D221C0">
                          <w:pPr>
                            <w:pStyle w:val="WitregelW1"/>
                          </w:pPr>
                        </w:p>
                        <w:p w14:paraId="6317EE15" w14:textId="77777777" w:rsidR="00D221C0" w:rsidRDefault="00793114">
                          <w:pPr>
                            <w:pStyle w:val="Referentiegegevensbold"/>
                          </w:pPr>
                          <w:r>
                            <w:t>Bijlage(n)</w:t>
                          </w:r>
                        </w:p>
                        <w:p w14:paraId="6317EE16" w14:textId="528A57CD" w:rsidR="00D221C0" w:rsidRDefault="00196E8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317EDF4" id="41b10cd4-80a4-11ea-b356-6230a4311406" o:spid="_x0000_s1032"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PlAEAABUDAAAOAAAAZHJzL2Uyb0RvYy54bWysUsFuFDEMvSPxD1Hu7ExbqL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S9ba+u3nH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MnerM+UAQAAFQMA&#10;AA4AAAAAAAAAAAAAAAAALgIAAGRycy9lMm9Eb2MueG1sUEsBAi0AFAAGAAgAAAAhANdAR3rhAAAA&#10;DQEAAA8AAAAAAAAAAAAAAAAA7gMAAGRycy9kb3ducmV2LnhtbFBLBQYAAAAABAAEAPMAAAD8BAAA&#10;AAA=&#10;" filled="f" stroked="f">
              <v:textbox inset="0,0,0,0">
                <w:txbxContent>
                  <w:p w14:paraId="6317EE0B" w14:textId="3E85E5C4" w:rsidR="00D221C0" w:rsidRDefault="00793114" w:rsidP="00565D4E">
                    <w:pPr>
                      <w:pStyle w:val="Referentiegegevensbold"/>
                    </w:pPr>
                    <w:r>
                      <w:t>Ministerie van Buitenlandse Zaken</w:t>
                    </w:r>
                  </w:p>
                  <w:p w14:paraId="6317EE0C" w14:textId="0C17AEE7" w:rsidR="00D221C0" w:rsidRDefault="0065426D">
                    <w:pPr>
                      <w:pStyle w:val="Referentiegegevens"/>
                    </w:pPr>
                    <w:r w:rsidRPr="0065426D">
                      <w:t>Rijnstraat 8</w:t>
                    </w:r>
                  </w:p>
                  <w:p w14:paraId="4F76A74F" w14:textId="13B80748" w:rsidR="0065426D" w:rsidRPr="0065426D" w:rsidRDefault="0065426D" w:rsidP="0065426D">
                    <w:pPr>
                      <w:rPr>
                        <w:sz w:val="13"/>
                        <w:szCs w:val="13"/>
                        <w:lang w:val="da-DK"/>
                      </w:rPr>
                    </w:pPr>
                    <w:r w:rsidRPr="0065426D">
                      <w:rPr>
                        <w:sz w:val="13"/>
                        <w:szCs w:val="13"/>
                        <w:lang w:val="da-DK"/>
                      </w:rPr>
                      <w:t>2515XP Den Haag</w:t>
                    </w:r>
                  </w:p>
                  <w:p w14:paraId="03E65DDE" w14:textId="3D4609AF" w:rsidR="0065426D" w:rsidRPr="0065426D" w:rsidRDefault="0065426D" w:rsidP="0065426D">
                    <w:pPr>
                      <w:rPr>
                        <w:sz w:val="13"/>
                        <w:szCs w:val="13"/>
                        <w:lang w:val="da-DK"/>
                      </w:rPr>
                    </w:pPr>
                    <w:r w:rsidRPr="0065426D">
                      <w:rPr>
                        <w:sz w:val="13"/>
                        <w:szCs w:val="13"/>
                        <w:lang w:val="da-DK"/>
                      </w:rPr>
                      <w:t>Postbus 20061</w:t>
                    </w:r>
                  </w:p>
                  <w:p w14:paraId="4CBFCC4F" w14:textId="29941C8A" w:rsidR="0065426D" w:rsidRPr="0065426D" w:rsidRDefault="0065426D" w:rsidP="0065426D">
                    <w:pPr>
                      <w:rPr>
                        <w:sz w:val="13"/>
                        <w:szCs w:val="13"/>
                        <w:lang w:val="da-DK"/>
                      </w:rPr>
                    </w:pPr>
                    <w:r w:rsidRPr="0065426D">
                      <w:rPr>
                        <w:sz w:val="13"/>
                        <w:szCs w:val="13"/>
                        <w:lang w:val="da-DK"/>
                      </w:rPr>
                      <w:t>Nederland</w:t>
                    </w:r>
                  </w:p>
                  <w:p w14:paraId="6317EE0D" w14:textId="77777777" w:rsidR="00D221C0" w:rsidRPr="0065426D" w:rsidRDefault="00793114">
                    <w:pPr>
                      <w:pStyle w:val="Referentiegegevens"/>
                      <w:rPr>
                        <w:lang w:val="da-DK"/>
                      </w:rPr>
                    </w:pPr>
                    <w:r w:rsidRPr="0065426D">
                      <w:rPr>
                        <w:lang w:val="da-DK"/>
                      </w:rPr>
                      <w:t>www.minbuza.nl</w:t>
                    </w:r>
                  </w:p>
                  <w:p w14:paraId="6317EE0E" w14:textId="77777777" w:rsidR="00D221C0" w:rsidRPr="0065426D" w:rsidRDefault="00D221C0">
                    <w:pPr>
                      <w:pStyle w:val="WitregelW2"/>
                      <w:rPr>
                        <w:lang w:val="da-DK"/>
                      </w:rPr>
                    </w:pPr>
                  </w:p>
                  <w:p w14:paraId="6317EE0F" w14:textId="77777777" w:rsidR="00D221C0" w:rsidRPr="00565D4E" w:rsidRDefault="00793114">
                    <w:pPr>
                      <w:pStyle w:val="Referentiegegevensbold"/>
                    </w:pPr>
                    <w:r w:rsidRPr="00565D4E">
                      <w:t>Onze referentie</w:t>
                    </w:r>
                  </w:p>
                  <w:p w14:paraId="6317EE10" w14:textId="77777777" w:rsidR="00D221C0" w:rsidRDefault="00793114">
                    <w:pPr>
                      <w:pStyle w:val="Referentiegegevens"/>
                    </w:pPr>
                    <w:r>
                      <w:t>BZ2519878</w:t>
                    </w:r>
                  </w:p>
                  <w:p w14:paraId="6317EE11" w14:textId="77777777" w:rsidR="00D221C0" w:rsidRDefault="00D221C0">
                    <w:pPr>
                      <w:pStyle w:val="WitregelW1"/>
                    </w:pPr>
                  </w:p>
                  <w:p w14:paraId="6317EE12" w14:textId="77777777" w:rsidR="00D221C0" w:rsidRDefault="00793114">
                    <w:pPr>
                      <w:pStyle w:val="Referentiegegevensbold"/>
                    </w:pPr>
                    <w:r>
                      <w:t>Uw referentie</w:t>
                    </w:r>
                  </w:p>
                  <w:p w14:paraId="6317EE13" w14:textId="77777777" w:rsidR="00D221C0" w:rsidRDefault="00793114">
                    <w:pPr>
                      <w:pStyle w:val="Referentiegegevens"/>
                    </w:pPr>
                    <w:r>
                      <w:t>025Z14802/2025D37265</w:t>
                    </w:r>
                  </w:p>
                  <w:p w14:paraId="6317EE14" w14:textId="77777777" w:rsidR="00D221C0" w:rsidRDefault="00D221C0">
                    <w:pPr>
                      <w:pStyle w:val="WitregelW1"/>
                    </w:pPr>
                  </w:p>
                  <w:p w14:paraId="6317EE15" w14:textId="77777777" w:rsidR="00D221C0" w:rsidRDefault="00793114">
                    <w:pPr>
                      <w:pStyle w:val="Referentiegegevensbold"/>
                    </w:pPr>
                    <w:r>
                      <w:t>Bijlage(n)</w:t>
                    </w:r>
                  </w:p>
                  <w:p w14:paraId="6317EE16" w14:textId="528A57CD" w:rsidR="00D221C0" w:rsidRDefault="00196E8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317EDF6" wp14:editId="6317EDF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317EE24" w14:textId="77777777" w:rsidR="00793114" w:rsidRDefault="00793114"/>
                      </w:txbxContent>
                    </wps:txbx>
                    <wps:bodyPr vert="horz" wrap="square" lIns="0" tIns="0" rIns="0" bIns="0" anchor="t" anchorCtr="0"/>
                  </wps:wsp>
                </a:graphicData>
              </a:graphic>
            </wp:anchor>
          </w:drawing>
        </mc:Choice>
        <mc:Fallback>
          <w:pict>
            <v:shape w14:anchorId="6317EDF6"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317EE24" w14:textId="77777777" w:rsidR="00793114" w:rsidRDefault="0079311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317EDF8" wp14:editId="6317EDF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17EE17" w14:textId="2482E9E7" w:rsidR="00D221C0" w:rsidRDefault="00793114">
                          <w:pPr>
                            <w:pStyle w:val="Referentiegegevens"/>
                          </w:pPr>
                          <w:r>
                            <w:t xml:space="preserve">Pagina </w:t>
                          </w:r>
                          <w:r>
                            <w:fldChar w:fldCharType="begin"/>
                          </w:r>
                          <w:r>
                            <w:instrText>PAGE</w:instrText>
                          </w:r>
                          <w:r>
                            <w:fldChar w:fldCharType="separate"/>
                          </w:r>
                          <w:r w:rsidR="00C1321B">
                            <w:rPr>
                              <w:noProof/>
                            </w:rPr>
                            <w:t>1</w:t>
                          </w:r>
                          <w:r>
                            <w:fldChar w:fldCharType="end"/>
                          </w:r>
                          <w:r>
                            <w:t xml:space="preserve"> van </w:t>
                          </w:r>
                          <w:r>
                            <w:fldChar w:fldCharType="begin"/>
                          </w:r>
                          <w:r>
                            <w:instrText>NUMPAGES</w:instrText>
                          </w:r>
                          <w:r>
                            <w:fldChar w:fldCharType="separate"/>
                          </w:r>
                          <w:r w:rsidR="00C1321B">
                            <w:rPr>
                              <w:noProof/>
                            </w:rPr>
                            <w:t>1</w:t>
                          </w:r>
                          <w:r>
                            <w:fldChar w:fldCharType="end"/>
                          </w:r>
                        </w:p>
                      </w:txbxContent>
                    </wps:txbx>
                    <wps:bodyPr vert="horz" wrap="square" lIns="0" tIns="0" rIns="0" bIns="0" anchor="t" anchorCtr="0"/>
                  </wps:wsp>
                </a:graphicData>
              </a:graphic>
            </wp:anchor>
          </w:drawing>
        </mc:Choice>
        <mc:Fallback>
          <w:pict>
            <v:shape w14:anchorId="6317EDF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317EE17" w14:textId="2482E9E7" w:rsidR="00D221C0" w:rsidRDefault="00793114">
                    <w:pPr>
                      <w:pStyle w:val="Referentiegegevens"/>
                    </w:pPr>
                    <w:r>
                      <w:t xml:space="preserve">Pagina </w:t>
                    </w:r>
                    <w:r>
                      <w:fldChar w:fldCharType="begin"/>
                    </w:r>
                    <w:r>
                      <w:instrText>PAGE</w:instrText>
                    </w:r>
                    <w:r>
                      <w:fldChar w:fldCharType="separate"/>
                    </w:r>
                    <w:r w:rsidR="00C1321B">
                      <w:rPr>
                        <w:noProof/>
                      </w:rPr>
                      <w:t>1</w:t>
                    </w:r>
                    <w:r>
                      <w:fldChar w:fldCharType="end"/>
                    </w:r>
                    <w:r>
                      <w:t xml:space="preserve"> van </w:t>
                    </w:r>
                    <w:r>
                      <w:fldChar w:fldCharType="begin"/>
                    </w:r>
                    <w:r>
                      <w:instrText>NUMPAGES</w:instrText>
                    </w:r>
                    <w:r>
                      <w:fldChar w:fldCharType="separate"/>
                    </w:r>
                    <w:r w:rsidR="00C132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317EDFA" wp14:editId="6317EDF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17EE18" w14:textId="689CDC36" w:rsidR="00D221C0" w:rsidRDefault="00D221C0">
                          <w:pPr>
                            <w:spacing w:line="240" w:lineRule="auto"/>
                          </w:pPr>
                        </w:p>
                      </w:txbxContent>
                    </wps:txbx>
                    <wps:bodyPr vert="horz" wrap="square" lIns="0" tIns="0" rIns="0" bIns="0" anchor="t" anchorCtr="0"/>
                  </wps:wsp>
                </a:graphicData>
              </a:graphic>
            </wp:anchor>
          </w:drawing>
        </mc:Choice>
        <mc:Fallback>
          <w:pict>
            <v:shape w14:anchorId="6317EDFA"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317EE18" w14:textId="689CDC36" w:rsidR="00D221C0" w:rsidRDefault="00D221C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317EDFC" wp14:editId="6317EDF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17EE19" w14:textId="77777777" w:rsidR="00D221C0" w:rsidRDefault="00793114">
                          <w:pPr>
                            <w:spacing w:line="240" w:lineRule="auto"/>
                          </w:pPr>
                          <w:r>
                            <w:rPr>
                              <w:noProof/>
                            </w:rPr>
                            <w:drawing>
                              <wp:inline distT="0" distB="0" distL="0" distR="0" wp14:anchorId="6317EE21" wp14:editId="6317EE22">
                                <wp:extent cx="2339975" cy="1582834"/>
                                <wp:effectExtent l="0" t="0" r="0" b="0"/>
                                <wp:docPr id="1300144861"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17EDFC"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317EE19" w14:textId="77777777" w:rsidR="00D221C0" w:rsidRDefault="00793114">
                    <w:pPr>
                      <w:spacing w:line="240" w:lineRule="auto"/>
                    </w:pPr>
                    <w:r>
                      <w:rPr>
                        <w:noProof/>
                      </w:rPr>
                      <w:drawing>
                        <wp:inline distT="0" distB="0" distL="0" distR="0" wp14:anchorId="6317EE21" wp14:editId="6317EE22">
                          <wp:extent cx="2339975" cy="1582834"/>
                          <wp:effectExtent l="0" t="0" r="0" b="0"/>
                          <wp:docPr id="1300144861"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278E48"/>
    <w:multiLevelType w:val="multilevel"/>
    <w:tmpl w:val="F2CFE6D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8775403"/>
    <w:multiLevelType w:val="multilevel"/>
    <w:tmpl w:val="48C4147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5F3AAD"/>
    <w:multiLevelType w:val="multilevel"/>
    <w:tmpl w:val="CA669C6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5B83FD4"/>
    <w:multiLevelType w:val="multilevel"/>
    <w:tmpl w:val="024115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7FE2A01"/>
    <w:multiLevelType w:val="hybridMultilevel"/>
    <w:tmpl w:val="2C60B3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7EF0F89"/>
    <w:multiLevelType w:val="hybridMultilevel"/>
    <w:tmpl w:val="41C471D6"/>
    <w:lvl w:ilvl="0" w:tplc="A0FEB29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873F8F"/>
    <w:multiLevelType w:val="multilevel"/>
    <w:tmpl w:val="D3C2518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70E43B7E"/>
    <w:multiLevelType w:val="hybridMultilevel"/>
    <w:tmpl w:val="419E9E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5B861D1"/>
    <w:multiLevelType w:val="hybridMultilevel"/>
    <w:tmpl w:val="BE381E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21716213">
    <w:abstractNumId w:val="6"/>
  </w:num>
  <w:num w:numId="2" w16cid:durableId="2048525466">
    <w:abstractNumId w:val="0"/>
  </w:num>
  <w:num w:numId="3" w16cid:durableId="518473671">
    <w:abstractNumId w:val="3"/>
  </w:num>
  <w:num w:numId="4" w16cid:durableId="1112474507">
    <w:abstractNumId w:val="2"/>
  </w:num>
  <w:num w:numId="5" w16cid:durableId="1257325383">
    <w:abstractNumId w:val="1"/>
  </w:num>
  <w:num w:numId="6" w16cid:durableId="1922369662">
    <w:abstractNumId w:val="7"/>
  </w:num>
  <w:num w:numId="7" w16cid:durableId="1574505340">
    <w:abstractNumId w:val="5"/>
  </w:num>
  <w:num w:numId="8" w16cid:durableId="1012561920">
    <w:abstractNumId w:val="8"/>
  </w:num>
  <w:num w:numId="9" w16cid:durableId="208660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C0"/>
    <w:rsid w:val="00006CCA"/>
    <w:rsid w:val="0000785F"/>
    <w:rsid w:val="0001193D"/>
    <w:rsid w:val="0006719F"/>
    <w:rsid w:val="00080069"/>
    <w:rsid w:val="0008008D"/>
    <w:rsid w:val="00082F06"/>
    <w:rsid w:val="000A47AF"/>
    <w:rsid w:val="000A498C"/>
    <w:rsid w:val="0010015E"/>
    <w:rsid w:val="00105E94"/>
    <w:rsid w:val="00111D25"/>
    <w:rsid w:val="00120371"/>
    <w:rsid w:val="00127348"/>
    <w:rsid w:val="00177F2E"/>
    <w:rsid w:val="00183F6A"/>
    <w:rsid w:val="00196E89"/>
    <w:rsid w:val="001A5648"/>
    <w:rsid w:val="001F43FF"/>
    <w:rsid w:val="00280847"/>
    <w:rsid w:val="003776F0"/>
    <w:rsid w:val="003B5CB6"/>
    <w:rsid w:val="003B718D"/>
    <w:rsid w:val="00420D1C"/>
    <w:rsid w:val="00423362"/>
    <w:rsid w:val="00424C23"/>
    <w:rsid w:val="0042515C"/>
    <w:rsid w:val="00445C00"/>
    <w:rsid w:val="00455FFE"/>
    <w:rsid w:val="00475535"/>
    <w:rsid w:val="00485EC1"/>
    <w:rsid w:val="0049714A"/>
    <w:rsid w:val="004B1E4D"/>
    <w:rsid w:val="004D554E"/>
    <w:rsid w:val="004D5AA4"/>
    <w:rsid w:val="004D7DB0"/>
    <w:rsid w:val="004F20CE"/>
    <w:rsid w:val="0052274C"/>
    <w:rsid w:val="0052461C"/>
    <w:rsid w:val="005620EB"/>
    <w:rsid w:val="00565D4E"/>
    <w:rsid w:val="005C03EE"/>
    <w:rsid w:val="005F51BA"/>
    <w:rsid w:val="00600171"/>
    <w:rsid w:val="00634AF0"/>
    <w:rsid w:val="0065426D"/>
    <w:rsid w:val="00662062"/>
    <w:rsid w:val="00690318"/>
    <w:rsid w:val="006F4C81"/>
    <w:rsid w:val="007034E9"/>
    <w:rsid w:val="00707F3F"/>
    <w:rsid w:val="00753288"/>
    <w:rsid w:val="00787F3A"/>
    <w:rsid w:val="00793114"/>
    <w:rsid w:val="007B0031"/>
    <w:rsid w:val="007B47BF"/>
    <w:rsid w:val="007C31A9"/>
    <w:rsid w:val="007C33E6"/>
    <w:rsid w:val="007D335C"/>
    <w:rsid w:val="008066F6"/>
    <w:rsid w:val="00846C6C"/>
    <w:rsid w:val="008C1BBA"/>
    <w:rsid w:val="008D7CA4"/>
    <w:rsid w:val="008E4CBF"/>
    <w:rsid w:val="009161EC"/>
    <w:rsid w:val="0092100B"/>
    <w:rsid w:val="00957EB2"/>
    <w:rsid w:val="00971D3F"/>
    <w:rsid w:val="009929CB"/>
    <w:rsid w:val="009A235A"/>
    <w:rsid w:val="009C071A"/>
    <w:rsid w:val="009C1478"/>
    <w:rsid w:val="009C7208"/>
    <w:rsid w:val="009D3EED"/>
    <w:rsid w:val="009D4C5E"/>
    <w:rsid w:val="00A0175B"/>
    <w:rsid w:val="00A0623A"/>
    <w:rsid w:val="00A067D2"/>
    <w:rsid w:val="00A31BF7"/>
    <w:rsid w:val="00A96C7F"/>
    <w:rsid w:val="00AB2056"/>
    <w:rsid w:val="00AB455B"/>
    <w:rsid w:val="00AF2295"/>
    <w:rsid w:val="00AF43FA"/>
    <w:rsid w:val="00B13208"/>
    <w:rsid w:val="00B5158D"/>
    <w:rsid w:val="00BB2CBB"/>
    <w:rsid w:val="00BB7E9A"/>
    <w:rsid w:val="00BC71D1"/>
    <w:rsid w:val="00BE52C2"/>
    <w:rsid w:val="00BE7C57"/>
    <w:rsid w:val="00C0388C"/>
    <w:rsid w:val="00C1321B"/>
    <w:rsid w:val="00C25FD0"/>
    <w:rsid w:val="00C33DE2"/>
    <w:rsid w:val="00C5720E"/>
    <w:rsid w:val="00CA041E"/>
    <w:rsid w:val="00CC54C2"/>
    <w:rsid w:val="00CD7799"/>
    <w:rsid w:val="00D137E0"/>
    <w:rsid w:val="00D221C0"/>
    <w:rsid w:val="00D34D36"/>
    <w:rsid w:val="00D744B6"/>
    <w:rsid w:val="00D923F3"/>
    <w:rsid w:val="00D97725"/>
    <w:rsid w:val="00DB4509"/>
    <w:rsid w:val="00DC36FC"/>
    <w:rsid w:val="00E07F10"/>
    <w:rsid w:val="00E224B0"/>
    <w:rsid w:val="00E470F2"/>
    <w:rsid w:val="00E62D7B"/>
    <w:rsid w:val="00E82C1F"/>
    <w:rsid w:val="00F012BD"/>
    <w:rsid w:val="00F21DD3"/>
    <w:rsid w:val="00F2354F"/>
    <w:rsid w:val="00F24E78"/>
    <w:rsid w:val="00F36E12"/>
    <w:rsid w:val="00F7719A"/>
    <w:rsid w:val="00FC178B"/>
    <w:rsid w:val="00FE7864"/>
    <w:rsid w:val="00FF1FD6"/>
    <w:rsid w:val="28CBFA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317EDDC"/>
  <w15:docId w15:val="{1BB232EB-1B5D-40FE-986E-C9E028E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1321B"/>
    <w:pPr>
      <w:tabs>
        <w:tab w:val="center" w:pos="4513"/>
        <w:tab w:val="right" w:pos="9026"/>
      </w:tabs>
      <w:spacing w:line="240" w:lineRule="auto"/>
    </w:pPr>
  </w:style>
  <w:style w:type="character" w:customStyle="1" w:styleId="HeaderChar">
    <w:name w:val="Header Char"/>
    <w:basedOn w:val="DefaultParagraphFont"/>
    <w:link w:val="Header"/>
    <w:uiPriority w:val="99"/>
    <w:rsid w:val="00C1321B"/>
    <w:rPr>
      <w:rFonts w:ascii="Verdana" w:hAnsi="Verdana"/>
      <w:color w:val="000000"/>
      <w:sz w:val="18"/>
      <w:szCs w:val="18"/>
    </w:rPr>
  </w:style>
  <w:style w:type="paragraph" w:styleId="Footer">
    <w:name w:val="footer"/>
    <w:basedOn w:val="Normal"/>
    <w:link w:val="FooterChar"/>
    <w:uiPriority w:val="99"/>
    <w:unhideWhenUsed/>
    <w:rsid w:val="00C1321B"/>
    <w:pPr>
      <w:tabs>
        <w:tab w:val="center" w:pos="4513"/>
        <w:tab w:val="right" w:pos="9026"/>
      </w:tabs>
      <w:spacing w:line="240" w:lineRule="auto"/>
    </w:pPr>
  </w:style>
  <w:style w:type="character" w:customStyle="1" w:styleId="FooterChar">
    <w:name w:val="Footer Char"/>
    <w:basedOn w:val="DefaultParagraphFont"/>
    <w:link w:val="Footer"/>
    <w:uiPriority w:val="99"/>
    <w:rsid w:val="00C1321B"/>
    <w:rPr>
      <w:rFonts w:ascii="Verdana" w:hAnsi="Verdana"/>
      <w:color w:val="000000"/>
      <w:sz w:val="18"/>
      <w:szCs w:val="18"/>
    </w:rPr>
  </w:style>
  <w:style w:type="paragraph" w:styleId="Revision">
    <w:name w:val="Revision"/>
    <w:hidden/>
    <w:uiPriority w:val="99"/>
    <w:semiHidden/>
    <w:rsid w:val="0049714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9714A"/>
    <w:rPr>
      <w:sz w:val="16"/>
      <w:szCs w:val="16"/>
    </w:rPr>
  </w:style>
  <w:style w:type="paragraph" w:styleId="CommentText">
    <w:name w:val="annotation text"/>
    <w:basedOn w:val="Normal"/>
    <w:link w:val="CommentTextChar"/>
    <w:uiPriority w:val="99"/>
    <w:unhideWhenUsed/>
    <w:rsid w:val="0049714A"/>
    <w:pPr>
      <w:spacing w:line="240" w:lineRule="auto"/>
    </w:pPr>
    <w:rPr>
      <w:sz w:val="20"/>
      <w:szCs w:val="20"/>
    </w:rPr>
  </w:style>
  <w:style w:type="character" w:customStyle="1" w:styleId="CommentTextChar">
    <w:name w:val="Comment Text Char"/>
    <w:basedOn w:val="DefaultParagraphFont"/>
    <w:link w:val="CommentText"/>
    <w:uiPriority w:val="99"/>
    <w:rsid w:val="0049714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9714A"/>
    <w:rPr>
      <w:b/>
      <w:bCs/>
    </w:rPr>
  </w:style>
  <w:style w:type="character" w:customStyle="1" w:styleId="CommentSubjectChar">
    <w:name w:val="Comment Subject Char"/>
    <w:basedOn w:val="CommentTextChar"/>
    <w:link w:val="CommentSubject"/>
    <w:uiPriority w:val="99"/>
    <w:semiHidden/>
    <w:rsid w:val="0049714A"/>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1"/>
    <w:qFormat/>
    <w:rsid w:val="007034E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1"/>
    <w:qFormat/>
    <w:locked/>
    <w:rsid w:val="007034E9"/>
    <w:rPr>
      <w:rFonts w:asciiTheme="minorHAnsi" w:eastAsiaTheme="minorHAnsi" w:hAnsiTheme="minorHAnsi" w:cstheme="minorBidi"/>
      <w:kern w:val="2"/>
      <w:sz w:val="22"/>
      <w:szCs w:val="22"/>
      <w:lang w:eastAsia="en-US"/>
      <w14:ligatures w14:val="standardContextual"/>
    </w:rPr>
  </w:style>
  <w:style w:type="paragraph" w:styleId="EndnoteText">
    <w:name w:val="endnote text"/>
    <w:basedOn w:val="Normal"/>
    <w:link w:val="EndnoteTextChar"/>
    <w:uiPriority w:val="99"/>
    <w:semiHidden/>
    <w:unhideWhenUsed/>
    <w:rsid w:val="00420D1C"/>
    <w:pPr>
      <w:spacing w:line="240" w:lineRule="auto"/>
    </w:pPr>
    <w:rPr>
      <w:sz w:val="20"/>
      <w:szCs w:val="20"/>
    </w:rPr>
  </w:style>
  <w:style w:type="character" w:customStyle="1" w:styleId="EndnoteTextChar">
    <w:name w:val="Endnote Text Char"/>
    <w:basedOn w:val="DefaultParagraphFont"/>
    <w:link w:val="EndnoteText"/>
    <w:uiPriority w:val="99"/>
    <w:semiHidden/>
    <w:rsid w:val="00420D1C"/>
    <w:rPr>
      <w:rFonts w:ascii="Verdana" w:hAnsi="Verdana"/>
      <w:color w:val="000000"/>
    </w:rPr>
  </w:style>
  <w:style w:type="character" w:styleId="EndnoteReference">
    <w:name w:val="endnote reference"/>
    <w:basedOn w:val="DefaultParagraphFont"/>
    <w:uiPriority w:val="99"/>
    <w:semiHidden/>
    <w:unhideWhenUsed/>
    <w:rsid w:val="00420D1C"/>
    <w:rPr>
      <w:vertAlign w:val="superscript"/>
    </w:rPr>
  </w:style>
  <w:style w:type="paragraph" w:styleId="FootnoteText">
    <w:name w:val="footnote text"/>
    <w:basedOn w:val="Normal"/>
    <w:link w:val="FootnoteTextChar"/>
    <w:uiPriority w:val="99"/>
    <w:semiHidden/>
    <w:unhideWhenUsed/>
    <w:rsid w:val="00420D1C"/>
    <w:pPr>
      <w:spacing w:line="240" w:lineRule="auto"/>
    </w:pPr>
    <w:rPr>
      <w:sz w:val="20"/>
      <w:szCs w:val="20"/>
    </w:rPr>
  </w:style>
  <w:style w:type="character" w:customStyle="1" w:styleId="FootnoteTextChar">
    <w:name w:val="Footnote Text Char"/>
    <w:basedOn w:val="DefaultParagraphFont"/>
    <w:link w:val="FootnoteText"/>
    <w:uiPriority w:val="99"/>
    <w:semiHidden/>
    <w:rsid w:val="00420D1C"/>
    <w:rPr>
      <w:rFonts w:ascii="Verdana" w:hAnsi="Verdana"/>
      <w:color w:val="000000"/>
    </w:rPr>
  </w:style>
  <w:style w:type="character" w:styleId="FootnoteReference">
    <w:name w:val="footnote reference"/>
    <w:basedOn w:val="DefaultParagraphFont"/>
    <w:uiPriority w:val="99"/>
    <w:semiHidden/>
    <w:unhideWhenUsed/>
    <w:rsid w:val="00420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1730">
      <w:bodyDiv w:val="1"/>
      <w:marLeft w:val="0"/>
      <w:marRight w:val="0"/>
      <w:marTop w:val="0"/>
      <w:marBottom w:val="0"/>
      <w:divBdr>
        <w:top w:val="none" w:sz="0" w:space="0" w:color="auto"/>
        <w:left w:val="none" w:sz="0" w:space="0" w:color="auto"/>
        <w:bottom w:val="none" w:sz="0" w:space="0" w:color="auto"/>
        <w:right w:val="none" w:sz="0" w:space="0" w:color="auto"/>
      </w:divBdr>
    </w:div>
    <w:div w:id="395053440">
      <w:bodyDiv w:val="1"/>
      <w:marLeft w:val="0"/>
      <w:marRight w:val="0"/>
      <w:marTop w:val="0"/>
      <w:marBottom w:val="0"/>
      <w:divBdr>
        <w:top w:val="none" w:sz="0" w:space="0" w:color="auto"/>
        <w:left w:val="none" w:sz="0" w:space="0" w:color="auto"/>
        <w:bottom w:val="none" w:sz="0" w:space="0" w:color="auto"/>
        <w:right w:val="none" w:sz="0" w:space="0" w:color="auto"/>
      </w:divBdr>
    </w:div>
    <w:div w:id="407460399">
      <w:bodyDiv w:val="1"/>
      <w:marLeft w:val="0"/>
      <w:marRight w:val="0"/>
      <w:marTop w:val="0"/>
      <w:marBottom w:val="0"/>
      <w:divBdr>
        <w:top w:val="none" w:sz="0" w:space="0" w:color="auto"/>
        <w:left w:val="none" w:sz="0" w:space="0" w:color="auto"/>
        <w:bottom w:val="none" w:sz="0" w:space="0" w:color="auto"/>
        <w:right w:val="none" w:sz="0" w:space="0" w:color="auto"/>
      </w:divBdr>
    </w:div>
    <w:div w:id="109886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789</ap:Words>
  <ap:Characters>4345</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Verzoek aan M om reactie mbt bescherming van (religieuze) minderheden in Syrie</vt:lpstr>
    </vt:vector>
  </ap:TitlesOfParts>
  <ap:LinksUpToDate>false</ap:LinksUpToDate>
  <ap:CharactersWithSpaces>5124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2025-09-16T11:55:00.0000000Z</lastPrinted>
  <dcterms:created xsi:type="dcterms:W3CDTF">2025-09-19T10:12:00.0000000Z</dcterms:created>
  <dcterms:modified xsi:type="dcterms:W3CDTF">2025-09-19T10:12:00.0000000Z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1e71edaa-1bd7-467f-ac32-b9ffe5b703e3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