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0752" w:rsidP="00A678A8" w:rsidRDefault="00CC1FE6" w14:paraId="190CB746" w14:textId="215ADC70">
      <w:r>
        <w:t xml:space="preserve"> </w:t>
      </w:r>
    </w:p>
    <w:p w:rsidRPr="00CF0E49" w:rsidR="00CF0E49" w:rsidP="00A678A8" w:rsidRDefault="00CF0E49" w14:paraId="0AD4114B" w14:textId="5CCF556A">
      <w:r w:rsidRPr="00CF0E49">
        <w:t>Geachte voorzitter,</w:t>
      </w:r>
    </w:p>
    <w:p w:rsidRPr="00CF0E49" w:rsidR="00CF0E49" w:rsidP="00A678A8" w:rsidRDefault="00CF0E49" w14:paraId="04A81A81" w14:textId="77777777"/>
    <w:p w:rsidR="00CF0E49" w:rsidP="00A678A8" w:rsidRDefault="00CF0E49" w14:paraId="400D7971" w14:textId="64BC9796">
      <w:r w:rsidRPr="00CF0E49">
        <w:t xml:space="preserve">Hierbij bied ik u het periodieke overzicht aan van de stand van zaken bij de implementatie van EU-richtlijnen in de Nederlandse wet- en regelgeving aan het einde van het </w:t>
      </w:r>
      <w:r w:rsidR="00636CC6">
        <w:t>tweede</w:t>
      </w:r>
      <w:r w:rsidR="00816466">
        <w:t xml:space="preserve"> </w:t>
      </w:r>
      <w:r w:rsidR="00845100">
        <w:t>kwa</w:t>
      </w:r>
      <w:r w:rsidRPr="00CF0E49">
        <w:t>rtaal van 202</w:t>
      </w:r>
      <w:r w:rsidR="0090555C">
        <w:t>5</w:t>
      </w:r>
      <w:r w:rsidRPr="00CF0E49">
        <w:t>.</w:t>
      </w:r>
    </w:p>
    <w:p w:rsidRPr="00CF0E49" w:rsidR="006F07F4" w:rsidP="00A678A8" w:rsidRDefault="006F07F4" w14:paraId="38BDCD16" w14:textId="77777777"/>
    <w:p w:rsidR="00CF0E49" w:rsidP="00A678A8" w:rsidRDefault="00CF0E49" w14:paraId="5FF8AED4" w14:textId="02C3FF67">
      <w:r w:rsidRPr="00CF0E49">
        <w:t>In deze brief wordt eerst ingegaan op de</w:t>
      </w:r>
      <w:r w:rsidR="004E16EC">
        <w:t xml:space="preserve"> geïmplementeerde richtlijnen gevolgd door de</w:t>
      </w:r>
      <w:r w:rsidRPr="00CF0E49">
        <w:t xml:space="preserve"> implementatieachterstand zoals die op </w:t>
      </w:r>
      <w:r w:rsidR="002E2B21">
        <w:t xml:space="preserve">1 </w:t>
      </w:r>
      <w:r w:rsidR="00636CC6">
        <w:t>juli</w:t>
      </w:r>
      <w:r w:rsidR="00017B5E">
        <w:t xml:space="preserve"> </w:t>
      </w:r>
      <w:r w:rsidR="00845100">
        <w:t>202</w:t>
      </w:r>
      <w:r w:rsidR="0090555C">
        <w:t>5</w:t>
      </w:r>
      <w:r w:rsidR="00845100">
        <w:t xml:space="preserve"> </w:t>
      </w:r>
      <w:r w:rsidRPr="00CF0E49">
        <w:t>gold. Daarna worden de oorzaken van deze achterstand behandeld en worden de richtlijnen die het volgende kwartaal moeten worden geïmplementeerd genoemd. Vervolgens volgt een opsomming van de ingebrekestellingprocedures die de Europese Commissie tegen Nederland is gestart als gevolg van niet-tijdige implementatie. Mede op verzoek van uw Kamer zijn ook de lopende infracties wegens (vermeende) onjuiste implementatie in het overzicht ingebrekestellingen per departement opgenomen.</w:t>
      </w:r>
    </w:p>
    <w:p w:rsidR="00E626C0" w:rsidP="00A678A8" w:rsidRDefault="00E626C0" w14:paraId="13B4BFF3" w14:textId="77777777"/>
    <w:tbl>
      <w:tblPr>
        <w:tblStyle w:val="TableGrid"/>
        <w:tblW w:w="0" w:type="auto"/>
        <w:shd w:val="clear" w:color="auto" w:fill="FFFFFF" w:themeFill="background1"/>
        <w:tblLook w:val="04A0" w:firstRow="1" w:lastRow="0" w:firstColumn="1" w:lastColumn="0" w:noHBand="0" w:noVBand="1"/>
      </w:tblPr>
      <w:tblGrid>
        <w:gridCol w:w="2506"/>
        <w:gridCol w:w="2506"/>
        <w:gridCol w:w="2507"/>
      </w:tblGrid>
      <w:tr w:rsidR="00E626C0" w:rsidTr="006F07F4" w14:paraId="52637D2C" w14:textId="77777777">
        <w:tc>
          <w:tcPr>
            <w:tcW w:w="2506" w:type="dxa"/>
            <w:shd w:val="clear" w:color="auto" w:fill="FFFFFF" w:themeFill="background1"/>
          </w:tcPr>
          <w:p w:rsidR="00E626C0" w:rsidP="00A678A8" w:rsidRDefault="00E626C0" w14:paraId="4AF53647" w14:textId="040384CC">
            <w:r>
              <w:t>Departement</w:t>
            </w:r>
          </w:p>
        </w:tc>
        <w:tc>
          <w:tcPr>
            <w:tcW w:w="2506" w:type="dxa"/>
            <w:shd w:val="clear" w:color="auto" w:fill="FFFFFF" w:themeFill="background1"/>
          </w:tcPr>
          <w:p w:rsidR="00E626C0" w:rsidP="00A678A8" w:rsidRDefault="00E626C0" w14:paraId="3C3011F8" w14:textId="00464448">
            <w:r>
              <w:t xml:space="preserve">Tijdig </w:t>
            </w:r>
            <w:r w:rsidR="00F329DD">
              <w:t>Geïmplementeerde</w:t>
            </w:r>
            <w:r>
              <w:t xml:space="preserve"> richtlijnen</w:t>
            </w:r>
          </w:p>
        </w:tc>
        <w:tc>
          <w:tcPr>
            <w:tcW w:w="2507" w:type="dxa"/>
            <w:shd w:val="clear" w:color="auto" w:fill="FFFFFF" w:themeFill="background1"/>
          </w:tcPr>
          <w:p w:rsidR="00E626C0" w:rsidP="00A678A8" w:rsidRDefault="00F329DD" w14:paraId="1B2E1836" w14:textId="4172D2D8">
            <w:r>
              <w:t>Geïmplementeerde</w:t>
            </w:r>
            <w:r w:rsidR="00E626C0">
              <w:t xml:space="preserve"> achterstallige richtlijnen</w:t>
            </w:r>
          </w:p>
        </w:tc>
      </w:tr>
      <w:tr w:rsidR="00E626C0" w:rsidTr="006F07F4" w14:paraId="10AE8725" w14:textId="77777777">
        <w:tc>
          <w:tcPr>
            <w:tcW w:w="2506" w:type="dxa"/>
            <w:shd w:val="clear" w:color="auto" w:fill="FFFFFF" w:themeFill="background1"/>
          </w:tcPr>
          <w:p w:rsidR="00E626C0" w:rsidP="00A678A8" w:rsidRDefault="00E626C0" w14:paraId="4DC5EB9B" w14:textId="5D839B72">
            <w:r>
              <w:t>AenM</w:t>
            </w:r>
          </w:p>
        </w:tc>
        <w:tc>
          <w:tcPr>
            <w:tcW w:w="2506" w:type="dxa"/>
            <w:shd w:val="clear" w:color="auto" w:fill="FFFFFF" w:themeFill="background1"/>
          </w:tcPr>
          <w:p w:rsidR="00E626C0" w:rsidP="00A678A8" w:rsidRDefault="00E626C0" w14:paraId="3CEC855B" w14:textId="77777777"/>
        </w:tc>
        <w:tc>
          <w:tcPr>
            <w:tcW w:w="2507" w:type="dxa"/>
            <w:shd w:val="clear" w:color="auto" w:fill="FFFFFF" w:themeFill="background1"/>
          </w:tcPr>
          <w:p w:rsidR="00E626C0" w:rsidP="00A678A8" w:rsidRDefault="00E626C0" w14:paraId="58C4CB0D" w14:textId="77777777"/>
        </w:tc>
      </w:tr>
      <w:tr w:rsidR="00E626C0" w:rsidTr="006F07F4" w14:paraId="2BE98C7E" w14:textId="77777777">
        <w:tc>
          <w:tcPr>
            <w:tcW w:w="2506" w:type="dxa"/>
            <w:shd w:val="clear" w:color="auto" w:fill="FFFFFF" w:themeFill="background1"/>
          </w:tcPr>
          <w:p w:rsidR="00E626C0" w:rsidP="00A678A8" w:rsidRDefault="00E626C0" w14:paraId="12834C9E" w14:textId="68E90F14">
            <w:r>
              <w:t>AZ</w:t>
            </w:r>
          </w:p>
        </w:tc>
        <w:tc>
          <w:tcPr>
            <w:tcW w:w="2506" w:type="dxa"/>
            <w:shd w:val="clear" w:color="auto" w:fill="FFFFFF" w:themeFill="background1"/>
          </w:tcPr>
          <w:p w:rsidR="00E626C0" w:rsidP="00A678A8" w:rsidRDefault="00E626C0" w14:paraId="521F0963" w14:textId="77777777"/>
        </w:tc>
        <w:tc>
          <w:tcPr>
            <w:tcW w:w="2507" w:type="dxa"/>
            <w:shd w:val="clear" w:color="auto" w:fill="FFFFFF" w:themeFill="background1"/>
          </w:tcPr>
          <w:p w:rsidR="00E626C0" w:rsidP="00A678A8" w:rsidRDefault="00E626C0" w14:paraId="0BB7F974" w14:textId="77777777"/>
        </w:tc>
      </w:tr>
      <w:tr w:rsidR="00E626C0" w:rsidTr="006F07F4" w14:paraId="093913EC" w14:textId="77777777">
        <w:tc>
          <w:tcPr>
            <w:tcW w:w="2506" w:type="dxa"/>
            <w:shd w:val="clear" w:color="auto" w:fill="FFFFFF" w:themeFill="background1"/>
          </w:tcPr>
          <w:p w:rsidR="00E626C0" w:rsidP="00A678A8" w:rsidRDefault="00E626C0" w14:paraId="39BF7DD6" w14:textId="3B29EF8C">
            <w:r>
              <w:t>BuZa</w:t>
            </w:r>
          </w:p>
        </w:tc>
        <w:tc>
          <w:tcPr>
            <w:tcW w:w="2506" w:type="dxa"/>
            <w:shd w:val="clear" w:color="auto" w:fill="FFFFFF" w:themeFill="background1"/>
          </w:tcPr>
          <w:p w:rsidR="00E626C0" w:rsidP="00A678A8" w:rsidRDefault="00E626C0" w14:paraId="024B6033" w14:textId="4A8D2061">
            <w:r>
              <w:t>1</w:t>
            </w:r>
          </w:p>
        </w:tc>
        <w:tc>
          <w:tcPr>
            <w:tcW w:w="2507" w:type="dxa"/>
            <w:shd w:val="clear" w:color="auto" w:fill="FFFFFF" w:themeFill="background1"/>
          </w:tcPr>
          <w:p w:rsidR="00E626C0" w:rsidP="00A678A8" w:rsidRDefault="00E626C0" w14:paraId="20B635C2" w14:textId="13AD4392">
            <w:r>
              <w:t>1</w:t>
            </w:r>
          </w:p>
        </w:tc>
      </w:tr>
      <w:tr w:rsidR="00E626C0" w:rsidTr="006F07F4" w14:paraId="4167C0DB" w14:textId="77777777">
        <w:tc>
          <w:tcPr>
            <w:tcW w:w="2506" w:type="dxa"/>
            <w:shd w:val="clear" w:color="auto" w:fill="FFFFFF" w:themeFill="background1"/>
          </w:tcPr>
          <w:p w:rsidR="00E626C0" w:rsidP="00A678A8" w:rsidRDefault="00E626C0" w14:paraId="6DBDF0F1" w14:textId="1E548596">
            <w:r>
              <w:t>BZK</w:t>
            </w:r>
          </w:p>
        </w:tc>
        <w:tc>
          <w:tcPr>
            <w:tcW w:w="2506" w:type="dxa"/>
            <w:shd w:val="clear" w:color="auto" w:fill="FFFFFF" w:themeFill="background1"/>
          </w:tcPr>
          <w:p w:rsidR="00E626C0" w:rsidP="00A678A8" w:rsidRDefault="00E626C0" w14:paraId="2AD12DD6" w14:textId="77777777"/>
        </w:tc>
        <w:tc>
          <w:tcPr>
            <w:tcW w:w="2507" w:type="dxa"/>
            <w:shd w:val="clear" w:color="auto" w:fill="FFFFFF" w:themeFill="background1"/>
          </w:tcPr>
          <w:p w:rsidR="00E626C0" w:rsidP="00A678A8" w:rsidRDefault="00E626C0" w14:paraId="35D82DF4" w14:textId="77777777"/>
        </w:tc>
      </w:tr>
      <w:tr w:rsidR="00E626C0" w:rsidTr="006F07F4" w14:paraId="1293F147" w14:textId="77777777">
        <w:tc>
          <w:tcPr>
            <w:tcW w:w="2506" w:type="dxa"/>
            <w:shd w:val="clear" w:color="auto" w:fill="FFFFFF" w:themeFill="background1"/>
          </w:tcPr>
          <w:p w:rsidR="00E626C0" w:rsidP="00A678A8" w:rsidRDefault="00E626C0" w14:paraId="445E7BE2" w14:textId="7B425CC0">
            <w:r>
              <w:t>Def</w:t>
            </w:r>
          </w:p>
        </w:tc>
        <w:tc>
          <w:tcPr>
            <w:tcW w:w="2506" w:type="dxa"/>
            <w:shd w:val="clear" w:color="auto" w:fill="FFFFFF" w:themeFill="background1"/>
          </w:tcPr>
          <w:p w:rsidR="00E626C0" w:rsidP="00A678A8" w:rsidRDefault="00E626C0" w14:paraId="77C35D46" w14:textId="77777777"/>
        </w:tc>
        <w:tc>
          <w:tcPr>
            <w:tcW w:w="2507" w:type="dxa"/>
            <w:shd w:val="clear" w:color="auto" w:fill="FFFFFF" w:themeFill="background1"/>
          </w:tcPr>
          <w:p w:rsidR="00E626C0" w:rsidP="00A678A8" w:rsidRDefault="00E626C0" w14:paraId="1CDE2DE8" w14:textId="77777777"/>
        </w:tc>
      </w:tr>
      <w:tr w:rsidR="00E626C0" w:rsidTr="006F07F4" w14:paraId="29ECE93A" w14:textId="77777777">
        <w:tc>
          <w:tcPr>
            <w:tcW w:w="2506" w:type="dxa"/>
            <w:shd w:val="clear" w:color="auto" w:fill="FFFFFF" w:themeFill="background1"/>
          </w:tcPr>
          <w:p w:rsidR="00E626C0" w:rsidP="00A678A8" w:rsidRDefault="00E626C0" w14:paraId="509BFC05" w14:textId="6E552E79">
            <w:r>
              <w:t>EZ</w:t>
            </w:r>
          </w:p>
        </w:tc>
        <w:tc>
          <w:tcPr>
            <w:tcW w:w="2506" w:type="dxa"/>
            <w:shd w:val="clear" w:color="auto" w:fill="FFFFFF" w:themeFill="background1"/>
          </w:tcPr>
          <w:p w:rsidR="00E626C0" w:rsidP="00A678A8" w:rsidRDefault="00E626C0" w14:paraId="0B2033BF" w14:textId="77777777"/>
        </w:tc>
        <w:tc>
          <w:tcPr>
            <w:tcW w:w="2507" w:type="dxa"/>
            <w:shd w:val="clear" w:color="auto" w:fill="FFFFFF" w:themeFill="background1"/>
          </w:tcPr>
          <w:p w:rsidR="00E626C0" w:rsidP="00A678A8" w:rsidRDefault="00E626C0" w14:paraId="6D6DD763" w14:textId="77777777"/>
        </w:tc>
      </w:tr>
      <w:tr w:rsidR="00E626C0" w:rsidTr="00E626C0" w14:paraId="0F06FE5C" w14:textId="77777777">
        <w:tc>
          <w:tcPr>
            <w:tcW w:w="2506" w:type="dxa"/>
            <w:shd w:val="clear" w:color="auto" w:fill="FFFFFF" w:themeFill="background1"/>
          </w:tcPr>
          <w:p w:rsidR="00E626C0" w:rsidP="00A678A8" w:rsidRDefault="00E626C0" w14:paraId="0365FEFC" w14:textId="7EDB4494">
            <w:r>
              <w:t>Fin</w:t>
            </w:r>
          </w:p>
        </w:tc>
        <w:tc>
          <w:tcPr>
            <w:tcW w:w="2506" w:type="dxa"/>
            <w:shd w:val="clear" w:color="auto" w:fill="FFFFFF" w:themeFill="background1"/>
          </w:tcPr>
          <w:p w:rsidR="00E626C0" w:rsidP="00A678A8" w:rsidRDefault="00E626C0" w14:paraId="7AF3B66D" w14:textId="77777777"/>
        </w:tc>
        <w:tc>
          <w:tcPr>
            <w:tcW w:w="2507" w:type="dxa"/>
            <w:shd w:val="clear" w:color="auto" w:fill="FFFFFF" w:themeFill="background1"/>
          </w:tcPr>
          <w:p w:rsidR="00E626C0" w:rsidP="00A678A8" w:rsidRDefault="00E626C0" w14:paraId="72AA6C3B" w14:textId="77777777"/>
        </w:tc>
      </w:tr>
      <w:tr w:rsidR="00E626C0" w:rsidTr="00E626C0" w14:paraId="1C04DFE5" w14:textId="77777777">
        <w:tc>
          <w:tcPr>
            <w:tcW w:w="2506" w:type="dxa"/>
            <w:shd w:val="clear" w:color="auto" w:fill="FFFFFF" w:themeFill="background1"/>
          </w:tcPr>
          <w:p w:rsidR="00E626C0" w:rsidP="00A678A8" w:rsidRDefault="00E626C0" w14:paraId="01F17A40" w14:textId="12F4F817">
            <w:r>
              <w:t>IenW</w:t>
            </w:r>
          </w:p>
        </w:tc>
        <w:tc>
          <w:tcPr>
            <w:tcW w:w="2506" w:type="dxa"/>
            <w:shd w:val="clear" w:color="auto" w:fill="FFFFFF" w:themeFill="background1"/>
          </w:tcPr>
          <w:p w:rsidR="00E626C0" w:rsidP="00A678A8" w:rsidRDefault="00E626C0" w14:paraId="27EB8DAB" w14:textId="77777777"/>
        </w:tc>
        <w:tc>
          <w:tcPr>
            <w:tcW w:w="2507" w:type="dxa"/>
            <w:shd w:val="clear" w:color="auto" w:fill="FFFFFF" w:themeFill="background1"/>
          </w:tcPr>
          <w:p w:rsidR="00E626C0" w:rsidP="00A678A8" w:rsidRDefault="00E626C0" w14:paraId="12A6973E" w14:textId="388DC73A">
            <w:r>
              <w:t>1</w:t>
            </w:r>
          </w:p>
        </w:tc>
      </w:tr>
      <w:tr w:rsidR="00E626C0" w:rsidTr="00E626C0" w14:paraId="6C4FA1BE" w14:textId="77777777">
        <w:tc>
          <w:tcPr>
            <w:tcW w:w="2506" w:type="dxa"/>
            <w:shd w:val="clear" w:color="auto" w:fill="FFFFFF" w:themeFill="background1"/>
          </w:tcPr>
          <w:p w:rsidR="00E626C0" w:rsidP="00A678A8" w:rsidRDefault="00E626C0" w14:paraId="4173D663" w14:textId="6E7F68FE">
            <w:r>
              <w:t>JenV</w:t>
            </w:r>
          </w:p>
        </w:tc>
        <w:tc>
          <w:tcPr>
            <w:tcW w:w="2506" w:type="dxa"/>
            <w:shd w:val="clear" w:color="auto" w:fill="FFFFFF" w:themeFill="background1"/>
          </w:tcPr>
          <w:p w:rsidR="00E626C0" w:rsidP="00A678A8" w:rsidRDefault="00E626C0" w14:paraId="13F47334" w14:textId="6E6E9869">
            <w:r>
              <w:t>1</w:t>
            </w:r>
          </w:p>
        </w:tc>
        <w:tc>
          <w:tcPr>
            <w:tcW w:w="2507" w:type="dxa"/>
            <w:shd w:val="clear" w:color="auto" w:fill="FFFFFF" w:themeFill="background1"/>
          </w:tcPr>
          <w:p w:rsidR="00E626C0" w:rsidP="00A678A8" w:rsidRDefault="00E626C0" w14:paraId="23F44033" w14:textId="610658F2">
            <w:r>
              <w:t>1</w:t>
            </w:r>
          </w:p>
        </w:tc>
      </w:tr>
      <w:tr w:rsidR="00E626C0" w:rsidTr="00E626C0" w14:paraId="105E0B91" w14:textId="77777777">
        <w:tc>
          <w:tcPr>
            <w:tcW w:w="2506" w:type="dxa"/>
            <w:shd w:val="clear" w:color="auto" w:fill="FFFFFF" w:themeFill="background1"/>
          </w:tcPr>
          <w:p w:rsidR="00E626C0" w:rsidP="00A678A8" w:rsidRDefault="00E626C0" w14:paraId="06DF0212" w14:textId="249F9A3A">
            <w:r>
              <w:t>KGG</w:t>
            </w:r>
          </w:p>
        </w:tc>
        <w:tc>
          <w:tcPr>
            <w:tcW w:w="2506" w:type="dxa"/>
            <w:shd w:val="clear" w:color="auto" w:fill="FFFFFF" w:themeFill="background1"/>
          </w:tcPr>
          <w:p w:rsidR="00E626C0" w:rsidP="00A678A8" w:rsidRDefault="00E626C0" w14:paraId="345F2470" w14:textId="77777777"/>
        </w:tc>
        <w:tc>
          <w:tcPr>
            <w:tcW w:w="2507" w:type="dxa"/>
            <w:shd w:val="clear" w:color="auto" w:fill="FFFFFF" w:themeFill="background1"/>
          </w:tcPr>
          <w:p w:rsidR="00E626C0" w:rsidP="00A678A8" w:rsidRDefault="00E626C0" w14:paraId="4105A37F" w14:textId="77777777"/>
        </w:tc>
      </w:tr>
      <w:tr w:rsidR="00E626C0" w:rsidTr="00E626C0" w14:paraId="215050B8" w14:textId="77777777">
        <w:tc>
          <w:tcPr>
            <w:tcW w:w="2506" w:type="dxa"/>
            <w:shd w:val="clear" w:color="auto" w:fill="FFFFFF" w:themeFill="background1"/>
          </w:tcPr>
          <w:p w:rsidR="00E626C0" w:rsidP="00A678A8" w:rsidRDefault="00E626C0" w14:paraId="5F9FAAE9" w14:textId="7B63E051">
            <w:r>
              <w:t>LVVN</w:t>
            </w:r>
          </w:p>
        </w:tc>
        <w:tc>
          <w:tcPr>
            <w:tcW w:w="2506" w:type="dxa"/>
            <w:shd w:val="clear" w:color="auto" w:fill="FFFFFF" w:themeFill="background1"/>
          </w:tcPr>
          <w:p w:rsidR="00E626C0" w:rsidP="00A678A8" w:rsidRDefault="00E626C0" w14:paraId="0B6CA44F" w14:textId="5725F43B">
            <w:r>
              <w:t>1</w:t>
            </w:r>
          </w:p>
        </w:tc>
        <w:tc>
          <w:tcPr>
            <w:tcW w:w="2507" w:type="dxa"/>
            <w:shd w:val="clear" w:color="auto" w:fill="FFFFFF" w:themeFill="background1"/>
          </w:tcPr>
          <w:p w:rsidR="00E626C0" w:rsidP="00A678A8" w:rsidRDefault="00E626C0" w14:paraId="61E8213F" w14:textId="77777777"/>
        </w:tc>
      </w:tr>
      <w:tr w:rsidR="00E626C0" w:rsidTr="00E626C0" w14:paraId="3C059BD4" w14:textId="77777777">
        <w:tc>
          <w:tcPr>
            <w:tcW w:w="2506" w:type="dxa"/>
            <w:shd w:val="clear" w:color="auto" w:fill="FFFFFF" w:themeFill="background1"/>
          </w:tcPr>
          <w:p w:rsidR="00E626C0" w:rsidP="00A678A8" w:rsidRDefault="00E626C0" w14:paraId="0746FC14" w14:textId="3471BA46">
            <w:r>
              <w:t>OCW</w:t>
            </w:r>
          </w:p>
        </w:tc>
        <w:tc>
          <w:tcPr>
            <w:tcW w:w="2506" w:type="dxa"/>
            <w:shd w:val="clear" w:color="auto" w:fill="FFFFFF" w:themeFill="background1"/>
          </w:tcPr>
          <w:p w:rsidR="00E626C0" w:rsidP="00A678A8" w:rsidRDefault="00E626C0" w14:paraId="49414C9A" w14:textId="77777777"/>
        </w:tc>
        <w:tc>
          <w:tcPr>
            <w:tcW w:w="2507" w:type="dxa"/>
            <w:shd w:val="clear" w:color="auto" w:fill="FFFFFF" w:themeFill="background1"/>
          </w:tcPr>
          <w:p w:rsidR="00E626C0" w:rsidP="00A678A8" w:rsidRDefault="00E626C0" w14:paraId="692498C5" w14:textId="77777777"/>
        </w:tc>
      </w:tr>
      <w:tr w:rsidR="00E626C0" w:rsidTr="00E626C0" w14:paraId="4237D698" w14:textId="77777777">
        <w:tc>
          <w:tcPr>
            <w:tcW w:w="2506" w:type="dxa"/>
            <w:shd w:val="clear" w:color="auto" w:fill="FFFFFF" w:themeFill="background1"/>
          </w:tcPr>
          <w:p w:rsidR="00E626C0" w:rsidP="00A678A8" w:rsidRDefault="00E626C0" w14:paraId="76281A49" w14:textId="1EDA5246">
            <w:r>
              <w:t>SZW</w:t>
            </w:r>
          </w:p>
        </w:tc>
        <w:tc>
          <w:tcPr>
            <w:tcW w:w="2506" w:type="dxa"/>
            <w:shd w:val="clear" w:color="auto" w:fill="FFFFFF" w:themeFill="background1"/>
          </w:tcPr>
          <w:p w:rsidR="00E626C0" w:rsidP="00A678A8" w:rsidRDefault="00E626C0" w14:paraId="7B854E7D" w14:textId="77777777"/>
        </w:tc>
        <w:tc>
          <w:tcPr>
            <w:tcW w:w="2507" w:type="dxa"/>
            <w:shd w:val="clear" w:color="auto" w:fill="FFFFFF" w:themeFill="background1"/>
          </w:tcPr>
          <w:p w:rsidR="00E626C0" w:rsidP="00A678A8" w:rsidRDefault="00E626C0" w14:paraId="442107DF" w14:textId="77777777"/>
        </w:tc>
      </w:tr>
      <w:tr w:rsidR="00E626C0" w:rsidTr="00E626C0" w14:paraId="65BBB2CA" w14:textId="77777777">
        <w:tc>
          <w:tcPr>
            <w:tcW w:w="2506" w:type="dxa"/>
            <w:shd w:val="clear" w:color="auto" w:fill="FFFFFF" w:themeFill="background1"/>
          </w:tcPr>
          <w:p w:rsidR="00E626C0" w:rsidP="00A678A8" w:rsidRDefault="00E626C0" w14:paraId="409345CC" w14:textId="12D0B8EC">
            <w:r>
              <w:t>VRO</w:t>
            </w:r>
          </w:p>
        </w:tc>
        <w:tc>
          <w:tcPr>
            <w:tcW w:w="2506" w:type="dxa"/>
            <w:shd w:val="clear" w:color="auto" w:fill="FFFFFF" w:themeFill="background1"/>
          </w:tcPr>
          <w:p w:rsidR="00E626C0" w:rsidP="00A678A8" w:rsidRDefault="00E626C0" w14:paraId="6CE983C4" w14:textId="77777777"/>
        </w:tc>
        <w:tc>
          <w:tcPr>
            <w:tcW w:w="2507" w:type="dxa"/>
            <w:shd w:val="clear" w:color="auto" w:fill="FFFFFF" w:themeFill="background1"/>
          </w:tcPr>
          <w:p w:rsidR="00E626C0" w:rsidP="00A678A8" w:rsidRDefault="00E626C0" w14:paraId="5570DC2E" w14:textId="29600EEA"/>
        </w:tc>
      </w:tr>
      <w:tr w:rsidR="00E626C0" w:rsidTr="00E626C0" w14:paraId="5A3DD5A4" w14:textId="77777777">
        <w:tc>
          <w:tcPr>
            <w:tcW w:w="2506" w:type="dxa"/>
            <w:shd w:val="clear" w:color="auto" w:fill="FFFFFF" w:themeFill="background1"/>
          </w:tcPr>
          <w:p w:rsidR="00E626C0" w:rsidP="00A678A8" w:rsidRDefault="00E626C0" w14:paraId="412327F3" w14:textId="56F73436">
            <w:r>
              <w:t>VWS</w:t>
            </w:r>
          </w:p>
        </w:tc>
        <w:tc>
          <w:tcPr>
            <w:tcW w:w="2506" w:type="dxa"/>
            <w:shd w:val="clear" w:color="auto" w:fill="FFFFFF" w:themeFill="background1"/>
          </w:tcPr>
          <w:p w:rsidR="00E626C0" w:rsidP="00A678A8" w:rsidRDefault="00E626C0" w14:paraId="7CC071CF" w14:textId="77777777"/>
        </w:tc>
        <w:tc>
          <w:tcPr>
            <w:tcW w:w="2507" w:type="dxa"/>
            <w:shd w:val="clear" w:color="auto" w:fill="FFFFFF" w:themeFill="background1"/>
          </w:tcPr>
          <w:p w:rsidR="00E626C0" w:rsidP="00A678A8" w:rsidRDefault="00E626C0" w14:paraId="7DDB1EE9" w14:textId="48117268">
            <w:r>
              <w:t>1</w:t>
            </w:r>
          </w:p>
        </w:tc>
      </w:tr>
      <w:tr w:rsidR="00E626C0" w:rsidTr="00E626C0" w14:paraId="2F711B75" w14:textId="77777777">
        <w:tc>
          <w:tcPr>
            <w:tcW w:w="2506" w:type="dxa"/>
            <w:shd w:val="clear" w:color="auto" w:fill="FFFFFF" w:themeFill="background1"/>
          </w:tcPr>
          <w:p w:rsidR="00E626C0" w:rsidP="00A678A8" w:rsidRDefault="00E626C0" w14:paraId="28EF1A8F" w14:textId="3E726050">
            <w:r>
              <w:t>Totaal</w:t>
            </w:r>
          </w:p>
        </w:tc>
        <w:tc>
          <w:tcPr>
            <w:tcW w:w="2506" w:type="dxa"/>
            <w:shd w:val="clear" w:color="auto" w:fill="FFFFFF" w:themeFill="background1"/>
          </w:tcPr>
          <w:p w:rsidR="00E626C0" w:rsidP="00A678A8" w:rsidRDefault="00E626C0" w14:paraId="77DA99A4" w14:textId="40F2C239">
            <w:r>
              <w:t>3</w:t>
            </w:r>
          </w:p>
        </w:tc>
        <w:tc>
          <w:tcPr>
            <w:tcW w:w="2507" w:type="dxa"/>
            <w:shd w:val="clear" w:color="auto" w:fill="FFFFFF" w:themeFill="background1"/>
          </w:tcPr>
          <w:p w:rsidR="00E626C0" w:rsidP="00A678A8" w:rsidRDefault="00E626C0" w14:paraId="1845238A" w14:textId="64F93DCF">
            <w:r>
              <w:t>4</w:t>
            </w:r>
          </w:p>
        </w:tc>
      </w:tr>
    </w:tbl>
    <w:p w:rsidR="00B81522" w:rsidP="00A678A8" w:rsidRDefault="00B81522" w14:paraId="21932880" w14:textId="77777777">
      <w:pPr>
        <w:rPr>
          <w:i/>
          <w:iCs/>
        </w:rPr>
      </w:pPr>
    </w:p>
    <w:p w:rsidRPr="00E50DCF" w:rsidR="00CF0E49" w:rsidP="00A678A8" w:rsidRDefault="00CF0E49" w14:paraId="6025D4DD" w14:textId="498C2C7A">
      <w:pPr>
        <w:rPr>
          <w:i/>
          <w:iCs/>
        </w:rPr>
      </w:pPr>
      <w:r w:rsidRPr="00D37D4B">
        <w:rPr>
          <w:i/>
          <w:iCs/>
        </w:rPr>
        <w:t>Huidige achterstand</w:t>
      </w:r>
    </w:p>
    <w:p w:rsidRPr="00CF0E49" w:rsidR="00DC03E4" w:rsidP="00A678A8" w:rsidRDefault="00CF0E49" w14:paraId="3CEE9164" w14:textId="512648CC">
      <w:r w:rsidRPr="00CF0E49">
        <w:t xml:space="preserve">De achterstand </w:t>
      </w:r>
      <w:r w:rsidR="0034551A">
        <w:t xml:space="preserve">bij het begin van dit kwartaal </w:t>
      </w:r>
      <w:r w:rsidRPr="00CF0E49">
        <w:t xml:space="preserve">bedroeg </w:t>
      </w:r>
      <w:r w:rsidR="00E91F9E">
        <w:t>1</w:t>
      </w:r>
      <w:r w:rsidR="00636CC6">
        <w:t>5</w:t>
      </w:r>
      <w:r w:rsidR="00285BDD">
        <w:t xml:space="preserve"> </w:t>
      </w:r>
      <w:r w:rsidRPr="00CF0E49">
        <w:t>richtlijnen</w:t>
      </w:r>
      <w:r w:rsidR="00146159">
        <w:t xml:space="preserve"> t.o.v. </w:t>
      </w:r>
      <w:r w:rsidR="0069119E">
        <w:t>1</w:t>
      </w:r>
      <w:r w:rsidR="00636CC6">
        <w:t>6</w:t>
      </w:r>
      <w:r w:rsidR="00146159">
        <w:t xml:space="preserve"> richtlijnen in het vorige kwartaal</w:t>
      </w:r>
      <w:r w:rsidRPr="00CF0E49">
        <w:t>.</w:t>
      </w:r>
      <w:r w:rsidR="00F329DD">
        <w:t xml:space="preserve"> </w:t>
      </w:r>
      <w:r w:rsidRPr="00CF0E49">
        <w:t xml:space="preserve">De </w:t>
      </w:r>
      <w:r w:rsidR="00E91F9E">
        <w:t>1</w:t>
      </w:r>
      <w:r w:rsidR="00636CC6">
        <w:t>5</w:t>
      </w:r>
      <w:r w:rsidRPr="3270F4D3" w:rsidR="00B05148">
        <w:t xml:space="preserve"> </w:t>
      </w:r>
      <w:r w:rsidRPr="00CF0E49">
        <w:t>achterstallige richtlijnen zijn aan de volgende ministeries toegedee</w:t>
      </w:r>
      <w:r w:rsidRPr="00DC03E4">
        <w:t>ld:</w:t>
      </w:r>
      <w:r w:rsidRPr="00DC03E4" w:rsidR="00E91F9E">
        <w:t xml:space="preserve"> </w:t>
      </w:r>
      <w:r w:rsidRPr="00DC03E4" w:rsidR="002737AF">
        <w:t>KGG</w:t>
      </w:r>
      <w:r w:rsidRPr="00DC03E4" w:rsidR="00F77A15">
        <w:t xml:space="preserve"> (</w:t>
      </w:r>
      <w:r w:rsidR="00636CC6">
        <w:t>3</w:t>
      </w:r>
      <w:r w:rsidRPr="00DC03E4" w:rsidR="00F77A15">
        <w:t xml:space="preserve">), </w:t>
      </w:r>
      <w:r w:rsidRPr="00DC03E4" w:rsidR="00F45BC6">
        <w:t>FIN (1),</w:t>
      </w:r>
      <w:r w:rsidRPr="00DC03E4" w:rsidR="0090555C">
        <w:t xml:space="preserve"> </w:t>
      </w:r>
      <w:r w:rsidRPr="00DC03E4" w:rsidR="00E91F9E">
        <w:t>OCW</w:t>
      </w:r>
      <w:r w:rsidRPr="00DC03E4" w:rsidR="000B47EA">
        <w:t xml:space="preserve"> (1)</w:t>
      </w:r>
      <w:r w:rsidRPr="00DC03E4" w:rsidR="00E91F9E">
        <w:t>, SZW (1)</w:t>
      </w:r>
      <w:r w:rsidRPr="00DC03E4" w:rsidR="000B47EA">
        <w:t>,</w:t>
      </w:r>
      <w:r w:rsidRPr="00DC03E4">
        <w:t xml:space="preserve"> </w:t>
      </w:r>
      <w:r w:rsidRPr="00DC03E4" w:rsidR="3270F4D3">
        <w:t xml:space="preserve">AenM (1), </w:t>
      </w:r>
      <w:r w:rsidRPr="00DC03E4" w:rsidR="005E1592">
        <w:t>IenW (</w:t>
      </w:r>
      <w:r w:rsidRPr="00DC03E4" w:rsidR="0090555C">
        <w:t>3</w:t>
      </w:r>
      <w:r w:rsidRPr="00DC03E4" w:rsidR="005E1592">
        <w:t>)</w:t>
      </w:r>
      <w:r w:rsidRPr="00DC03E4" w:rsidR="000B47EA">
        <w:t xml:space="preserve"> en </w:t>
      </w:r>
      <w:r w:rsidRPr="00DC03E4" w:rsidR="00B05148">
        <w:t>JenV (</w:t>
      </w:r>
      <w:r w:rsidR="00636CC6">
        <w:t>5</w:t>
      </w:r>
      <w:r w:rsidRPr="00DC03E4" w:rsidR="005008B0">
        <w:t>)</w:t>
      </w:r>
      <w:r w:rsidRPr="00DC03E4">
        <w:t>.</w:t>
      </w:r>
    </w:p>
    <w:p w:rsidRPr="00CF0E49" w:rsidR="00CF0E49" w:rsidP="00A678A8" w:rsidRDefault="00CF0E49" w14:paraId="7EC4A8E2" w14:textId="77777777"/>
    <w:p w:rsidRPr="00CF0E49" w:rsidR="00CF0E49" w:rsidP="00A678A8" w:rsidRDefault="00CF0E49" w14:paraId="598FF477" w14:textId="44C38B2F">
      <w:r w:rsidRPr="00CF0E49">
        <w:t xml:space="preserve">De overschrijding van de implementatiedatum varieert sterk, </w:t>
      </w:r>
      <w:r w:rsidRPr="00D34986">
        <w:t>van</w:t>
      </w:r>
      <w:r w:rsidR="00EB3418">
        <w:t xml:space="preserve"> </w:t>
      </w:r>
      <w:r w:rsidR="00E626C0">
        <w:t>1</w:t>
      </w:r>
      <w:r w:rsidR="00F329DD">
        <w:t xml:space="preserve"> </w:t>
      </w:r>
      <w:r w:rsidRPr="00D34986" w:rsidR="00951969">
        <w:t xml:space="preserve">tot </w:t>
      </w:r>
      <w:r w:rsidR="004E16EC">
        <w:t>1260</w:t>
      </w:r>
      <w:r w:rsidR="00D50D9D">
        <w:t xml:space="preserve"> </w:t>
      </w:r>
      <w:r w:rsidRPr="00D34986">
        <w:t>dagen</w:t>
      </w:r>
      <w:r w:rsidRPr="00CF0E49">
        <w:t xml:space="preserve">. Een exacte aanduiding van de overschrijding per richtlijn is te vinden </w:t>
      </w:r>
      <w:r w:rsidR="003E63D9">
        <w:t>in</w:t>
      </w:r>
      <w:r w:rsidRPr="00CF0E49">
        <w:t xml:space="preserve"> bijgevoegd kwartaaloverzicht.</w:t>
      </w:r>
      <w:r w:rsidR="00E365CB">
        <w:t xml:space="preserve"> </w:t>
      </w:r>
    </w:p>
    <w:p w:rsidRPr="00CF0E49" w:rsidR="00CF0E49" w:rsidP="00A678A8" w:rsidRDefault="00CF0E49" w14:paraId="02A25792" w14:textId="77777777"/>
    <w:p w:rsidRPr="00E50DCF" w:rsidR="00CF0E49" w:rsidP="00A678A8" w:rsidRDefault="00CF0E49" w14:paraId="29062374" w14:textId="77777777">
      <w:pPr>
        <w:rPr>
          <w:i/>
          <w:iCs/>
        </w:rPr>
      </w:pPr>
      <w:r w:rsidRPr="00D37D4B">
        <w:rPr>
          <w:i/>
          <w:iCs/>
        </w:rPr>
        <w:t>Achterstanden en hun oorzaken</w:t>
      </w:r>
    </w:p>
    <w:p w:rsidR="00CF0E49" w:rsidP="00A678A8" w:rsidRDefault="00CF0E49" w14:paraId="6B8AE172" w14:textId="470A73D2">
      <w:r w:rsidRPr="00CF0E49">
        <w:t xml:space="preserve">Wat betreft de oorzaken voor de implementatieachterstand ultimo </w:t>
      </w:r>
      <w:r w:rsidR="00EB3418">
        <w:t>eerste</w:t>
      </w:r>
      <w:r w:rsidR="00B30494">
        <w:t xml:space="preserve"> </w:t>
      </w:r>
      <w:r w:rsidR="00725A65">
        <w:t>kwartaal 202</w:t>
      </w:r>
      <w:r w:rsidR="00EB3418">
        <w:t>5</w:t>
      </w:r>
      <w:r w:rsidRPr="00CF0E49">
        <w:t xml:space="preserve"> speelt een aantal factoren een rol. Deze factoren worden hieronder per ministerie toegelicht.</w:t>
      </w:r>
    </w:p>
    <w:p w:rsidRPr="00E91F9E" w:rsidR="00E91F9E" w:rsidP="00A678A8" w:rsidRDefault="00E91F9E" w14:paraId="55CA024A" w14:textId="77777777">
      <w:pPr>
        <w:spacing w:line="256" w:lineRule="auto"/>
        <w:rPr>
          <w:b/>
          <w:bCs/>
        </w:rPr>
      </w:pPr>
    </w:p>
    <w:p w:rsidRPr="00E50DCF" w:rsidR="00F77A15" w:rsidP="00A678A8" w:rsidRDefault="002737AF" w14:paraId="79529367" w14:textId="67755E39">
      <w:pPr>
        <w:spacing w:line="256" w:lineRule="auto"/>
        <w:rPr>
          <w:b/>
          <w:bCs/>
          <w:u w:val="single"/>
        </w:rPr>
      </w:pPr>
      <w:r w:rsidRPr="00D37D4B">
        <w:rPr>
          <w:b/>
          <w:bCs/>
          <w:u w:val="single"/>
        </w:rPr>
        <w:t>KGG</w:t>
      </w:r>
    </w:p>
    <w:p w:rsidR="00F77A15" w:rsidP="00A678A8" w:rsidRDefault="00F77A15" w14:paraId="6FEDD62B" w14:textId="77777777">
      <w:pPr>
        <w:spacing w:line="256" w:lineRule="auto"/>
        <w:rPr>
          <w:b/>
          <w:u w:val="single"/>
        </w:rPr>
      </w:pPr>
    </w:p>
    <w:p w:rsidR="00F77A15" w:rsidP="00A678A8" w:rsidRDefault="00F77A15" w14:paraId="123E244A" w14:textId="5CC94D5A">
      <w:pPr>
        <w:spacing w:line="256" w:lineRule="auto"/>
        <w:rPr>
          <w:b/>
          <w:bCs/>
        </w:rPr>
      </w:pPr>
      <w:r w:rsidRPr="00E91F9E">
        <w:rPr>
          <w:b/>
          <w:bCs/>
        </w:rPr>
        <w:t>Richtlijn (EU) 2023/2413</w:t>
      </w:r>
      <w:r w:rsidR="003B1346">
        <w:rPr>
          <w:b/>
          <w:bCs/>
        </w:rPr>
        <w:t>[A]</w:t>
      </w:r>
      <w:r w:rsidRPr="00E91F9E">
        <w:rPr>
          <w:b/>
          <w:bCs/>
        </w:rPr>
        <w:t xml:space="preserve"> van het Europees Parlement en de Raad van 18 oktober 2023 tot wijziging van Richtlijn (EU) 2018/2001, Verordening (EU) 2018/1999 en Richtlijn 98/70/EG wat de bevordering van energie uit hernieuwbare bronnen betreft, en tot intrekking van Richtlijn (EU) 2015/652 van de Raad</w:t>
      </w:r>
    </w:p>
    <w:p w:rsidRPr="0090555C" w:rsidR="008E2CB3" w:rsidP="00A678A8" w:rsidRDefault="008E2CB3" w14:paraId="31E5DCF6" w14:textId="21AA92A8">
      <w:pPr>
        <w:rPr>
          <w:bCs/>
        </w:rPr>
      </w:pPr>
      <w:r w:rsidRPr="00D8405D">
        <w:rPr>
          <w:b/>
          <w:bCs/>
          <w:i/>
          <w:iCs/>
        </w:rPr>
        <w:t>Uiterste implementatiedatum: 1 juli 2024</w:t>
      </w:r>
    </w:p>
    <w:p w:rsidRPr="00D8405D" w:rsidR="00E91F9E" w:rsidP="00A678A8" w:rsidRDefault="00E91F9E" w14:paraId="613E7E54" w14:textId="77777777">
      <w:pPr>
        <w:spacing w:line="256" w:lineRule="auto"/>
        <w:rPr>
          <w:b/>
          <w:u w:val="single"/>
        </w:rPr>
      </w:pPr>
    </w:p>
    <w:p w:rsidRPr="00AE4273" w:rsidR="00F77A15" w:rsidP="00A678A8" w:rsidRDefault="00F77A15" w14:paraId="090B0D41" w14:textId="5ED6606F">
      <w:pPr>
        <w:spacing w:line="256" w:lineRule="auto"/>
        <w:rPr>
          <w:bCs/>
        </w:rPr>
      </w:pPr>
      <w:r w:rsidRPr="00D37D4B">
        <w:t>Richtlijn (EU) 2023/2413 betreft een omvangrijke wijziging van Richtlijn (EU) 2018/2001 (</w:t>
      </w:r>
      <w:r w:rsidRPr="00F329DD">
        <w:rPr>
          <w:i/>
          <w:iCs/>
        </w:rPr>
        <w:t>Renewable Energy Directive</w:t>
      </w:r>
      <w:r w:rsidRPr="00D37D4B">
        <w:t>/RED), waarbij verschillende implementatietermijnen gelden. Voor een aantal van de zogenaamde “versnellingsartikelen” die er voor moeten zorgen dat projecten voor hernieuwbare energie sneller uitgerold kunnen worden geldt een uiterste implementatiedatum van 1 juli 2024. De Tweede Kamer is hierover geïnformeerd bij brief van 7 juni 2024 (Kamerstukken II 31239, nr. 396).</w:t>
      </w:r>
    </w:p>
    <w:p w:rsidRPr="00AE4273" w:rsidR="00F77A15" w:rsidP="00A678A8" w:rsidRDefault="00F77A15" w14:paraId="08082D64" w14:textId="77777777">
      <w:pPr>
        <w:spacing w:line="256" w:lineRule="auto"/>
        <w:rPr>
          <w:bCs/>
        </w:rPr>
      </w:pPr>
    </w:p>
    <w:p w:rsidR="003B1346" w:rsidP="00A678A8" w:rsidRDefault="00F77A15" w14:paraId="4A59AA0A" w14:textId="747E129F">
      <w:pPr>
        <w:spacing w:line="256" w:lineRule="auto"/>
      </w:pPr>
      <w:r w:rsidRPr="00D37D4B">
        <w:t xml:space="preserve">Deze artikelen </w:t>
      </w:r>
      <w:r w:rsidR="00A8776B">
        <w:t xml:space="preserve">zijn deels reeds omgezet in bestaande wet- en regelgeving en </w:t>
      </w:r>
      <w:r w:rsidRPr="00D37D4B">
        <w:t>betreffen deels feitelijk handelen waarvoor geen implementatie in wet- en regelgeving noodzakelijk is. Voor de aanpassing van de vergunningsprocedure geldt dat de Nederlandse systematiek (voor een groot deel) voldoet aan de gestelde eisen. Daar waar nodig worden deze artikelen geïmplementeerd in de Omgevingswet, de daarop gebaseerde algemene maatregelen van bestuur en de Wet Windenergie op Zee</w:t>
      </w:r>
      <w:r w:rsidR="00A8776B">
        <w:t xml:space="preserve"> en de Algemene wet bestuursrecht</w:t>
      </w:r>
      <w:r w:rsidRPr="00D37D4B" w:rsidR="00A8776B">
        <w:t>.</w:t>
      </w:r>
      <w:r w:rsidRPr="00D37D4B">
        <w:t xml:space="preserve"> </w:t>
      </w:r>
      <w:r w:rsidR="00F160B0">
        <w:t xml:space="preserve"> </w:t>
      </w:r>
      <w:r w:rsidRPr="00E641F8" w:rsidR="00F160B0">
        <w:t>Het wetsvoorstel is in juli 2025 aan de Afdeling advisering van de Raad van State aangeboden voor advies.</w:t>
      </w:r>
      <w:r w:rsidR="00F160B0">
        <w:t xml:space="preserve"> </w:t>
      </w:r>
      <w:r w:rsidRPr="00E641F8" w:rsidR="00F160B0">
        <w:t>Na ommekomst van het advies zal het wetsvoorstel  worden aangeboden aan de Tweede Kamer.</w:t>
      </w:r>
    </w:p>
    <w:p w:rsidR="003B1346" w:rsidP="00A678A8" w:rsidRDefault="003B1346" w14:paraId="06F5AC43" w14:textId="77777777">
      <w:pPr>
        <w:spacing w:line="256" w:lineRule="auto"/>
      </w:pPr>
    </w:p>
    <w:p w:rsidR="003B1346" w:rsidP="00A678A8" w:rsidRDefault="003B1346" w14:paraId="7BD52735" w14:textId="77777777">
      <w:pPr>
        <w:spacing w:line="256" w:lineRule="auto"/>
      </w:pPr>
    </w:p>
    <w:p w:rsidR="003B1346" w:rsidP="00A678A8" w:rsidRDefault="003B1346" w14:paraId="0CD94282" w14:textId="1F6D53EA">
      <w:pPr>
        <w:spacing w:line="256" w:lineRule="auto"/>
        <w:rPr>
          <w:b/>
        </w:rPr>
      </w:pPr>
      <w:r w:rsidRPr="003B1346">
        <w:rPr>
          <w:b/>
        </w:rPr>
        <w:t>RICHTLIJN (EU) 2023/2413</w:t>
      </w:r>
      <w:r>
        <w:rPr>
          <w:b/>
        </w:rPr>
        <w:t>[B]</w:t>
      </w:r>
      <w:r w:rsidRPr="003B1346">
        <w:rPr>
          <w:b/>
        </w:rPr>
        <w:t xml:space="preserve"> VAN HET EUROPEES PARLEMENT EN DE RAAD van 18 oktober 2023 tot wijziging van Richtlijn (EU) 2018/2001, Verordening (EU) 2018/1999 en Richtlijn 98/70/EG wat de bevordering van energie uit hernieuwbare bronnen betreft, en tot intrekking van Richtlijn (EU) 2015/652 van de Raad</w:t>
      </w:r>
    </w:p>
    <w:p w:rsidR="003B1346" w:rsidP="00A678A8" w:rsidRDefault="003B1346" w14:paraId="6AA7B42A" w14:textId="22AF488F">
      <w:pPr>
        <w:rPr>
          <w:b/>
          <w:bCs/>
          <w:i/>
          <w:iCs/>
        </w:rPr>
      </w:pPr>
      <w:r w:rsidRPr="00D8405D">
        <w:rPr>
          <w:b/>
          <w:bCs/>
          <w:i/>
          <w:iCs/>
        </w:rPr>
        <w:t>Uiterste implementatiedatum:</w:t>
      </w:r>
      <w:r>
        <w:rPr>
          <w:b/>
          <w:bCs/>
          <w:i/>
          <w:iCs/>
        </w:rPr>
        <w:t xml:space="preserve"> 21</w:t>
      </w:r>
      <w:r w:rsidRPr="00D8405D">
        <w:rPr>
          <w:b/>
          <w:bCs/>
          <w:i/>
          <w:iCs/>
        </w:rPr>
        <w:t xml:space="preserve"> </w:t>
      </w:r>
      <w:r>
        <w:rPr>
          <w:b/>
          <w:bCs/>
          <w:i/>
          <w:iCs/>
        </w:rPr>
        <w:t>mei</w:t>
      </w:r>
      <w:r w:rsidRPr="00D8405D">
        <w:rPr>
          <w:b/>
          <w:bCs/>
          <w:i/>
          <w:iCs/>
        </w:rPr>
        <w:t xml:space="preserve"> 202</w:t>
      </w:r>
      <w:r>
        <w:rPr>
          <w:b/>
          <w:bCs/>
          <w:i/>
          <w:iCs/>
        </w:rPr>
        <w:t>5</w:t>
      </w:r>
    </w:p>
    <w:p w:rsidR="00677AF4" w:rsidP="00A678A8" w:rsidRDefault="00677AF4" w14:paraId="12C6F131" w14:textId="77777777"/>
    <w:p w:rsidR="003B1346" w:rsidP="00A678A8" w:rsidRDefault="00F160B0" w14:paraId="62DFA385" w14:textId="4B1C2BBE">
      <w:pPr>
        <w:rPr>
          <w:b/>
          <w:bCs/>
          <w:i/>
          <w:iCs/>
        </w:rPr>
      </w:pPr>
      <w:r>
        <w:t xml:space="preserve">Ook de artikelen van richtlijn (EU) 2023/2413 met een uiterste implementatiedatum van 21 mei 2025 zijn deels reeds omgezet in bestaande wet- </w:t>
      </w:r>
      <w:r>
        <w:lastRenderedPageBreak/>
        <w:t xml:space="preserve">en regelgeving en betreffen deels feitelijk handelen waarvoor geen implementatie in wet- en regelgeving noodzakelijk is. </w:t>
      </w:r>
    </w:p>
    <w:p w:rsidR="003B1346" w:rsidP="00A678A8" w:rsidRDefault="003B1346" w14:paraId="2E880878" w14:textId="3AEC9B5E">
      <w:pPr>
        <w:rPr>
          <w:bCs/>
        </w:rPr>
      </w:pPr>
    </w:p>
    <w:p w:rsidRPr="0090555C" w:rsidR="00CB06FA" w:rsidP="00A678A8" w:rsidRDefault="00CB06FA" w14:paraId="67DFBDD1" w14:textId="77777777">
      <w:pPr>
        <w:rPr>
          <w:bCs/>
        </w:rPr>
      </w:pPr>
    </w:p>
    <w:p w:rsidRPr="005E1172" w:rsidR="00CB06FA" w:rsidP="00A678A8" w:rsidRDefault="00CB06FA" w14:paraId="0D81F450" w14:textId="77777777">
      <w:pPr>
        <w:spacing w:line="256" w:lineRule="auto"/>
        <w:rPr>
          <w:bCs/>
        </w:rPr>
      </w:pPr>
      <w:r w:rsidRPr="005E1172">
        <w:rPr>
          <w:bCs/>
        </w:rPr>
        <w:t>Betreffende wijzigingen op wetsniveau die noodzakelijk zijn in verband met de implementatie van de RED III zullen worden meegenomen in het wetsvoorstel Implementatiewet herziene gasrichtlijn en uitvoering herziene gasverordening, dat nu in internetconsultatie is.</w:t>
      </w:r>
    </w:p>
    <w:p w:rsidRPr="003B1346" w:rsidR="00E91F9E" w:rsidP="00A678A8" w:rsidRDefault="00E91F9E" w14:paraId="55E608E6" w14:textId="0F86497B">
      <w:pPr>
        <w:spacing w:line="256" w:lineRule="auto"/>
        <w:rPr>
          <w:b/>
          <w:bCs/>
        </w:rPr>
      </w:pPr>
    </w:p>
    <w:p w:rsidRPr="00800B06" w:rsidR="00800B06" w:rsidP="00A678A8" w:rsidRDefault="00800B06" w14:paraId="2724212B" w14:textId="69919E5B">
      <w:pPr>
        <w:spacing w:line="256" w:lineRule="auto"/>
        <w:rPr>
          <w:b/>
          <w:bCs/>
          <w:i/>
          <w:iCs/>
        </w:rPr>
      </w:pPr>
      <w:r w:rsidRPr="00800B06">
        <w:rPr>
          <w:b/>
          <w:bCs/>
          <w:i/>
          <w:iCs/>
        </w:rPr>
        <w:t>RICHTLIJN (EU) 2024/1711 VAN HET EUROPEES PARLEMENT EN DE RAAD van 13 juni 2024 tot wijziging van de Richtlijnen (EU) 2018/2001 en (EU) 2019/944 inzake het verbeteren van de opzet van de elektriciteitsmarkt van de Unie</w:t>
      </w:r>
      <w:r w:rsidRPr="00800B06">
        <w:rPr>
          <w:b/>
          <w:bCs/>
          <w:i/>
          <w:iCs/>
        </w:rPr>
        <w:tab/>
      </w:r>
      <w:r w:rsidRPr="00800B06">
        <w:rPr>
          <w:b/>
          <w:bCs/>
          <w:i/>
          <w:iCs/>
        </w:rPr>
        <w:tab/>
      </w:r>
      <w:r w:rsidRPr="00800B06">
        <w:rPr>
          <w:b/>
          <w:bCs/>
          <w:i/>
          <w:iCs/>
        </w:rPr>
        <w:tab/>
      </w:r>
      <w:r w:rsidRPr="00800B06">
        <w:rPr>
          <w:b/>
          <w:bCs/>
          <w:i/>
          <w:iCs/>
        </w:rPr>
        <w:tab/>
      </w:r>
      <w:r w:rsidRPr="00800B06">
        <w:rPr>
          <w:b/>
          <w:bCs/>
          <w:i/>
          <w:iCs/>
        </w:rPr>
        <w:tab/>
      </w:r>
      <w:r w:rsidRPr="00800B06">
        <w:rPr>
          <w:b/>
          <w:bCs/>
          <w:i/>
          <w:iCs/>
        </w:rPr>
        <w:tab/>
      </w:r>
      <w:r w:rsidRPr="00800B06">
        <w:rPr>
          <w:b/>
          <w:bCs/>
          <w:i/>
          <w:iCs/>
        </w:rPr>
        <w:tab/>
      </w:r>
      <w:r w:rsidRPr="00800B06">
        <w:rPr>
          <w:b/>
          <w:bCs/>
          <w:i/>
          <w:iCs/>
        </w:rPr>
        <w:tab/>
      </w:r>
      <w:r w:rsidR="00292248">
        <w:rPr>
          <w:b/>
          <w:bCs/>
          <w:i/>
          <w:iCs/>
        </w:rPr>
        <w:br/>
      </w:r>
      <w:r w:rsidRPr="00D37D4B" w:rsidR="00292248">
        <w:rPr>
          <w:b/>
          <w:bCs/>
          <w:i/>
          <w:iCs/>
        </w:rPr>
        <w:t>Uiterste implementatiedatum:</w:t>
      </w:r>
      <w:r w:rsidR="00292248">
        <w:rPr>
          <w:b/>
          <w:bCs/>
          <w:i/>
          <w:iCs/>
        </w:rPr>
        <w:t xml:space="preserve"> 17 januari 2025</w:t>
      </w:r>
      <w:r w:rsidRPr="00800B06">
        <w:rPr>
          <w:b/>
          <w:bCs/>
          <w:i/>
          <w:iCs/>
        </w:rPr>
        <w:tab/>
      </w:r>
    </w:p>
    <w:p w:rsidR="00A8776B" w:rsidP="00A678A8" w:rsidRDefault="00A8776B" w14:paraId="2A4202C4" w14:textId="77777777">
      <w:pPr>
        <w:spacing w:line="256" w:lineRule="auto"/>
        <w:rPr>
          <w:b/>
          <w:bCs/>
        </w:rPr>
      </w:pPr>
    </w:p>
    <w:p w:rsidR="00C9733F" w:rsidP="00A678A8" w:rsidRDefault="00A8776B" w14:paraId="10CCE2E3" w14:textId="77777777">
      <w:pPr>
        <w:spacing w:line="256" w:lineRule="auto"/>
      </w:pPr>
      <w:r>
        <w:t xml:space="preserve">Richtlijn (EU) 2024/1711 vormt met twee verordeningen het in juni vorig jaar vastgestelde Europese </w:t>
      </w:r>
      <w:r w:rsidRPr="00F329DD">
        <w:rPr>
          <w:i/>
          <w:iCs/>
        </w:rPr>
        <w:t>Electricity Market Design</w:t>
      </w:r>
      <w:r>
        <w:t xml:space="preserve"> pakket (EMD-pakket). Het EMD-pakket is gericht op verdere hervorming van de Europese elektriciteitsmarkt.</w:t>
      </w:r>
    </w:p>
    <w:p w:rsidR="00A8776B" w:rsidP="00A678A8" w:rsidRDefault="00A8776B" w14:paraId="1ABAA116" w14:textId="7AA115C3">
      <w:pPr>
        <w:spacing w:line="256" w:lineRule="auto"/>
      </w:pPr>
      <w:r>
        <w:t>D</w:t>
      </w:r>
      <w:r w:rsidRPr="003741CD">
        <w:t xml:space="preserve">e uiterste datum voor implementatie </w:t>
      </w:r>
      <w:r>
        <w:t>is</w:t>
      </w:r>
      <w:r w:rsidRPr="003741CD">
        <w:t xml:space="preserve"> voor de meeste bepalingen uit de richtlijn gesteld op 17 januari 2025. Voor artikel 2, punten 2) en 3), de bepalingen met betrekking tot het recht op energiedelen en de vrije keuze van leverancier daarbij, is de uiterste datum voor implementatie gesteld op 1 juli 2026.</w:t>
      </w:r>
    </w:p>
    <w:p w:rsidR="00A8776B" w:rsidP="00A678A8" w:rsidRDefault="00A8776B" w14:paraId="04C27BA6" w14:textId="77777777"/>
    <w:p w:rsidR="00A8776B" w:rsidP="00A678A8" w:rsidRDefault="00A8776B" w14:paraId="340E3AB0" w14:textId="61DF62F0">
      <w:r>
        <w:t>Implementatie van het EMD-pakket vindt voornamelijk plaats in de nieuwe Energiewet (Stb 2025, 12) en de Wet belastingen op milieugrondslag.</w:t>
      </w:r>
    </w:p>
    <w:p w:rsidR="00A8776B" w:rsidP="00A678A8" w:rsidRDefault="00A8776B" w14:paraId="20EE524C" w14:textId="77777777"/>
    <w:p w:rsidR="00A8776B" w:rsidP="00A678A8" w:rsidRDefault="00A8776B" w14:paraId="71D7F7B6" w14:textId="1CBF5215">
      <w:r>
        <w:t>Er is een wetsvoorstel ter implementatie van de richtlijn in voorbereiding waarin ook artikel 2, punten 2) en 3), wordt meegenomen. Tevens regelt dit wetsvoorstel de</w:t>
      </w:r>
      <w:r w:rsidR="00F329DD">
        <w:t xml:space="preserve"> </w:t>
      </w:r>
      <w:r w:rsidR="00F160B0">
        <w:t>Uitvoering</w:t>
      </w:r>
      <w:r>
        <w:t>, voor zover nodig, van de gelijktijdig met de richtlijn gepubliceerde verordening (EU) 2024/1747 tot wijziging van verordening (EU) 2019/942 en (EU)2019/943 wat betreft het verbeteren van de opzet van de elektriciteitsmarkt van de Unie, en van verordening (EU) 2024/1106 tot wijziging van verordening (EU) nr. 1227/2011 en (EU) 2019/942 wat de verbetering van de bescherming van de Unie tegen marktmanipulatie op de groothandelsmarkt voor energie betreft.</w:t>
      </w:r>
    </w:p>
    <w:p w:rsidR="00A8776B" w:rsidP="00A678A8" w:rsidRDefault="00A8776B" w14:paraId="0546F39D" w14:textId="77777777"/>
    <w:p w:rsidR="00A8776B" w:rsidP="00A678A8" w:rsidRDefault="00A8776B" w14:paraId="0DFC7022" w14:textId="508A6C0C">
      <w:r>
        <w:t>Het wetsvoorstel is in november en december 202</w:t>
      </w:r>
      <w:r w:rsidR="00F160B0">
        <w:t>4</w:t>
      </w:r>
      <w:r>
        <w:t xml:space="preserve"> openbaar geconsulteerd. Vervolgens is het wetsvoorstel voorgelegd voor verschillende toetsen en adviezen, waaronder aan het Adviescollege toetsing regeldruk, de Raad voor de Rechtspraak en</w:t>
      </w:r>
      <w:r w:rsidRPr="004D13F7">
        <w:t xml:space="preserve"> </w:t>
      </w:r>
      <w:r>
        <w:t>de Autoriteit Consument en Markt voor een uitvoerbaarheids- en handhaafbaarheidstoets.</w:t>
      </w:r>
    </w:p>
    <w:p w:rsidR="00A8776B" w:rsidP="00A678A8" w:rsidRDefault="00A8776B" w14:paraId="28666E44" w14:textId="77777777"/>
    <w:p w:rsidR="00F160B0" w:rsidP="00A678A8" w:rsidRDefault="00F160B0" w14:paraId="6F5CFE78" w14:textId="77777777">
      <w:r w:rsidRPr="002F1E41">
        <w:t>Begin juli is het wetsvoorstel aanhangig gemaakt voor advies bij de Afdeling advisering van de Raad van State. Het streven is om na de verwerking van het advies het wetsvoorstel voor het kerstreces in te dienen bij de Tweede Kamer voor de parlementaire behandeling.</w:t>
      </w:r>
    </w:p>
    <w:p w:rsidR="00B81522" w:rsidP="00A678A8" w:rsidRDefault="00B81522" w14:paraId="7EE68617" w14:textId="77777777">
      <w:pPr>
        <w:spacing w:after="160" w:line="259" w:lineRule="auto"/>
      </w:pPr>
    </w:p>
    <w:p w:rsidR="00A678A8" w:rsidP="00A678A8" w:rsidRDefault="00A678A8" w14:paraId="3934FE94" w14:textId="77777777">
      <w:pPr>
        <w:spacing w:after="160" w:line="259" w:lineRule="auto"/>
        <w:rPr>
          <w:b/>
          <w:bCs/>
          <w:u w:val="single"/>
        </w:rPr>
      </w:pPr>
    </w:p>
    <w:p w:rsidR="00A678A8" w:rsidP="00A678A8" w:rsidRDefault="00A678A8" w14:paraId="35B5A8BB" w14:textId="77777777">
      <w:pPr>
        <w:spacing w:after="160" w:line="259" w:lineRule="auto"/>
        <w:rPr>
          <w:b/>
          <w:bCs/>
          <w:u w:val="single"/>
        </w:rPr>
      </w:pPr>
    </w:p>
    <w:p w:rsidR="00A678A8" w:rsidP="00A678A8" w:rsidRDefault="00A678A8" w14:paraId="2B5EC1C0" w14:textId="77777777">
      <w:pPr>
        <w:spacing w:after="160" w:line="259" w:lineRule="auto"/>
        <w:rPr>
          <w:b/>
          <w:bCs/>
          <w:u w:val="single"/>
        </w:rPr>
      </w:pPr>
    </w:p>
    <w:p w:rsidR="00A678A8" w:rsidP="00A678A8" w:rsidRDefault="00A678A8" w14:paraId="23B10D37" w14:textId="77777777">
      <w:pPr>
        <w:spacing w:after="160" w:line="259" w:lineRule="auto"/>
        <w:rPr>
          <w:b/>
          <w:bCs/>
          <w:u w:val="single"/>
        </w:rPr>
      </w:pPr>
    </w:p>
    <w:p w:rsidR="00A678A8" w:rsidP="00A678A8" w:rsidRDefault="00A678A8" w14:paraId="0188A93A" w14:textId="77777777">
      <w:pPr>
        <w:spacing w:after="160" w:line="259" w:lineRule="auto"/>
        <w:rPr>
          <w:b/>
          <w:bCs/>
          <w:u w:val="single"/>
        </w:rPr>
      </w:pPr>
    </w:p>
    <w:p w:rsidRPr="00A678A8" w:rsidR="00D7462C" w:rsidP="00A678A8" w:rsidRDefault="00E91F9E" w14:paraId="06F0502E" w14:textId="5A54C7FA">
      <w:pPr>
        <w:spacing w:after="160" w:line="259" w:lineRule="auto"/>
      </w:pPr>
      <w:r>
        <w:rPr>
          <w:b/>
          <w:bCs/>
          <w:u w:val="single"/>
        </w:rPr>
        <w:lastRenderedPageBreak/>
        <w:t>FI</w:t>
      </w:r>
      <w:r w:rsidRPr="00D37D4B" w:rsidR="00D7462C">
        <w:rPr>
          <w:b/>
          <w:bCs/>
          <w:u w:val="single"/>
        </w:rPr>
        <w:t>N</w:t>
      </w:r>
    </w:p>
    <w:p w:rsidRPr="00E50DCF" w:rsidR="00D7462C" w:rsidP="00A678A8" w:rsidRDefault="00D7462C" w14:paraId="659ED96D" w14:textId="77777777">
      <w:pPr>
        <w:spacing w:line="259" w:lineRule="auto"/>
        <w:rPr>
          <w:b/>
          <w:bCs/>
          <w:i/>
          <w:iCs/>
        </w:rPr>
      </w:pPr>
      <w:r w:rsidRPr="00D37D4B">
        <w:rPr>
          <w:b/>
          <w:bCs/>
          <w:i/>
          <w:iCs/>
        </w:rPr>
        <w:t>RICHTLIJN (EU) 2021/2167 VAN HET EUROPEES PARLEMENT EN DE RAAD</w:t>
      </w:r>
    </w:p>
    <w:p w:rsidRPr="00E50DCF" w:rsidR="00D7462C" w:rsidP="00A678A8" w:rsidRDefault="00D7462C" w14:paraId="667E56BF" w14:textId="3B008F89">
      <w:pPr>
        <w:spacing w:line="259" w:lineRule="auto"/>
        <w:rPr>
          <w:b/>
          <w:bCs/>
          <w:i/>
          <w:iCs/>
        </w:rPr>
      </w:pPr>
      <w:r w:rsidRPr="00D37D4B">
        <w:rPr>
          <w:b/>
          <w:bCs/>
          <w:i/>
          <w:iCs/>
        </w:rPr>
        <w:t>van 24 november 2021 inzake kredietservicers en kredietkopers en tot wijziging van de Richtlijnen 2008/48/EG en 2014/17/EU</w:t>
      </w:r>
    </w:p>
    <w:p w:rsidRPr="00E50DCF" w:rsidR="00D7462C" w:rsidP="00A678A8" w:rsidRDefault="00D7462C" w14:paraId="596B6DCF" w14:textId="465AAC69">
      <w:pPr>
        <w:spacing w:line="259" w:lineRule="auto"/>
        <w:rPr>
          <w:b/>
          <w:bCs/>
          <w:i/>
          <w:iCs/>
        </w:rPr>
      </w:pPr>
      <w:r w:rsidRPr="00D37D4B">
        <w:rPr>
          <w:b/>
          <w:bCs/>
          <w:i/>
          <w:iCs/>
        </w:rPr>
        <w:t>Uiterste implementatiedatum: 29 december 2023</w:t>
      </w:r>
    </w:p>
    <w:p w:rsidR="00D7462C" w:rsidP="00A678A8" w:rsidRDefault="00D7462C" w14:paraId="0A8A3989" w14:textId="73CDE275">
      <w:pPr>
        <w:spacing w:line="259" w:lineRule="auto"/>
        <w:rPr>
          <w:iCs/>
          <w:szCs w:val="18"/>
        </w:rPr>
      </w:pPr>
    </w:p>
    <w:p w:rsidR="00491383" w:rsidP="00A678A8" w:rsidRDefault="00CF6180" w14:paraId="5FA0231E" w14:textId="77777777">
      <w:r w:rsidRPr="00D37D4B">
        <w:t>De richtlijn (EU) 2021/2167 biedt een regelgevend kader voor de overdracht</w:t>
      </w:r>
      <w:r>
        <w:t xml:space="preserve"> aan</w:t>
      </w:r>
      <w:r w:rsidRPr="00D37D4B">
        <w:t xml:space="preserve"> en het beheer </w:t>
      </w:r>
      <w:r>
        <w:t xml:space="preserve">door derden </w:t>
      </w:r>
      <w:r w:rsidRPr="00D37D4B">
        <w:t xml:space="preserve">van niet-renderende kredietovereenkomsten, of de rechten uit dergelijke overeenkomsten, </w:t>
      </w:r>
      <w:r>
        <w:t xml:space="preserve">van Europese </w:t>
      </w:r>
      <w:r w:rsidRPr="00D37D4B">
        <w:t xml:space="preserve">kredietinstellingen. </w:t>
      </w:r>
    </w:p>
    <w:p w:rsidRPr="002D6CF6" w:rsidR="00CF6180" w:rsidP="00A678A8" w:rsidRDefault="00CF6180" w14:paraId="04F2C0B0" w14:textId="2DBDA643">
      <w:pPr>
        <w:rPr>
          <w:szCs w:val="18"/>
        </w:rPr>
      </w:pPr>
      <w:r w:rsidRPr="00D37D4B">
        <w:t xml:space="preserve">De richtlijn is onderdeel van de strategie van de Europese Unie om het volume van niet-renderende kredietovereenkomsten op bankbalansen te verlagen en de mogelijke toekomstige opeenhoping van dergelijke kredietovereenkomsten te voorkomen. </w:t>
      </w:r>
    </w:p>
    <w:p w:rsidRPr="002D6CF6" w:rsidR="00CF6180" w:rsidP="00A678A8" w:rsidRDefault="00CF6180" w14:paraId="6FD6E159" w14:textId="77777777">
      <w:pPr>
        <w:rPr>
          <w:szCs w:val="18"/>
        </w:rPr>
      </w:pPr>
    </w:p>
    <w:p w:rsidR="00CF6180" w:rsidP="00A678A8" w:rsidRDefault="00CF6180" w14:paraId="21900321" w14:textId="77777777">
      <w:r>
        <w:t xml:space="preserve">De implementatie van de richtlijn is kort na de peildatum van dit overzicht afgerond. De </w:t>
      </w:r>
      <w:r w:rsidRPr="0011371A">
        <w:t>Implementatiewet richtlijn kredietservicers en kredietkoper</w:t>
      </w:r>
      <w:r>
        <w:t>s en het Implementatiebesluit zijn op 18 juli jl. in werking getreden, de I</w:t>
      </w:r>
      <w:r w:rsidRPr="0011371A">
        <w:t>mplementatieregeling richtlijn kredietservicers en kredietkopers</w:t>
      </w:r>
      <w:r w:rsidRPr="0011371A">
        <w:cr/>
      </w:r>
      <w:r>
        <w:t>op 22 juli jl.</w:t>
      </w:r>
      <w:r>
        <w:rPr>
          <w:rStyle w:val="FootnoteReference"/>
        </w:rPr>
        <w:footnoteReference w:id="2"/>
      </w:r>
      <w:r>
        <w:t xml:space="preserve"> Vanwege de overschrijding van de uiterste implementatietermijn, 29 december 2023, heeft de Europese Commissie een zaak tegen Nederland aanhangig gemaakt bij het Hof van Justitie van de Europese Unie. </w:t>
      </w:r>
    </w:p>
    <w:p w:rsidR="00CF6180" w:rsidP="00A678A8" w:rsidRDefault="00CF6180" w14:paraId="2CD4BCC4" w14:textId="77777777"/>
    <w:p w:rsidRPr="00E50DCF" w:rsidR="00CF0E49" w:rsidP="00A678A8" w:rsidRDefault="00CF0E49" w14:paraId="447090B3" w14:textId="21BCA6ED">
      <w:pPr>
        <w:rPr>
          <w:b/>
          <w:bCs/>
          <w:u w:val="single"/>
        </w:rPr>
      </w:pPr>
      <w:r w:rsidRPr="00D37D4B">
        <w:rPr>
          <w:b/>
          <w:bCs/>
          <w:u w:val="single"/>
        </w:rPr>
        <w:t>I&amp;W</w:t>
      </w:r>
    </w:p>
    <w:p w:rsidR="001C4670" w:rsidP="00A678A8" w:rsidRDefault="001C4670" w14:paraId="543C207B" w14:textId="77777777">
      <w:pPr>
        <w:rPr>
          <w:b/>
          <w:bCs/>
          <w:i/>
          <w:iCs/>
        </w:rPr>
      </w:pPr>
    </w:p>
    <w:p w:rsidRPr="00E50DCF" w:rsidR="00184C25" w:rsidP="00A678A8" w:rsidRDefault="00184C25" w14:paraId="27216177" w14:textId="6FDADE4B">
      <w:pPr>
        <w:rPr>
          <w:b/>
          <w:bCs/>
          <w:i/>
          <w:iCs/>
        </w:rPr>
      </w:pPr>
      <w:r w:rsidRPr="00D37D4B">
        <w:rPr>
          <w:b/>
          <w:bCs/>
          <w:i/>
          <w:iCs/>
        </w:rPr>
        <w:t xml:space="preserve">GEDELEGEERDE RICHTLIJN (EU) 2020/12 VAN DE COMMISSIE van 2 augustus 2019 tot aanvulling van Richtlijn (EU) 2017/2397 van het Europees Parlement en de Raad wat betreft normen betreffende competenties en de overeenkomstige kennis en vaardigheden voor praktijkexamens, de goedkeuring van simulatoren en medische geschiktheid </w:t>
      </w:r>
    </w:p>
    <w:p w:rsidR="00184C25" w:rsidP="00A678A8" w:rsidRDefault="00184C25" w14:paraId="007A2E89" w14:textId="54213CB6">
      <w:pPr>
        <w:rPr>
          <w:bCs/>
        </w:rPr>
      </w:pPr>
      <w:r w:rsidRPr="00D37D4B">
        <w:rPr>
          <w:b/>
          <w:bCs/>
          <w:i/>
          <w:iCs/>
        </w:rPr>
        <w:t>Uiterste implementatiedatum: 17 januari 2022</w:t>
      </w:r>
    </w:p>
    <w:p w:rsidR="00184C25" w:rsidP="00A678A8" w:rsidRDefault="00184C25" w14:paraId="1A2304E9" w14:textId="4C801C9C">
      <w:pPr>
        <w:rPr>
          <w:bCs/>
        </w:rPr>
      </w:pPr>
    </w:p>
    <w:p w:rsidR="00E54BF8" w:rsidP="00A678A8" w:rsidRDefault="00184C25" w14:paraId="0AA85341" w14:textId="72459589">
      <w:pPr>
        <w:rPr>
          <w:b/>
          <w:bCs/>
        </w:rPr>
      </w:pPr>
      <w:r w:rsidRPr="00D37D4B">
        <w:t>De implementatie van de Gedelegeerde Richtlijn (EU) 2020/12 is onderdeel van de implementatie van de Richtlijn (EU) 2017/2397.</w:t>
      </w:r>
      <w:r w:rsidR="00F329DD">
        <w:t xml:space="preserve"> </w:t>
      </w:r>
      <w:r w:rsidRPr="00D37D4B">
        <w:t>Voor de toelichting op de oorzaak van de achterstand wordt verwezen naar de toelichting bij Richtlijn (EU) 2017/2397</w:t>
      </w:r>
      <w:r w:rsidR="00E54BF8">
        <w:rPr>
          <w:b/>
          <w:bCs/>
        </w:rPr>
        <w:t>.</w:t>
      </w:r>
    </w:p>
    <w:p w:rsidR="00F329DD" w:rsidP="00A678A8" w:rsidRDefault="00F329DD" w14:paraId="4CFD4F9F" w14:textId="77777777">
      <w:pPr>
        <w:rPr>
          <w:b/>
          <w:bCs/>
        </w:rPr>
      </w:pPr>
    </w:p>
    <w:p w:rsidRPr="003B1346" w:rsidR="003B1346" w:rsidP="00A678A8" w:rsidRDefault="003B1346" w14:paraId="325E577C" w14:textId="77777777">
      <w:pPr>
        <w:rPr>
          <w:b/>
          <w:bCs/>
        </w:rPr>
      </w:pPr>
      <w:bookmarkStart w:name="_Hlk207877719" w:id="0"/>
      <w:r w:rsidRPr="003B1346">
        <w:rPr>
          <w:b/>
          <w:bCs/>
        </w:rPr>
        <w:t xml:space="preserve">RICHTLIJN (EU) 2023/946 </w:t>
      </w:r>
      <w:bookmarkEnd w:id="0"/>
      <w:r w:rsidRPr="003B1346">
        <w:rPr>
          <w:b/>
          <w:bCs/>
        </w:rPr>
        <w:t>VAN HET EUROPEES PARLEMENT EN DE RAAD</w:t>
      </w:r>
    </w:p>
    <w:p w:rsidR="003B1346" w:rsidP="00A678A8" w:rsidRDefault="003B1346" w14:paraId="15EFE3F6" w14:textId="42F88BDE">
      <w:pPr>
        <w:rPr>
          <w:b/>
          <w:bCs/>
        </w:rPr>
      </w:pPr>
      <w:r w:rsidRPr="003B1346">
        <w:rPr>
          <w:b/>
          <w:bCs/>
        </w:rPr>
        <w:t>van 10 mei 2023</w:t>
      </w:r>
      <w:r>
        <w:rPr>
          <w:b/>
          <w:bCs/>
        </w:rPr>
        <w:t xml:space="preserve"> </w:t>
      </w:r>
      <w:r w:rsidRPr="003B1346">
        <w:rPr>
          <w:b/>
          <w:bCs/>
        </w:rPr>
        <w:t>tot wijziging van Richtlijn 2003/25/EG met betrekking tot de toevoeging van verbeterde stabiliteitsvereisten en de afstemming van die richtlijn op de door de Internationale Maritieme Organisatie vastgestelde stabiliteitsvereisten</w:t>
      </w:r>
    </w:p>
    <w:p w:rsidR="003B1346" w:rsidP="00A678A8" w:rsidRDefault="003B1346" w14:paraId="272B6556" w14:textId="406AF92B">
      <w:pPr>
        <w:rPr>
          <w:b/>
          <w:bCs/>
          <w:i/>
          <w:iCs/>
        </w:rPr>
      </w:pPr>
      <w:r w:rsidRPr="00D37D4B">
        <w:rPr>
          <w:b/>
          <w:bCs/>
          <w:i/>
          <w:iCs/>
        </w:rPr>
        <w:t xml:space="preserve">Uiterste implementatiedatum: </w:t>
      </w:r>
      <w:r>
        <w:rPr>
          <w:b/>
          <w:bCs/>
          <w:i/>
          <w:iCs/>
        </w:rPr>
        <w:t>05 december 2024</w:t>
      </w:r>
    </w:p>
    <w:p w:rsidR="003B1346" w:rsidP="00A678A8" w:rsidRDefault="003B1346" w14:paraId="6604E1D9" w14:textId="77777777">
      <w:pPr>
        <w:rPr>
          <w:b/>
          <w:bCs/>
          <w:i/>
          <w:iCs/>
        </w:rPr>
      </w:pPr>
    </w:p>
    <w:p w:rsidRPr="005A67A0" w:rsidR="00E54BF8" w:rsidP="00A678A8" w:rsidRDefault="00E54BF8" w14:paraId="777468A6" w14:textId="77777777">
      <w:r w:rsidRPr="005A67A0">
        <w:t>Deze richtlijn is geïmplementeerd door bestaand recht (dynamische verwijzing) met uitzondering van het zevende en negende lid van artikel 1 van deze richtlijn. De gedeeltelijke implementatie is abusievelijk niet tijdig bekendgemaakt en aan de Europese Commissie medegedeeld.</w:t>
      </w:r>
      <w:r w:rsidRPr="00F32B98">
        <w:t xml:space="preserve"> </w:t>
      </w:r>
      <w:r w:rsidRPr="005A67A0">
        <w:t>Door de gedeeltelijke implementatie kan al grotendeels uitvoering worden gegeven aan de richtlijn.</w:t>
      </w:r>
      <w:r w:rsidRPr="00F32B98">
        <w:t xml:space="preserve"> </w:t>
      </w:r>
    </w:p>
    <w:p w:rsidRPr="005A67A0" w:rsidR="00E54BF8" w:rsidP="00A678A8" w:rsidRDefault="00E54BF8" w14:paraId="47DFA8F5" w14:textId="77777777"/>
    <w:p w:rsidR="00E54BF8" w:rsidP="00A678A8" w:rsidRDefault="00E54BF8" w14:paraId="6A619432" w14:textId="77777777">
      <w:r w:rsidRPr="005A67A0">
        <w:t xml:space="preserve">Voor de volledige implementatie zal nog een wijziging van een ministeriële regeling  plaatsvinden waarbij voor het zevende en negende lid van artikel 1 van </w:t>
      </w:r>
      <w:r w:rsidRPr="005A67A0">
        <w:lastRenderedPageBreak/>
        <w:t xml:space="preserve">de richtlijn voor de (juiste) omzetting zal worden zorggedragen. De omzetting zal naar verwachting per 1 oktober 2025 zijn gerealiseerd. </w:t>
      </w:r>
    </w:p>
    <w:p w:rsidR="00491383" w:rsidP="00A678A8" w:rsidRDefault="00491383" w14:paraId="25D26D3B" w14:textId="77777777"/>
    <w:p w:rsidRPr="003B1346" w:rsidR="003B1346" w:rsidP="00A678A8" w:rsidRDefault="003B1346" w14:paraId="7D3ED672" w14:textId="77777777">
      <w:pPr>
        <w:rPr>
          <w:b/>
        </w:rPr>
      </w:pPr>
      <w:bookmarkStart w:name="_Hlk207877729" w:id="1"/>
      <w:r w:rsidRPr="003B1346">
        <w:rPr>
          <w:b/>
        </w:rPr>
        <w:t xml:space="preserve">GEDELEGEERDE RICHTLIJN (EU) 2025/149 </w:t>
      </w:r>
      <w:bookmarkEnd w:id="1"/>
      <w:r w:rsidRPr="003B1346">
        <w:rPr>
          <w:b/>
        </w:rPr>
        <w:t>VAN DE COMMISSIE</w:t>
      </w:r>
    </w:p>
    <w:p w:rsidRPr="003B1346" w:rsidR="003B1346" w:rsidP="00A678A8" w:rsidRDefault="003B1346" w14:paraId="4E6CAEC5" w14:textId="33869B09">
      <w:pPr>
        <w:rPr>
          <w:b/>
        </w:rPr>
      </w:pPr>
      <w:r w:rsidRPr="003B1346">
        <w:rPr>
          <w:b/>
        </w:rPr>
        <w:t>van 15 november 2024</w:t>
      </w:r>
      <w:r w:rsidR="00F329DD">
        <w:rPr>
          <w:b/>
        </w:rPr>
        <w:t xml:space="preserve"> </w:t>
      </w:r>
      <w:r w:rsidRPr="003B1346">
        <w:rPr>
          <w:b/>
        </w:rPr>
        <w:t>tot wijziging van de bijlagen bij Richtlijn 2008/68/EG van het Europees Parlement en de Raad om rekening te houden met de wetenschappelijke en technische vooruitgang</w:t>
      </w:r>
    </w:p>
    <w:p w:rsidR="003B1346" w:rsidP="00A678A8" w:rsidRDefault="003B1346" w14:paraId="002B70E7" w14:textId="25B8AC2F">
      <w:pPr>
        <w:rPr>
          <w:b/>
          <w:bCs/>
          <w:i/>
          <w:iCs/>
        </w:rPr>
      </w:pPr>
      <w:r w:rsidRPr="00D37D4B">
        <w:rPr>
          <w:b/>
          <w:bCs/>
          <w:i/>
          <w:iCs/>
        </w:rPr>
        <w:t xml:space="preserve">Uiterste implementatiedatum: </w:t>
      </w:r>
      <w:r>
        <w:rPr>
          <w:b/>
          <w:bCs/>
          <w:i/>
          <w:iCs/>
        </w:rPr>
        <w:t xml:space="preserve">30 juni 2025 </w:t>
      </w:r>
    </w:p>
    <w:p w:rsidR="003B1346" w:rsidP="00A678A8" w:rsidRDefault="003B1346" w14:paraId="29ADB730" w14:textId="77777777">
      <w:pPr>
        <w:rPr>
          <w:b/>
          <w:bCs/>
          <w:i/>
          <w:iCs/>
        </w:rPr>
      </w:pPr>
    </w:p>
    <w:p w:rsidRPr="005A67A0" w:rsidR="00E54BF8" w:rsidP="00A678A8" w:rsidRDefault="00E54BF8" w14:paraId="320E1E54" w14:textId="77777777">
      <w:r w:rsidRPr="005A67A0">
        <w:t xml:space="preserve">Deze </w:t>
      </w:r>
      <w:r>
        <w:t>Richtlijn</w:t>
      </w:r>
      <w:r w:rsidRPr="005A67A0">
        <w:t xml:space="preserve"> wijzigt drie ministeriële regelingen in verband met de tweejaarlijkse revisie van internationale voorschriften over het vervoer van gevaarlijke stoffen over de binnenwateren (ADN)1, over de spoorweg (RID)2 en over de weg (ADR)3. De gewijzigde regelingen zijn de Regeling vervoer over de binnenwateren van gevaarlijke stoffen (VBG), de Regeling vervoer over de spoorweg van gevaarlijke stoffen (VSG) en de Regeling vervoer over land van gevaarlijke stoffen (VLG). Daarnaast zijn de Maasdeltatunnel en Hollandtunnel toegevoegd aan de lijst met tunnels in de VLG waarvoor beperkingen voor het vervoer van gevaarlijke stoffen door die tunnels gelden. </w:t>
      </w:r>
    </w:p>
    <w:p w:rsidRPr="005A67A0" w:rsidR="00E54BF8" w:rsidP="00A678A8" w:rsidRDefault="00E54BF8" w14:paraId="62AE492A" w14:textId="77777777"/>
    <w:p w:rsidRPr="005A67A0" w:rsidR="00E54BF8" w:rsidP="00A678A8" w:rsidRDefault="00E54BF8" w14:paraId="5339C97E" w14:textId="5AFC299F">
      <w:r w:rsidRPr="005A67A0">
        <w:t xml:space="preserve">De implementatie van wijzigingsrichtlijn 2025/149 is meegenomen in de tweejaarlijkse wijziging van de vervoersregeling die hiermee verband houden. Dit is voor 30 juni 2025 doorgegeven en hierdoor is de Staatscourant-mededeling niet tijdig afgemeld. Inmiddels is dit wel gebeurd en is alles afgerond. </w:t>
      </w:r>
    </w:p>
    <w:p w:rsidR="003B1346" w:rsidP="00A678A8" w:rsidRDefault="003B1346" w14:paraId="2DD42D43" w14:textId="77777777">
      <w:pPr>
        <w:rPr>
          <w:b/>
          <w:bCs/>
        </w:rPr>
      </w:pPr>
    </w:p>
    <w:p w:rsidRPr="00C9733F" w:rsidR="00191846" w:rsidP="00A678A8" w:rsidRDefault="00191846" w14:paraId="2E2DCDE0" w14:textId="4CD1F5EC">
      <w:r>
        <w:rPr>
          <w:b/>
          <w:bCs/>
          <w:u w:val="single"/>
        </w:rPr>
        <w:t>JenV</w:t>
      </w:r>
    </w:p>
    <w:p w:rsidR="00191846" w:rsidP="00A678A8" w:rsidRDefault="00191846" w14:paraId="1969B443" w14:textId="0735385F">
      <w:pPr>
        <w:rPr>
          <w:bCs/>
        </w:rPr>
      </w:pPr>
    </w:p>
    <w:p w:rsidRPr="00E50DCF" w:rsidR="00722E85" w:rsidP="00A678A8" w:rsidRDefault="00722E85" w14:paraId="04BCE3F4" w14:textId="0EB132C1">
      <w:pPr>
        <w:rPr>
          <w:b/>
          <w:bCs/>
          <w:i/>
          <w:iCs/>
        </w:rPr>
      </w:pPr>
      <w:r w:rsidRPr="00D37D4B">
        <w:rPr>
          <w:b/>
          <w:bCs/>
          <w:i/>
          <w:iCs/>
        </w:rPr>
        <w:t>RICHTLIJN (EU) 2019/1151[A] VAN HET EUROPEES PARLEMENT EN DE RAAD VAN 20 juni 2019 tot wijziging van Richtlijn (EU) 2017/1132 met betrekking tot het gebruik van digitale instrumenten en processen in het kader van het vennootschapsrecht</w:t>
      </w:r>
    </w:p>
    <w:p w:rsidRPr="00E50DCF" w:rsidR="00722E85" w:rsidP="00A678A8" w:rsidRDefault="00722E85" w14:paraId="54CC0161" w14:textId="3080DCD4">
      <w:pPr>
        <w:rPr>
          <w:b/>
          <w:bCs/>
          <w:i/>
          <w:iCs/>
        </w:rPr>
      </w:pPr>
      <w:r w:rsidRPr="00D37D4B">
        <w:rPr>
          <w:b/>
          <w:bCs/>
          <w:i/>
          <w:iCs/>
        </w:rPr>
        <w:t>Uiterste implementatiedatum: 1 augustus 2022</w:t>
      </w:r>
    </w:p>
    <w:p w:rsidR="00722E85" w:rsidP="00A678A8" w:rsidRDefault="00722E85" w14:paraId="36E7C1FD" w14:textId="5AA48921">
      <w:pPr>
        <w:rPr>
          <w:szCs w:val="18"/>
        </w:rPr>
      </w:pPr>
    </w:p>
    <w:p w:rsidR="002076F2" w:rsidP="00A678A8" w:rsidRDefault="002076F2" w14:paraId="11B2C770" w14:textId="3C4678CB">
      <w:pPr>
        <w:rPr>
          <w:szCs w:val="18"/>
        </w:rPr>
      </w:pPr>
      <w:r w:rsidRPr="00D37D4B">
        <w:t>Zie toelichting onder richtlijn (EU) 2019/1151 [B].</w:t>
      </w:r>
    </w:p>
    <w:p w:rsidR="00556521" w:rsidP="00A678A8" w:rsidRDefault="00556521" w14:paraId="7694D7BD" w14:textId="47255F40">
      <w:pPr>
        <w:rPr>
          <w:szCs w:val="18"/>
        </w:rPr>
      </w:pPr>
    </w:p>
    <w:p w:rsidR="0020065F" w:rsidP="00A678A8" w:rsidRDefault="0020065F" w14:paraId="2B40687C" w14:textId="77777777">
      <w:pPr>
        <w:rPr>
          <w:b/>
          <w:bCs/>
          <w:i/>
          <w:iCs/>
        </w:rPr>
      </w:pPr>
      <w:bookmarkStart w:name="_Hlk142571203" w:id="2"/>
      <w:r>
        <w:rPr>
          <w:b/>
          <w:bCs/>
          <w:i/>
          <w:iCs/>
        </w:rPr>
        <w:t>RICHTLIJN (EU) 2019/1151[B] VAN HET EUROPEES PARLEMENT EN DE RAAD van 20 juni 2019 tot wijziging van Richtlijn (EU) 2017/1132 met betrekking tot het gebruik van digitale instrumenten en processen in het kader van het vennootschapsrecht</w:t>
      </w:r>
    </w:p>
    <w:p w:rsidR="0020065F" w:rsidP="00A678A8" w:rsidRDefault="0020065F" w14:paraId="60F527D3" w14:textId="77777777">
      <w:pPr>
        <w:rPr>
          <w:b/>
          <w:bCs/>
          <w:i/>
          <w:iCs/>
        </w:rPr>
      </w:pPr>
      <w:r>
        <w:rPr>
          <w:b/>
          <w:bCs/>
          <w:i/>
          <w:iCs/>
        </w:rPr>
        <w:t>Uiterste implementatiedatum: 1 augustus 2023</w:t>
      </w:r>
    </w:p>
    <w:p w:rsidR="0020065F" w:rsidP="00A678A8" w:rsidRDefault="0020065F" w14:paraId="3805AE22" w14:textId="77777777">
      <w:pPr>
        <w:rPr>
          <w:szCs w:val="18"/>
        </w:rPr>
      </w:pPr>
    </w:p>
    <w:p w:rsidR="0020065F" w:rsidP="00A678A8" w:rsidRDefault="0020065F" w14:paraId="4CF61815" w14:textId="77777777">
      <w:pPr>
        <w:rPr>
          <w:szCs w:val="18"/>
        </w:rPr>
      </w:pPr>
      <w:r>
        <w:t xml:space="preserve">De richtlijn 2019/1151 wijzigt richtlijn 2017/1132 met betrekking tot het gebruik van digitale instrumenten en processen in het kader van het vennootschapsrecht. De richtlijn maakt het mogelijk dat bij de bedrijvenregisters in de lidstaten online een BV wordt opgericht, dat bijkantoren online kunnen worden geregistreerd en dat online informatie en documenten kunnen worden ingediend door vennootschappen en bijkantoren. De richtlijn bevat daarnaast een bepaling over bestuursverboden en de uitwisseling van informatie daarover tussen lidstaten. </w:t>
      </w:r>
    </w:p>
    <w:bookmarkEnd w:id="2"/>
    <w:p w:rsidR="00E8300B" w:rsidP="00A678A8" w:rsidRDefault="00E8300B" w14:paraId="74E2A441" w14:textId="77777777"/>
    <w:p w:rsidR="00491383" w:rsidP="00A678A8" w:rsidRDefault="00E8300B" w14:paraId="4937DCF8" w14:textId="77777777">
      <w:r>
        <w:t xml:space="preserve">Deels zijn deze verplichtingen ook al opgenomen in de richtlijn 2006/123, welke in 2010 zijn geïmplementeerd in de Dienstenwet en het Handelsregisterbesluit 2008.  Implementatie van de overige nieuwe verplichtingen vindt plaats in het Burgerlijk Wetboek, in de Wet op het notarisambt en opnieuw een wijziging van het Handelsregisterbesluit 2008. De wet tot wijziging van het Burgerlijk Wetboek en </w:t>
      </w:r>
      <w:r>
        <w:lastRenderedPageBreak/>
        <w:t xml:space="preserve">de Wet op het notarisambt is op 1 januari 2024 in werking getreden. EZ werkt nog aan de wijziging van het Handelsregisterbesluit 2008. </w:t>
      </w:r>
    </w:p>
    <w:p w:rsidR="00F329DD" w:rsidP="00A678A8" w:rsidRDefault="00F329DD" w14:paraId="05E172BA" w14:textId="77777777"/>
    <w:p w:rsidRPr="001C4670" w:rsidR="002208FE" w:rsidP="00A678A8" w:rsidRDefault="00E8300B" w14:paraId="51908286" w14:textId="1DA11F3B">
      <w:pPr>
        <w:rPr>
          <w:b/>
        </w:rPr>
      </w:pPr>
      <w:r>
        <w:t xml:space="preserve">Vooruitlopend op de voor de implementatie nog benodigde wijzigingen van het Handelsregisterbesluit 2008, werkt de Kamer van Koophandel (hierna: de KVK) vanaf het vierde kwartaal 2024 in de praktijk al  in overeenstemming met de eisen uit de richtlijn. De implementatie bij de KVK is vertraagd doordat de verordening met de technische specificaties pas laat gereedkwam en vanwege een overvolle ontwikkelkalender en capaciteitsbeperkingen bij zowel EZ als de KVK. Voor een resterende de KVK heeft de KVK vanwege aanhoudende capaciteitsbeperkingen aangegeven meer tijd nodig te hebben maar dit grotendeels alsnog te implementeren medio 2025. Naar verwachting wordt de formele wijziging van het Handelsregisterbesluit 2008 voor de zomer gepubliceerd.  </w:t>
      </w:r>
      <w:r>
        <w:rPr>
          <w:b/>
        </w:rPr>
        <w:br/>
      </w:r>
      <w:r w:rsidR="001C4670">
        <w:rPr>
          <w:b/>
        </w:rPr>
        <w:br/>
      </w:r>
      <w:r w:rsidRPr="00D37D4B" w:rsidR="002208FE">
        <w:rPr>
          <w:b/>
          <w:bCs/>
        </w:rPr>
        <w:t>RICHTLIJN (EU) 2022/2464 VAN HET EUROPEES PARLEMENT EN DE RAAD van 14 december 2022 tot wijziging van Verordening (EU) nr. 537/2014, Richtlijn 2004/109/EG, Richtlijn 2006/43/EG en Richtlijn 2013/34/EU, met betrekking tot duurzaamheidsrapportering door ondernemingen</w:t>
      </w:r>
    </w:p>
    <w:p w:rsidRPr="00E50DCF" w:rsidR="002208FE" w:rsidP="00A678A8" w:rsidRDefault="002208FE" w14:paraId="2FEC1FE8" w14:textId="6855CD59">
      <w:pPr>
        <w:rPr>
          <w:b/>
          <w:bCs/>
        </w:rPr>
      </w:pPr>
      <w:r w:rsidRPr="00D37D4B">
        <w:rPr>
          <w:b/>
          <w:bCs/>
        </w:rPr>
        <w:t>Uiterste implementatiedatum: 6 juli 2024</w:t>
      </w:r>
    </w:p>
    <w:p w:rsidR="002208FE" w:rsidP="00A678A8" w:rsidRDefault="002208FE" w14:paraId="0EB63DF0" w14:textId="77777777">
      <w:pPr>
        <w:rPr>
          <w:szCs w:val="18"/>
        </w:rPr>
      </w:pPr>
    </w:p>
    <w:p w:rsidRPr="00742F8C" w:rsidR="00903189" w:rsidP="00A678A8" w:rsidRDefault="00903189" w14:paraId="76C660A1" w14:textId="1AFFAA6F">
      <w:pPr>
        <w:rPr>
          <w:szCs w:val="18"/>
        </w:rPr>
      </w:pPr>
      <w:r w:rsidRPr="00D37D4B">
        <w:t xml:space="preserve">De richtlijn (EU) 2022/2464 verplicht, kort gezegd, grote en beursgenoteerde ondernemingen om te rapporteren over duurzaamheid. Accountants zullen deze duurzaamheidsrapporteringen beoordelen en moeten daarvoor aan extra eisen voldoen. De richtlijn wordt geïmplementeerd door enerzijds een ontwerp voor een algemene maatregel van bestuur van JenV dat de rapportageverplichting voor ondernemingen bevat en anderzijds door een wetsvoorstel </w:t>
      </w:r>
      <w:r w:rsidR="005E4D1E">
        <w:t xml:space="preserve">en een algemene maatregel van bestuur </w:t>
      </w:r>
      <w:r w:rsidRPr="00D37D4B">
        <w:t xml:space="preserve">van FIN met (voornamelijk) regels voor accountants(organisaties) die de duurzaamheidsrapportering moeten controleren. </w:t>
      </w:r>
    </w:p>
    <w:p w:rsidR="00AE4273" w:rsidP="00A678A8" w:rsidRDefault="00AE4273" w14:paraId="471B19A2" w14:textId="77777777">
      <w:pPr>
        <w:rPr>
          <w:szCs w:val="18"/>
        </w:rPr>
      </w:pPr>
    </w:p>
    <w:p w:rsidR="00D26C4A" w:rsidP="00A678A8" w:rsidRDefault="00903189" w14:paraId="4900F7E3" w14:textId="49539E55">
      <w:r w:rsidRPr="00D37D4B">
        <w:t xml:space="preserve">Het ontwerp voor de algemene maatregel van bestuur </w:t>
      </w:r>
      <w:r w:rsidR="005E4D1E">
        <w:t>over</w:t>
      </w:r>
      <w:r w:rsidRPr="00D37D4B" w:rsidDel="005E4D1E" w:rsidR="005E4D1E">
        <w:t xml:space="preserve"> </w:t>
      </w:r>
      <w:r w:rsidRPr="00D37D4B">
        <w:t xml:space="preserve">de rapportageverplichting is op 12 juni 2024 overgelegd aan beide Kamers in het kader van de voorhang (Kamerstuk 26485, nr. 437). Hierop zijn op 12 juli en 25 september </w:t>
      </w:r>
      <w:r w:rsidR="005E4D1E">
        <w:t xml:space="preserve">2024 </w:t>
      </w:r>
      <w:r w:rsidRPr="00D37D4B">
        <w:t xml:space="preserve">vragen ontvangen van de Tweede Kamer respectievelijk Eerste Kamer. </w:t>
      </w:r>
      <w:r w:rsidR="005E4D1E">
        <w:t>De</w:t>
      </w:r>
      <w:r w:rsidRPr="00D37D4B">
        <w:t xml:space="preserve"> beantwoording van deze vragen</w:t>
      </w:r>
      <w:r w:rsidR="00E8300B">
        <w:t xml:space="preserve"> </w:t>
      </w:r>
      <w:r w:rsidR="005E4D1E">
        <w:t>is eind december 2024 naar de beide Kamers gestuurd</w:t>
      </w:r>
      <w:r w:rsidRPr="00D37D4B" w:rsidR="005E4D1E">
        <w:t xml:space="preserve">. </w:t>
      </w:r>
    </w:p>
    <w:p w:rsidR="00F329DD" w:rsidP="00A678A8" w:rsidRDefault="00F329DD" w14:paraId="1A5A9796" w14:textId="77777777"/>
    <w:p w:rsidR="00D26C4A" w:rsidP="00A678A8" w:rsidRDefault="00D26C4A" w14:paraId="61F38AAE" w14:textId="2076254B">
      <w:r>
        <w:t xml:space="preserve">De Eerste Kamer heeft op 14 februari 2025 nadere schriftelijke vragen gesteld. </w:t>
      </w:r>
      <w:r w:rsidRPr="00D37D4B">
        <w:t xml:space="preserve">Het wetsvoorstel </w:t>
      </w:r>
      <w:r>
        <w:t>is op 13 januari 2025 bij</w:t>
      </w:r>
      <w:r w:rsidRPr="00D37D4B">
        <w:t xml:space="preserve"> de Tweede Kamer </w:t>
      </w:r>
      <w:r>
        <w:t>ingediend. Over</w:t>
      </w:r>
      <w:r w:rsidR="00F329DD">
        <w:t xml:space="preserve"> </w:t>
      </w:r>
      <w:r>
        <w:t>h</w:t>
      </w:r>
      <w:r w:rsidRPr="0074287E">
        <w:t xml:space="preserve">et ontwerp voor de algemene maatregel van bestuur over de regels voor accountants(organisaties) is </w:t>
      </w:r>
      <w:r>
        <w:t>de</w:t>
      </w:r>
      <w:r w:rsidRPr="0074287E">
        <w:t xml:space="preserve"> consultatie </w:t>
      </w:r>
      <w:r>
        <w:t>op 4 februari 2025 afgerond</w:t>
      </w:r>
      <w:r w:rsidRPr="0074287E">
        <w:t>.</w:t>
      </w:r>
      <w:r>
        <w:t xml:space="preserve"> Nadat de Tweede Kamer het eerder genoemde wetsvoorstel zal hebben aangenomen, zal het ontwerpbesluit voor advies aan de Raad van State worden voorgelegd.</w:t>
      </w:r>
    </w:p>
    <w:p w:rsidR="00D26C4A" w:rsidP="00A678A8" w:rsidRDefault="00D26C4A" w14:paraId="571C1A4A" w14:textId="77777777"/>
    <w:p w:rsidR="00677AF4" w:rsidP="00A678A8" w:rsidRDefault="00D26C4A" w14:paraId="78D82339" w14:textId="77777777">
      <w:r>
        <w:t>Inmiddels heeft de Europese Commissie op 26 februari twee voorstellen gepresenteerd tot wijziging van de richtlijn. H</w:t>
      </w:r>
      <w:r w:rsidRPr="00CD1271">
        <w:t>et</w:t>
      </w:r>
      <w:r>
        <w:t xml:space="preserve"> eerste</w:t>
      </w:r>
      <w:r w:rsidRPr="00CD1271">
        <w:t xml:space="preserve"> voorstel</w:t>
      </w:r>
      <w:r>
        <w:rPr>
          <w:rStyle w:val="FootnoteReference"/>
        </w:rPr>
        <w:footnoteReference w:id="3"/>
      </w:r>
      <w:r w:rsidRPr="00CD1271">
        <w:t xml:space="preserve"> voorziet in uitstel voor ondernemingen die moeten rapporteren vanaf boekjaren 2025 en 2026</w:t>
      </w:r>
      <w:r>
        <w:t xml:space="preserve">. </w:t>
      </w:r>
    </w:p>
    <w:p w:rsidR="00491383" w:rsidP="00A678A8" w:rsidRDefault="00D26C4A" w14:paraId="48CA61D7" w14:textId="15DA7571">
      <w:r>
        <w:lastRenderedPageBreak/>
        <w:t>Het tweede voorstel</w:t>
      </w:r>
      <w:r>
        <w:rPr>
          <w:rStyle w:val="FootnoteReference"/>
        </w:rPr>
        <w:footnoteReference w:id="4"/>
      </w:r>
      <w:r>
        <w:t xml:space="preserve"> beperkt d</w:t>
      </w:r>
      <w:r w:rsidRPr="00CD1271">
        <w:t xml:space="preserve">e reikwijdte </w:t>
      </w:r>
      <w:r>
        <w:t>van de richtlijn tot grote ondernemingen met meer dan duizend werknemers en</w:t>
      </w:r>
      <w:r w:rsidRPr="00CD1271">
        <w:t xml:space="preserve"> beperk</w:t>
      </w:r>
      <w:r>
        <w:t>t de informatie die de rapporterende ondernemingen kunnen</w:t>
      </w:r>
      <w:r w:rsidRPr="00CD1271">
        <w:t xml:space="preserve"> opvrag</w:t>
      </w:r>
      <w:r>
        <w:t>en</w:t>
      </w:r>
      <w:r w:rsidRPr="00CD1271">
        <w:t xml:space="preserve"> </w:t>
      </w:r>
      <w:r>
        <w:t>v</w:t>
      </w:r>
      <w:r w:rsidRPr="00CD1271">
        <w:t>an ondernemingen</w:t>
      </w:r>
      <w:r>
        <w:t xml:space="preserve"> in de waardeketen</w:t>
      </w:r>
      <w:r w:rsidRPr="00CD1271">
        <w:t xml:space="preserve"> die niet onder de rapportageverplichting vallen</w:t>
      </w:r>
      <w:r>
        <w:t>.</w:t>
      </w:r>
      <w:r w:rsidRPr="00CD1271">
        <w:t xml:space="preserve"> </w:t>
      </w:r>
    </w:p>
    <w:p w:rsidR="00F329DD" w:rsidP="00A678A8" w:rsidRDefault="00F329DD" w14:paraId="54210A43" w14:textId="77777777"/>
    <w:p w:rsidR="00D26C4A" w:rsidP="00A678A8" w:rsidRDefault="00D26C4A" w14:paraId="6C2963FE" w14:textId="7F24FB51">
      <w:r>
        <w:t xml:space="preserve">Beide voorstellen </w:t>
      </w:r>
      <w:r w:rsidRPr="00960D90">
        <w:rPr>
          <w:bCs/>
        </w:rPr>
        <w:t xml:space="preserve">hebben gevolgen voor de implementatie van </w:t>
      </w:r>
      <w:r>
        <w:rPr>
          <w:bCs/>
        </w:rPr>
        <w:t>de richtlijn</w:t>
      </w:r>
      <w:r w:rsidRPr="00960D90">
        <w:rPr>
          <w:bCs/>
        </w:rPr>
        <w:t xml:space="preserve">. Het heeft de voorkeur van het kabinet om de implementatie van beide voorstellen mee te nemen in het implementatietraject voor </w:t>
      </w:r>
      <w:r>
        <w:rPr>
          <w:bCs/>
        </w:rPr>
        <w:t>de r</w:t>
      </w:r>
      <w:r w:rsidRPr="00960D90">
        <w:rPr>
          <w:bCs/>
        </w:rPr>
        <w:t xml:space="preserve">ichtlijn, mits de onderhandelingen over die voorstellen voldoende voortgang boeken. </w:t>
      </w:r>
      <w:r w:rsidRPr="00960D90">
        <w:t xml:space="preserve">Ook het ontwerp-Implementatiebesluit richtlijn duurzaamheidsrapportering zal dan worden aangepast. Het kabinet </w:t>
      </w:r>
      <w:r>
        <w:t xml:space="preserve">heeft aangegeven </w:t>
      </w:r>
      <w:r w:rsidRPr="00960D90">
        <w:t xml:space="preserve">graag alvast </w:t>
      </w:r>
      <w:r>
        <w:t xml:space="preserve">de </w:t>
      </w:r>
      <w:r w:rsidRPr="00960D90">
        <w:t xml:space="preserve">vragen van de Tweede Kamer </w:t>
      </w:r>
      <w:r>
        <w:t xml:space="preserve">te </w:t>
      </w:r>
      <w:r w:rsidRPr="00960D90">
        <w:t xml:space="preserve">willen beantwoorden over het wetsvoorstel, waarbij </w:t>
      </w:r>
      <w:r>
        <w:t>het</w:t>
      </w:r>
      <w:r w:rsidRPr="00960D90">
        <w:t xml:space="preserve"> ook kan </w:t>
      </w:r>
      <w:r>
        <w:t>in</w:t>
      </w:r>
      <w:r w:rsidRPr="00960D90">
        <w:t>gaan op vragen over de</w:t>
      </w:r>
      <w:r>
        <w:t xml:space="preserve"> twee richtlijnvoorstellen.</w:t>
      </w:r>
      <w:r>
        <w:rPr>
          <w:rStyle w:val="FootnoteReference"/>
        </w:rPr>
        <w:footnoteReference w:id="5"/>
      </w:r>
      <w:r>
        <w:t xml:space="preserve"> </w:t>
      </w:r>
      <w:r w:rsidRPr="00DE7895">
        <w:t>De Europese Commissie heeft Nederland nogmaals herinnerd aan de noodzaak om de richtlijn op korte termijn te implementeren en heeft aangegeven dat er geen ruimte is voor uitstel.</w:t>
      </w:r>
    </w:p>
    <w:p w:rsidR="00677AF4" w:rsidP="00A678A8" w:rsidRDefault="00677AF4" w14:paraId="35627575" w14:textId="77777777">
      <w:pPr>
        <w:rPr>
          <w:b/>
          <w:bCs/>
          <w:szCs w:val="18"/>
        </w:rPr>
      </w:pPr>
    </w:p>
    <w:p w:rsidR="008E2CB3" w:rsidP="00A678A8" w:rsidRDefault="006D74CF" w14:paraId="70FE05E3" w14:textId="16CC443C">
      <w:pPr>
        <w:rPr>
          <w:b/>
          <w:bCs/>
          <w:szCs w:val="18"/>
        </w:rPr>
      </w:pPr>
      <w:r w:rsidRPr="006D74CF">
        <w:rPr>
          <w:b/>
          <w:bCs/>
          <w:szCs w:val="18"/>
        </w:rPr>
        <w:t>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(NIS 2-richtlijn)</w:t>
      </w:r>
    </w:p>
    <w:p w:rsidR="008E2CB3" w:rsidP="00A678A8" w:rsidRDefault="008E2CB3" w14:paraId="558E1191" w14:textId="44B87A06">
      <w:pPr>
        <w:rPr>
          <w:b/>
          <w:bCs/>
          <w:i/>
          <w:iCs/>
        </w:rPr>
      </w:pPr>
      <w:r w:rsidRPr="00D37D4B">
        <w:rPr>
          <w:b/>
          <w:bCs/>
          <w:i/>
          <w:iCs/>
        </w:rPr>
        <w:t xml:space="preserve">Uiterste implementatiedatum: </w:t>
      </w:r>
      <w:r>
        <w:rPr>
          <w:b/>
          <w:bCs/>
          <w:i/>
          <w:iCs/>
        </w:rPr>
        <w:t>17 oktober 2024</w:t>
      </w:r>
    </w:p>
    <w:p w:rsidRPr="008E2CB3" w:rsidR="00F329DD" w:rsidP="00A678A8" w:rsidRDefault="00F329DD" w14:paraId="42CE4A85" w14:textId="77777777">
      <w:pPr>
        <w:rPr>
          <w:bCs/>
        </w:rPr>
      </w:pPr>
    </w:p>
    <w:p w:rsidRPr="00A73C9E" w:rsidR="005E4D1E" w:rsidP="00A678A8" w:rsidRDefault="005E4D1E" w14:paraId="09F55A28" w14:textId="3E285451">
      <w:pPr>
        <w:rPr>
          <w:szCs w:val="18"/>
        </w:rPr>
      </w:pPr>
      <w:r w:rsidRPr="00D37D4B">
        <w:t xml:space="preserve">Zie toelichting onder richtlijn (EU) </w:t>
      </w:r>
      <w:r>
        <w:t>2022/2557</w:t>
      </w:r>
      <w:r w:rsidRPr="00D37D4B">
        <w:t>.</w:t>
      </w:r>
    </w:p>
    <w:p w:rsidR="00C9733F" w:rsidP="00A678A8" w:rsidRDefault="00C9733F" w14:paraId="4431AEFF" w14:textId="77777777">
      <w:pPr>
        <w:rPr>
          <w:b/>
          <w:bCs/>
          <w:szCs w:val="18"/>
        </w:rPr>
      </w:pPr>
    </w:p>
    <w:p w:rsidR="005E4D1E" w:rsidP="00A678A8" w:rsidRDefault="006D74CF" w14:paraId="54C04086" w14:textId="60D21A35">
      <w:pPr>
        <w:rPr>
          <w:b/>
          <w:bCs/>
          <w:szCs w:val="18"/>
        </w:rPr>
      </w:pPr>
      <w:r w:rsidRPr="006D74CF">
        <w:rPr>
          <w:b/>
          <w:bCs/>
          <w:szCs w:val="18"/>
        </w:rPr>
        <w:t>RICHTLIJN (EU) 2022/2557 VAN HET EUROPEES PARLEMENT EN DE RAAD van 14 december 2022 betreffende de weerbaarheid van kritieke entiteiten en tot intrekking van Richtlijn 2008/114/EG van de Raad</w:t>
      </w:r>
      <w:r w:rsidR="005E4D1E">
        <w:rPr>
          <w:b/>
          <w:bCs/>
          <w:szCs w:val="18"/>
        </w:rPr>
        <w:t xml:space="preserve"> (CER-richtlijn)</w:t>
      </w:r>
      <w:r w:rsidRPr="008E2CB3" w:rsidR="008E2CB3">
        <w:rPr>
          <w:b/>
          <w:bCs/>
          <w:i/>
          <w:iCs/>
        </w:rPr>
        <w:t xml:space="preserve"> </w:t>
      </w:r>
      <w:r w:rsidRPr="00D37D4B" w:rsidR="008E2CB3">
        <w:rPr>
          <w:b/>
          <w:bCs/>
          <w:i/>
          <w:iCs/>
        </w:rPr>
        <w:t xml:space="preserve">Uiterste implementatiedatum: </w:t>
      </w:r>
      <w:r w:rsidR="008E2CB3">
        <w:rPr>
          <w:b/>
          <w:bCs/>
          <w:i/>
          <w:iCs/>
        </w:rPr>
        <w:t>17 oktober 2024</w:t>
      </w:r>
    </w:p>
    <w:p w:rsidR="00E8300B" w:rsidP="00A678A8" w:rsidRDefault="00E8300B" w14:paraId="75C8FBDE" w14:textId="77777777">
      <w:pPr>
        <w:pStyle w:val="NoSpacing"/>
        <w:rPr>
          <w:b/>
          <w:bCs/>
          <w:szCs w:val="18"/>
        </w:rPr>
      </w:pPr>
    </w:p>
    <w:p w:rsidR="005E4D1E" w:rsidP="00A678A8" w:rsidRDefault="005E4D1E" w14:paraId="31187D6C" w14:textId="77777777">
      <w:pPr>
        <w:pStyle w:val="NoSpacing"/>
        <w:rPr>
          <w:szCs w:val="18"/>
        </w:rPr>
      </w:pPr>
      <w:r w:rsidRPr="007D0793">
        <w:rPr>
          <w:szCs w:val="18"/>
        </w:rPr>
        <w:t xml:space="preserve">De NIS2-richtlijn en de CER-richtlijn dienden met ingang van 18 oktober 2024 </w:t>
      </w:r>
      <w:r>
        <w:rPr>
          <w:szCs w:val="18"/>
        </w:rPr>
        <w:t xml:space="preserve">te zijn </w:t>
      </w:r>
      <w:r w:rsidRPr="007D0793">
        <w:rPr>
          <w:szCs w:val="18"/>
        </w:rPr>
        <w:t xml:space="preserve">omgezet in nationale wet- en regelgeving. </w:t>
      </w:r>
      <w:r>
        <w:rPr>
          <w:szCs w:val="18"/>
        </w:rPr>
        <w:t xml:space="preserve">Hoewel de inspanningen er steeds op gericht zijn geweest deze implementatietermijn te halen, heeft </w:t>
      </w:r>
      <w:r w:rsidRPr="007D0793">
        <w:rPr>
          <w:szCs w:val="18"/>
        </w:rPr>
        <w:t xml:space="preserve">Nederland heeft deze richtlijnen </w:t>
      </w:r>
      <w:r>
        <w:rPr>
          <w:szCs w:val="18"/>
        </w:rPr>
        <w:t xml:space="preserve">helaas </w:t>
      </w:r>
      <w:r w:rsidRPr="007D0793">
        <w:rPr>
          <w:szCs w:val="18"/>
        </w:rPr>
        <w:t>niet tijdig kunnen omzetten. Dit komt doordat de omzetting naar nationale wetgeving een omvangrijk en complex traject is, waarbij grote zorgvuldigheid is vereist</w:t>
      </w:r>
      <w:r>
        <w:rPr>
          <w:szCs w:val="18"/>
        </w:rPr>
        <w:t xml:space="preserve">. Die grote zorgvuldigheid is vereist, omdat de wetten waarin de NIS2-richtlijn en CER-richtlijn worden omgezet aanzienlijke impact hebben op </w:t>
      </w:r>
      <w:r w:rsidRPr="007D0793">
        <w:rPr>
          <w:szCs w:val="18"/>
        </w:rPr>
        <w:t>Nederlandse organisaties</w:t>
      </w:r>
      <w:r>
        <w:rPr>
          <w:szCs w:val="18"/>
        </w:rPr>
        <w:t xml:space="preserve">, zowel in de publieke als in de private sector. Er zijn </w:t>
      </w:r>
      <w:r w:rsidRPr="007D0793">
        <w:rPr>
          <w:szCs w:val="18"/>
        </w:rPr>
        <w:t>ten opzichte van bestaande wetgeving meer</w:t>
      </w:r>
      <w:r>
        <w:rPr>
          <w:szCs w:val="18"/>
        </w:rPr>
        <w:t xml:space="preserve"> en nieuwe</w:t>
      </w:r>
      <w:r w:rsidRPr="007D0793">
        <w:rPr>
          <w:szCs w:val="18"/>
        </w:rPr>
        <w:t xml:space="preserve"> sectoren en </w:t>
      </w:r>
      <w:r>
        <w:rPr>
          <w:szCs w:val="18"/>
        </w:rPr>
        <w:t xml:space="preserve">significant </w:t>
      </w:r>
      <w:r w:rsidRPr="007D0793">
        <w:rPr>
          <w:szCs w:val="18"/>
        </w:rPr>
        <w:t xml:space="preserve">meer organisaties die moeten voldoen aan de nieuwe wetgeving. </w:t>
      </w:r>
      <w:r>
        <w:rPr>
          <w:szCs w:val="18"/>
        </w:rPr>
        <w:t xml:space="preserve">De toepasselijkheid op vele sectoren heeft er ook toe geleid dat </w:t>
      </w:r>
      <w:r w:rsidRPr="007D0793">
        <w:rPr>
          <w:szCs w:val="18"/>
        </w:rPr>
        <w:t xml:space="preserve">interdepartementale afstemming </w:t>
      </w:r>
      <w:r>
        <w:rPr>
          <w:szCs w:val="18"/>
        </w:rPr>
        <w:t xml:space="preserve">met bijna alle departementen </w:t>
      </w:r>
      <w:r w:rsidRPr="007D0793">
        <w:rPr>
          <w:szCs w:val="18"/>
        </w:rPr>
        <w:t xml:space="preserve">vereist is. </w:t>
      </w:r>
    </w:p>
    <w:p w:rsidR="00F329DD" w:rsidP="00A678A8" w:rsidRDefault="00F329DD" w14:paraId="476B730D" w14:textId="77777777">
      <w:pPr>
        <w:pStyle w:val="NoSpacing"/>
        <w:rPr>
          <w:szCs w:val="18"/>
        </w:rPr>
      </w:pPr>
    </w:p>
    <w:p w:rsidRPr="007D0793" w:rsidR="005E4D1E" w:rsidP="00A678A8" w:rsidRDefault="005E4D1E" w14:paraId="13906FE7" w14:textId="7145D864">
      <w:pPr>
        <w:pStyle w:val="NoSpacing"/>
        <w:rPr>
          <w:szCs w:val="18"/>
        </w:rPr>
      </w:pPr>
      <w:r>
        <w:rPr>
          <w:szCs w:val="18"/>
        </w:rPr>
        <w:t>In het licht van de vertraagde omzetting wordt ook gewezen op de keuze van Nederland om, vanwege de hiervoor genoemde impact op organisaties, de implementatiewetsvoorstellen</w:t>
      </w:r>
      <w:r w:rsidR="00E8300B">
        <w:rPr>
          <w:szCs w:val="18"/>
        </w:rPr>
        <w:t xml:space="preserve"> en onderliggende amvb’s en ministeriële regelingen</w:t>
      </w:r>
      <w:r>
        <w:rPr>
          <w:szCs w:val="18"/>
        </w:rPr>
        <w:t xml:space="preserve"> open te stellen voor internetconsultatie, hoewel dit bij implementatiewetgeving niet verplicht is. </w:t>
      </w:r>
    </w:p>
    <w:p w:rsidR="005E4D1E" w:rsidP="00A678A8" w:rsidRDefault="005E4D1E" w14:paraId="2721B854" w14:textId="77777777">
      <w:pPr>
        <w:pStyle w:val="NoSpacing"/>
        <w:rPr>
          <w:b/>
          <w:bCs/>
          <w:szCs w:val="18"/>
        </w:rPr>
      </w:pPr>
    </w:p>
    <w:p w:rsidR="00677AF4" w:rsidP="00A678A8" w:rsidRDefault="005E4D1E" w14:paraId="5D7E1737" w14:textId="77777777">
      <w:pPr>
        <w:pStyle w:val="NoSpacing"/>
        <w:rPr>
          <w:szCs w:val="18"/>
        </w:rPr>
      </w:pPr>
      <w:r w:rsidRPr="007D0793">
        <w:rPr>
          <w:szCs w:val="18"/>
        </w:rPr>
        <w:t xml:space="preserve">De NIS2-richtlijn wordt geïmplementeerd in de Cyberbeveiligingswet en de CER-richtlijn wordt geïmplementeerd in de Wet weerbaarheid kritieke entiteiten. </w:t>
      </w:r>
    </w:p>
    <w:p w:rsidR="00491383" w:rsidP="00A678A8" w:rsidRDefault="005E4D1E" w14:paraId="18AB01D5" w14:textId="1D40E42B">
      <w:pPr>
        <w:pStyle w:val="NoSpacing"/>
        <w:rPr>
          <w:szCs w:val="18"/>
        </w:rPr>
      </w:pPr>
      <w:r w:rsidRPr="007D0793">
        <w:rPr>
          <w:szCs w:val="18"/>
        </w:rPr>
        <w:lastRenderedPageBreak/>
        <w:t>De wetsvoorstellen Cyberbeveiligingswet en Wet weerbaarheid kritieke entiteiten zijn op</w:t>
      </w:r>
      <w:r>
        <w:rPr>
          <w:szCs w:val="18"/>
        </w:rPr>
        <w:t xml:space="preserve"> 4 december 2024 </w:t>
      </w:r>
      <w:r w:rsidRPr="007D0793">
        <w:rPr>
          <w:szCs w:val="18"/>
        </w:rPr>
        <w:t>voor formeel (verplicht) advies voorgelegd aan de Afdeling advisering van de Raad van State (hierna: de Afdeling).</w:t>
      </w:r>
      <w:r>
        <w:rPr>
          <w:rStyle w:val="FootnoteReference"/>
          <w:szCs w:val="18"/>
        </w:rPr>
        <w:footnoteReference w:id="6"/>
      </w:r>
      <w:r w:rsidRPr="007D0793">
        <w:rPr>
          <w:szCs w:val="18"/>
        </w:rPr>
        <w:t xml:space="preserve"> </w:t>
      </w:r>
    </w:p>
    <w:p w:rsidR="00F329DD" w:rsidP="00A678A8" w:rsidRDefault="00F329DD" w14:paraId="57A13AE1" w14:textId="77777777">
      <w:pPr>
        <w:pStyle w:val="NoSpacing"/>
        <w:rPr>
          <w:szCs w:val="18"/>
        </w:rPr>
      </w:pPr>
    </w:p>
    <w:p w:rsidR="005E4D1E" w:rsidP="00A678A8" w:rsidRDefault="005E4D1E" w14:paraId="1B223818" w14:textId="34D3534D">
      <w:pPr>
        <w:pStyle w:val="NoSpacing"/>
        <w:rPr>
          <w:szCs w:val="18"/>
        </w:rPr>
      </w:pPr>
      <w:r w:rsidRPr="007D0793">
        <w:rPr>
          <w:szCs w:val="18"/>
        </w:rPr>
        <w:t xml:space="preserve">De </w:t>
      </w:r>
      <w:r w:rsidR="00F329DD">
        <w:rPr>
          <w:szCs w:val="18"/>
        </w:rPr>
        <w:t>A</w:t>
      </w:r>
      <w:r w:rsidRPr="007D0793">
        <w:rPr>
          <w:szCs w:val="18"/>
        </w:rPr>
        <w:t>fdeling</w:t>
      </w:r>
      <w:r w:rsidR="00E8300B">
        <w:rPr>
          <w:szCs w:val="18"/>
        </w:rPr>
        <w:t xml:space="preserve"> heeft op 19 februari 2025 haar adviezen uitgebracht op de wetsvoorstellen. De wetsvoorstellen</w:t>
      </w:r>
      <w:r w:rsidRPr="007D0793">
        <w:rPr>
          <w:szCs w:val="18"/>
        </w:rPr>
        <w:t xml:space="preserve"> zullen naar verwachting rond het einde van het eerste kwartaal van 2025 worden ingediend bij de Tweede Kamer. </w:t>
      </w:r>
      <w:r w:rsidR="00E8300B">
        <w:rPr>
          <w:szCs w:val="18"/>
        </w:rPr>
        <w:t>Op dit moment zijn de inspanningen er op gericht dat beide wetsvoorstellen zo snel als mogelijk</w:t>
      </w:r>
    </w:p>
    <w:p w:rsidR="00C9733F" w:rsidP="00A678A8" w:rsidRDefault="005E4D1E" w14:paraId="6FE26D97" w14:textId="7C8E3BEB">
      <w:pPr>
        <w:pStyle w:val="NoSpacing"/>
        <w:rPr>
          <w:szCs w:val="18"/>
        </w:rPr>
      </w:pPr>
      <w:r w:rsidRPr="007D0793">
        <w:rPr>
          <w:szCs w:val="18"/>
        </w:rPr>
        <w:t>tot wet worden verheven.</w:t>
      </w:r>
      <w:r w:rsidR="00E8300B">
        <w:rPr>
          <w:szCs w:val="18"/>
        </w:rPr>
        <w:t xml:space="preserve"> Ondertussen wordt ook gewerkt aan de onderliggende amvb’s en ministeriële regelingen.</w:t>
      </w:r>
      <w:r w:rsidR="00F329DD">
        <w:rPr>
          <w:szCs w:val="18"/>
        </w:rPr>
        <w:t xml:space="preserve"> </w:t>
      </w:r>
      <w:r>
        <w:rPr>
          <w:szCs w:val="18"/>
        </w:rPr>
        <w:t>Het</w:t>
      </w:r>
      <w:r w:rsidRPr="007D0793">
        <w:rPr>
          <w:szCs w:val="18"/>
        </w:rPr>
        <w:t xml:space="preserve"> uitgangspunt is dat de wetten en onderliggende regelgeving op hetzelfde moment in werking treden. </w:t>
      </w:r>
      <w:r w:rsidRPr="006D74CF" w:rsidR="006D74CF">
        <w:rPr>
          <w:szCs w:val="18"/>
        </w:rPr>
        <w:tab/>
      </w:r>
      <w:r w:rsidRPr="006D74CF" w:rsidR="006D74CF">
        <w:rPr>
          <w:szCs w:val="18"/>
        </w:rPr>
        <w:tab/>
      </w:r>
      <w:r w:rsidRPr="006D74CF" w:rsidR="006D74CF">
        <w:rPr>
          <w:szCs w:val="18"/>
        </w:rPr>
        <w:tab/>
      </w:r>
      <w:r w:rsidRPr="006D74CF" w:rsidR="006D74CF">
        <w:rPr>
          <w:szCs w:val="18"/>
        </w:rPr>
        <w:tab/>
      </w:r>
      <w:r w:rsidRPr="006D74CF" w:rsidR="006D74CF">
        <w:rPr>
          <w:szCs w:val="18"/>
        </w:rPr>
        <w:tab/>
      </w:r>
      <w:r w:rsidRPr="006D74CF" w:rsidR="006D74CF">
        <w:rPr>
          <w:szCs w:val="18"/>
        </w:rPr>
        <w:tab/>
      </w:r>
      <w:r w:rsidRPr="006D74CF" w:rsidR="006D74CF">
        <w:rPr>
          <w:szCs w:val="18"/>
        </w:rPr>
        <w:tab/>
      </w:r>
      <w:r w:rsidRPr="006D74CF" w:rsidR="006D74CF">
        <w:rPr>
          <w:szCs w:val="18"/>
        </w:rPr>
        <w:tab/>
      </w:r>
      <w:r w:rsidRPr="006D74CF" w:rsidR="006D74CF">
        <w:rPr>
          <w:szCs w:val="18"/>
        </w:rPr>
        <w:tab/>
      </w:r>
      <w:r w:rsidRPr="006D74CF" w:rsidR="006D74CF">
        <w:rPr>
          <w:szCs w:val="18"/>
        </w:rPr>
        <w:tab/>
      </w:r>
      <w:r w:rsidRPr="006D74CF" w:rsidR="006D74CF">
        <w:rPr>
          <w:szCs w:val="18"/>
        </w:rPr>
        <w:tab/>
      </w:r>
      <w:r w:rsidRPr="006D74CF" w:rsidR="006D74CF">
        <w:rPr>
          <w:szCs w:val="18"/>
        </w:rPr>
        <w:tab/>
      </w:r>
    </w:p>
    <w:p w:rsidRPr="00472D78" w:rsidR="00E21540" w:rsidP="00A678A8" w:rsidRDefault="1C9BBC4F" w14:paraId="6D3DAA45" w14:textId="3BCAD88D">
      <w:pPr>
        <w:rPr>
          <w:szCs w:val="18"/>
        </w:rPr>
      </w:pPr>
      <w:r w:rsidRPr="00E50DCF">
        <w:rPr>
          <w:b/>
          <w:bCs/>
          <w:u w:val="single"/>
        </w:rPr>
        <w:t>AenM</w:t>
      </w:r>
    </w:p>
    <w:p w:rsidR="00E21540" w:rsidP="00A678A8" w:rsidRDefault="00E21540" w14:paraId="569E5F9C" w14:textId="78DDCF69"/>
    <w:p w:rsidRPr="00E50DCF" w:rsidR="00E8300B" w:rsidP="00A678A8" w:rsidRDefault="00E8300B" w14:paraId="44E1320A" w14:textId="77777777">
      <w:pPr>
        <w:rPr>
          <w:b/>
          <w:bCs/>
          <w:i/>
          <w:iCs/>
        </w:rPr>
      </w:pPr>
      <w:r w:rsidRPr="00E50DCF">
        <w:rPr>
          <w:b/>
          <w:bCs/>
          <w:i/>
          <w:iCs/>
        </w:rPr>
        <w:t>RICHTLIJN (EU) 2021/1883 VAN HET EUROPEES PARLEMENT EN DE RAAD</w:t>
      </w:r>
    </w:p>
    <w:p w:rsidRPr="00E50DCF" w:rsidR="00E8300B" w:rsidP="00A678A8" w:rsidRDefault="00E8300B" w14:paraId="0E4989C5" w14:textId="77777777">
      <w:pPr>
        <w:rPr>
          <w:b/>
          <w:bCs/>
          <w:i/>
          <w:iCs/>
        </w:rPr>
      </w:pPr>
      <w:r w:rsidRPr="00E50DCF">
        <w:rPr>
          <w:b/>
          <w:bCs/>
          <w:i/>
          <w:iCs/>
        </w:rPr>
        <w:t>van 20 oktober 2021 betreffende de voorwaarden voor toegang en verblijf van onderdanen van derde landen met het oog op een hooggekwalificeerde baan, en tot intrekking van Richtlijn 2009/50/EG van de Raad</w:t>
      </w:r>
    </w:p>
    <w:p w:rsidRPr="00E50DCF" w:rsidR="00E8300B" w:rsidP="00A678A8" w:rsidRDefault="00E8300B" w14:paraId="3636FFC4" w14:textId="77777777">
      <w:pPr>
        <w:rPr>
          <w:b/>
          <w:bCs/>
          <w:i/>
          <w:iCs/>
        </w:rPr>
      </w:pPr>
      <w:r w:rsidRPr="00E50DCF">
        <w:rPr>
          <w:b/>
          <w:bCs/>
          <w:i/>
          <w:iCs/>
        </w:rPr>
        <w:t>Uiterste implementatiedatum: 18 november 2023</w:t>
      </w:r>
    </w:p>
    <w:p w:rsidR="00E8300B" w:rsidP="00A678A8" w:rsidRDefault="00E8300B" w14:paraId="76FEDAB1" w14:textId="77777777"/>
    <w:p w:rsidR="00E8300B" w:rsidP="00A678A8" w:rsidRDefault="00E8300B" w14:paraId="2A18A5FF" w14:textId="77777777">
      <w:r>
        <w:t xml:space="preserve">Richtlijn (EU) 2021/1883 vervangt Richtlijn 2009/50/EG en daarmee de regeling voor de Europese blauwe kaart. Bij de implementatie is zoveel mogelijk aansluiting gezocht bij de nationale kennismigrantenregeling die op een aantal onderdelen gunstiger voorwaarden bood. De implementatietermijn (18 november 2023) is inmiddels verstreken. </w:t>
      </w:r>
    </w:p>
    <w:p w:rsidR="00F329DD" w:rsidP="00A678A8" w:rsidRDefault="00F329DD" w14:paraId="767F21F9" w14:textId="77777777"/>
    <w:p w:rsidR="00E8300B" w:rsidP="00A678A8" w:rsidRDefault="00E8300B" w14:paraId="0EA4FE7B" w14:textId="77777777">
      <w:r>
        <w:t>Eerder hebben onder meer de sensitiviteit van het onderwerp in de politieke verhoudingen en de demissionaire status van het kabinet geleid tot vertragingen. Ook de betrokkenheid van verschillende ministeries heeft gezorgd voor vertraging bij de implementatie. Het besluit ter implementatie is in werking getreden en gereed gemeld bij de Commissie. Het wetsvoorstel is aanhangig gemaakt bij de Tweede Kamer. De parlementaire behandeling van het wetsvoorstel vindt op dit moment plaats (voorjaar 2025). De omstandigheid dat het standpunt van het kabinet en de Tweede Kamer ten opzichte van kennismigranten, en arbeidsmigratie als geheel, is gewijzigd maakt dat er met andere ogen naar de reeds afgeronde implementatie per besluit wordt gekeken en zorgt ervoor dat de parlementaire behandeling verdere vertraging heeft opgelopen.</w:t>
      </w:r>
    </w:p>
    <w:p w:rsidR="005E4D1E" w:rsidP="00A678A8" w:rsidRDefault="005E4D1E" w14:paraId="0FF3D457" w14:textId="77777777"/>
    <w:p w:rsidR="0046433A" w:rsidP="00A678A8" w:rsidRDefault="006D74CF" w14:paraId="7E8B315F" w14:textId="3AE9F64B">
      <w:pPr>
        <w:rPr>
          <w:b/>
          <w:bCs/>
          <w:u w:val="single"/>
        </w:rPr>
      </w:pPr>
      <w:r>
        <w:rPr>
          <w:b/>
          <w:bCs/>
          <w:u w:val="single"/>
        </w:rPr>
        <w:t>OCW</w:t>
      </w:r>
    </w:p>
    <w:p w:rsidR="006D74CF" w:rsidP="00A678A8" w:rsidRDefault="006D74CF" w14:paraId="08E468B3" w14:textId="77777777">
      <w:pPr>
        <w:rPr>
          <w:b/>
          <w:bCs/>
          <w:u w:val="single"/>
        </w:rPr>
      </w:pPr>
    </w:p>
    <w:p w:rsidRPr="006D74CF" w:rsidR="006D74CF" w:rsidP="00A678A8" w:rsidRDefault="006D74CF" w14:paraId="5BA8D024" w14:textId="05E0A154">
      <w:pPr>
        <w:rPr>
          <w:b/>
          <w:bCs/>
        </w:rPr>
      </w:pPr>
      <w:r w:rsidRPr="006D74CF">
        <w:rPr>
          <w:b/>
          <w:bCs/>
        </w:rPr>
        <w:t>RICHTLIJN (EU) 2022/2381 VAN HET EUROPEES PARLEMENT EN DE RAAD</w:t>
      </w:r>
    </w:p>
    <w:p w:rsidR="008E2CB3" w:rsidP="00A678A8" w:rsidRDefault="006D74CF" w14:paraId="2A2D2C41" w14:textId="77777777">
      <w:pPr>
        <w:rPr>
          <w:b/>
          <w:bCs/>
        </w:rPr>
      </w:pPr>
      <w:r w:rsidRPr="006D74CF">
        <w:rPr>
          <w:b/>
          <w:bCs/>
        </w:rPr>
        <w:t>van 23 november 2022inzake het verbeteren van het genderevenwicht bij bestuurders van beursgenoteerde ondernemingen en daarmee samenhangende maatregelen</w:t>
      </w:r>
    </w:p>
    <w:p w:rsidRPr="008E2CB3" w:rsidR="008E2CB3" w:rsidP="00A678A8" w:rsidRDefault="008E2CB3" w14:paraId="41A0C015" w14:textId="7C31A369">
      <w:pPr>
        <w:rPr>
          <w:bCs/>
        </w:rPr>
      </w:pPr>
      <w:r w:rsidRPr="00D37D4B">
        <w:rPr>
          <w:b/>
          <w:bCs/>
          <w:i/>
          <w:iCs/>
        </w:rPr>
        <w:t xml:space="preserve">Uiterste implementatiedatum: </w:t>
      </w:r>
      <w:r>
        <w:rPr>
          <w:b/>
          <w:bCs/>
          <w:i/>
          <w:iCs/>
        </w:rPr>
        <w:t>28 december 2024</w:t>
      </w:r>
    </w:p>
    <w:p w:rsidRPr="00A678A8" w:rsidR="00491383" w:rsidP="00A678A8" w:rsidRDefault="0020065F" w14:paraId="7983F373" w14:textId="0694550C">
      <w:pPr>
        <w:rPr>
          <w:b/>
          <w:bCs/>
        </w:rPr>
      </w:pPr>
      <w:r>
        <w:lastRenderedPageBreak/>
        <w:t xml:space="preserve">Richtlijn (EU) 2022/2381 verplicht lidstaten onder meer ervoor te zorgen dat beursgenoteerde ondernemingen een doelstelling opgelegd krijgen ten aanzien van het percentage leden van het ondervertegenwoordigde geslacht in de functies van al dan niet uitvoerend bestuurder. Voor de implementatie van deze richtlijn </w:t>
      </w:r>
      <w:r w:rsidR="00471502">
        <w:t>was</w:t>
      </w:r>
      <w:r>
        <w:t xml:space="preserve"> in Nederland geen aanvullende regelgeving vereist. </w:t>
      </w:r>
      <w:r w:rsidRPr="0064009B" w:rsidR="00471502">
        <w:t xml:space="preserve">Daarmee is de richtlijn inmiddels geïmplementeerd door bestaande regelgeving. Dit is op 13 februari 2025 in een mededeling in de Staatscourant bekend gemaakt (Strc. 2025, 5500). De nationale bepalingen om aan de richtlijn te voldoen staan vermeld in de transponeringstabel die als bijlage bij de genoemde mededeling is opgenomen. De implementatie is echter niet tijdig doorgevoerd in het systeem van de Europese Commissie waardoor de richtlijn nog is opgenomen in deze kwartaalbrief. </w:t>
      </w:r>
      <w:r w:rsidR="00471502">
        <w:t xml:space="preserve">In het volgend overzicht zal de implementatie worden meegenomen. </w:t>
      </w:r>
    </w:p>
    <w:p w:rsidR="00472D78" w:rsidP="00A678A8" w:rsidRDefault="006D74CF" w14:paraId="4895613A" w14:textId="076D13EB">
      <w:pPr>
        <w:rPr>
          <w:b/>
          <w:bCs/>
        </w:rPr>
      </w:pPr>
      <w:r w:rsidRPr="006D74CF">
        <w:rPr>
          <w:b/>
          <w:bCs/>
        </w:rPr>
        <w:tab/>
      </w:r>
      <w:r w:rsidRPr="006D74CF">
        <w:rPr>
          <w:b/>
          <w:bCs/>
        </w:rPr>
        <w:tab/>
      </w:r>
      <w:r w:rsidRPr="006D74CF">
        <w:rPr>
          <w:b/>
          <w:bCs/>
        </w:rPr>
        <w:tab/>
      </w:r>
      <w:r w:rsidRPr="006D74CF">
        <w:rPr>
          <w:b/>
          <w:bCs/>
        </w:rPr>
        <w:tab/>
      </w:r>
      <w:r w:rsidRPr="006D74CF">
        <w:rPr>
          <w:b/>
          <w:bCs/>
        </w:rPr>
        <w:tab/>
      </w:r>
      <w:r w:rsidRPr="006D74CF">
        <w:rPr>
          <w:b/>
          <w:bCs/>
        </w:rPr>
        <w:tab/>
      </w:r>
      <w:r w:rsidRPr="006D74CF">
        <w:rPr>
          <w:b/>
          <w:bCs/>
        </w:rPr>
        <w:tab/>
      </w:r>
      <w:r w:rsidRPr="006D74CF">
        <w:rPr>
          <w:b/>
          <w:bCs/>
        </w:rPr>
        <w:tab/>
      </w:r>
      <w:r w:rsidRPr="006D74CF">
        <w:rPr>
          <w:b/>
          <w:bCs/>
        </w:rPr>
        <w:tab/>
      </w:r>
    </w:p>
    <w:p w:rsidRPr="00800B06" w:rsidR="00017B5E" w:rsidP="00A678A8" w:rsidRDefault="007E5D05" w14:paraId="55BE9FE2" w14:textId="20B7F512">
      <w:pPr>
        <w:rPr>
          <w:b/>
          <w:bCs/>
          <w:iCs/>
        </w:rPr>
      </w:pPr>
      <w:r w:rsidRPr="00800B06">
        <w:rPr>
          <w:b/>
          <w:iCs/>
          <w:u w:val="single"/>
        </w:rPr>
        <w:t>SZW</w:t>
      </w:r>
    </w:p>
    <w:p w:rsidR="007E5D05" w:rsidP="00A678A8" w:rsidRDefault="007E5D05" w14:paraId="0D101D51" w14:textId="77777777">
      <w:pPr>
        <w:rPr>
          <w:b/>
          <w:i/>
          <w:u w:val="single"/>
        </w:rPr>
      </w:pPr>
    </w:p>
    <w:p w:rsidRPr="007E5D05" w:rsidR="007E5D05" w:rsidP="00A678A8" w:rsidRDefault="007E5D05" w14:paraId="05668C70" w14:textId="672F9D7D">
      <w:pPr>
        <w:rPr>
          <w:b/>
          <w:iCs/>
        </w:rPr>
      </w:pPr>
      <w:r w:rsidRPr="007E5D05">
        <w:rPr>
          <w:b/>
          <w:iCs/>
        </w:rPr>
        <w:t>RICHTLIJN (EU) 2022/2041 VAN HET EUROPEES PARLEMENT EN DE RAAD</w:t>
      </w:r>
    </w:p>
    <w:p w:rsidRPr="007E5D05" w:rsidR="007E5D05" w:rsidP="00A678A8" w:rsidRDefault="007E5D05" w14:paraId="4A2649C7" w14:textId="77777777">
      <w:pPr>
        <w:rPr>
          <w:b/>
          <w:iCs/>
        </w:rPr>
      </w:pPr>
      <w:r w:rsidRPr="007E5D05">
        <w:rPr>
          <w:b/>
          <w:iCs/>
        </w:rPr>
        <w:t>van 19 oktober 2022</w:t>
      </w:r>
    </w:p>
    <w:p w:rsidR="00A21DDB" w:rsidP="00A678A8" w:rsidRDefault="007E5D05" w14:paraId="53E5E3F5" w14:textId="7C0F0FA0">
      <w:pPr>
        <w:rPr>
          <w:b/>
          <w:iCs/>
        </w:rPr>
      </w:pPr>
      <w:r w:rsidRPr="007E5D05">
        <w:rPr>
          <w:b/>
          <w:iCs/>
        </w:rPr>
        <w:t>betreffende toereikende minimumlonen in de Europese Unie</w:t>
      </w:r>
    </w:p>
    <w:p w:rsidRPr="008E2CB3" w:rsidR="008E2CB3" w:rsidP="00A678A8" w:rsidRDefault="008E2CB3" w14:paraId="40248DDB" w14:textId="093A99F5">
      <w:pPr>
        <w:rPr>
          <w:bCs/>
        </w:rPr>
      </w:pPr>
      <w:r w:rsidRPr="00D37D4B">
        <w:rPr>
          <w:b/>
          <w:bCs/>
          <w:i/>
          <w:iCs/>
        </w:rPr>
        <w:t xml:space="preserve">Uiterste implementatiedatum: </w:t>
      </w:r>
      <w:r>
        <w:rPr>
          <w:b/>
          <w:bCs/>
          <w:i/>
          <w:iCs/>
        </w:rPr>
        <w:t>15 november 2024</w:t>
      </w:r>
    </w:p>
    <w:p w:rsidR="008E2CB3" w:rsidP="00A678A8" w:rsidRDefault="008E2CB3" w14:paraId="475F5415" w14:textId="77777777">
      <w:pPr>
        <w:rPr>
          <w:b/>
          <w:iCs/>
        </w:rPr>
      </w:pPr>
    </w:p>
    <w:p w:rsidR="00C3330B" w:rsidP="00A678A8" w:rsidRDefault="006917AC" w14:paraId="04AD879C" w14:textId="2A1FDFF3">
      <w:pPr>
        <w:rPr>
          <w:b/>
          <w:iCs/>
        </w:rPr>
      </w:pPr>
      <w:r w:rsidRPr="00C9733F">
        <w:rPr>
          <w:iCs/>
        </w:rPr>
        <w:t xml:space="preserve">De EU-richtlijn betreffende toereikende minimumlonen in de Europese Unie heeft betrekking op de toereikendheid van en bescherming door het minimumloon en het bevorderen van collectieve onderhandelingen. Het implementatievoorstel voorziet in een aantal wijzigingen van de Wet minimumloon en minimumvakantiebijslag. De implementatietermijn (15 november 2024) is inmiddels verstreken. Reden hiervoor is dat het consultatieproces en het parlementaire proces meer tijd in beslag hebben genomen. Het wetsvoorstel is op 23 april 2024 ingediend bij de Tweede Kamer, op 8 oktober 2024 heeft de Tweede Kamer het voorstel aangenomen. De plenaire behandeling door de Eerste Kamer vond plaats op 14 januari 2025. </w:t>
      </w:r>
      <w:r w:rsidRPr="00C9733F">
        <w:rPr>
          <w:iCs/>
        </w:rPr>
        <w:br/>
      </w:r>
      <w:r w:rsidRPr="00C9733F">
        <w:rPr>
          <w:iCs/>
        </w:rPr>
        <w:br/>
        <w:t>Op 14 januari 2025 heeft advocaat-genera</w:t>
      </w:r>
      <w:r w:rsidRPr="00CC1B1D">
        <w:rPr>
          <w:iCs/>
        </w:rPr>
        <w:t xml:space="preserve">al van </w:t>
      </w:r>
      <w:r w:rsidRPr="00C9733F">
        <w:rPr>
          <w:iCs/>
        </w:rPr>
        <w:t>het EU Hof van Justitie een conclusie gewezen in een zaak over deze richtlijn (zaaknummer: C-19/23), waarin de advocaat-generaal concludeert dat de richtlijn geen rechtsbasis heeft en nietig zou moeten worden verklaard. In verband hiermee heeft op 28 januari 2025 de voortzetting van het debat met de Eerste Kamer plaatsgevonden. Tijdens dit debat heeft de Eerste Kamer een ordevoorstel aangenomen, om de stemming uit te stellen tot het moment waarop er duidelijkheid is over de bevoegdheid van de EU om de richtlijn vast te stellen.</w:t>
      </w:r>
    </w:p>
    <w:p w:rsidR="00CF0E49" w:rsidP="00A678A8" w:rsidRDefault="00E85F41" w14:paraId="77EB875F" w14:textId="7E5E0FF0">
      <w:pPr>
        <w:rPr>
          <w:b/>
          <w:bCs/>
          <w:i/>
          <w:iCs/>
          <w:u w:val="single"/>
        </w:rPr>
      </w:pPr>
      <w:r>
        <w:rPr>
          <w:b/>
          <w:i/>
        </w:rPr>
        <w:br/>
      </w:r>
      <w:r w:rsidRPr="00F329DD">
        <w:rPr>
          <w:b/>
          <w:i/>
          <w:u w:val="single"/>
        </w:rPr>
        <w:t>R</w:t>
      </w:r>
      <w:r w:rsidRPr="00F329DD" w:rsidR="00CF0E49">
        <w:rPr>
          <w:b/>
          <w:bCs/>
          <w:i/>
          <w:iCs/>
          <w:u w:val="single"/>
        </w:rPr>
        <w:t>ic</w:t>
      </w:r>
      <w:r w:rsidRPr="00D37D4B" w:rsidR="00CF0E49">
        <w:rPr>
          <w:b/>
          <w:bCs/>
          <w:i/>
          <w:iCs/>
          <w:u w:val="single"/>
        </w:rPr>
        <w:t>htlijnen die in het volgende kwartaal moeten worden geïmplementeerd om overschrijding te voorkomen</w:t>
      </w:r>
    </w:p>
    <w:p w:rsidR="004E16EC" w:rsidP="00A678A8" w:rsidRDefault="004E16EC" w14:paraId="08676B8E" w14:textId="77777777">
      <w:pPr>
        <w:rPr>
          <w:b/>
          <w:bCs/>
          <w:i/>
          <w:iCs/>
          <w:u w:val="single"/>
        </w:rPr>
      </w:pPr>
    </w:p>
    <w:p w:rsidR="004E16EC" w:rsidP="00A678A8" w:rsidRDefault="004E16EC" w14:paraId="683E1C50" w14:textId="0FCE9EA0">
      <w:pPr>
        <w:rPr>
          <w:b/>
          <w:bCs/>
          <w:i/>
          <w:iCs/>
          <w:u w:val="single"/>
        </w:rPr>
      </w:pPr>
      <w:r>
        <w:rPr>
          <w:b/>
          <w:bCs/>
          <w:i/>
          <w:iCs/>
          <w:u w:val="single"/>
        </w:rPr>
        <w:t>FIN</w:t>
      </w:r>
    </w:p>
    <w:p w:rsidR="00F329DD" w:rsidP="00A678A8" w:rsidRDefault="00F329DD" w14:paraId="77C3266A" w14:textId="77777777">
      <w:pPr>
        <w:rPr>
          <w:b/>
          <w:bCs/>
          <w:i/>
          <w:iCs/>
          <w:u w:val="single"/>
        </w:rPr>
      </w:pPr>
    </w:p>
    <w:p w:rsidR="004E16EC" w:rsidP="00A678A8" w:rsidRDefault="004E16EC" w14:paraId="4F542480" w14:textId="0753C99A">
      <w:r w:rsidRPr="004E16EC">
        <w:t>RICHTLIJN (EU) 2023/2864 VAN HET EUROPEES PARLEMENT EN DE RAAD van 13 december 2023 tot wijziging van bepaalde richtlijnen wat betreft de oprichting en het functioneren van het Europees centraal toegangspunt</w:t>
      </w:r>
    </w:p>
    <w:p w:rsidR="004E16EC" w:rsidP="00A678A8" w:rsidRDefault="004E16EC" w14:paraId="5C94DBDA" w14:textId="77777777"/>
    <w:p w:rsidR="004E16EC" w:rsidP="00A678A8" w:rsidRDefault="004E16EC" w14:paraId="5816C27D" w14:textId="6E259598">
      <w:r w:rsidRPr="004E16EC">
        <w:t>RICHTLIJN (EU) 2024/1640 VAN HET EUROPEES PARLEMENT EN DE RAAD van 31 mei 2024 betreffende de mechanismen die de lidstaten moeten invoeren om het gebruik van het financiële stelsel voor witwassen of terrorismefinanciering te voorkomen, tot wijziging van Richtlijn (EU) 2019/1937, en tot wijziging en intrekking van Richtlijn (EU) 2015/849</w:t>
      </w:r>
    </w:p>
    <w:p w:rsidR="004E16EC" w:rsidP="00A678A8" w:rsidRDefault="004E16EC" w14:paraId="0BC9FEA3" w14:textId="77777777"/>
    <w:p w:rsidR="004E16EC" w:rsidP="00A678A8" w:rsidRDefault="004E16EC" w14:paraId="74E5E9ED" w14:textId="77777777">
      <w:r>
        <w:t>RICHTLIJN (EU) 2024/790 VAN HET EUROPEES PARLEMENT EN DE RAAD</w:t>
      </w:r>
    </w:p>
    <w:p w:rsidR="004E16EC" w:rsidP="00A678A8" w:rsidRDefault="004E16EC" w14:paraId="334C2508" w14:textId="77777777">
      <w:r>
        <w:t>van 28 februari 2024</w:t>
      </w:r>
    </w:p>
    <w:p w:rsidR="004E16EC" w:rsidP="00A678A8" w:rsidRDefault="004E16EC" w14:paraId="1EF9B3AC" w14:textId="0B35682B">
      <w:r>
        <w:t>tot wijziging van Richtlijn 2014/65/EU betreffende markten voor financiële instrumenten</w:t>
      </w:r>
    </w:p>
    <w:p w:rsidR="00D25069" w:rsidP="00A678A8" w:rsidRDefault="00D25069" w14:paraId="27523708" w14:textId="77777777">
      <w:pPr>
        <w:rPr>
          <w:bCs/>
        </w:rPr>
      </w:pPr>
    </w:p>
    <w:p w:rsidR="0005620F" w:rsidP="00A678A8" w:rsidRDefault="00B148E2" w14:paraId="5646F972" w14:textId="587B9F95">
      <w:pPr>
        <w:rPr>
          <w:bCs/>
        </w:rPr>
      </w:pPr>
      <w:r w:rsidRPr="00D37D4B">
        <w:rPr>
          <w:u w:val="single"/>
        </w:rPr>
        <w:t>IenW</w:t>
      </w:r>
    </w:p>
    <w:p w:rsidR="004E16EC" w:rsidP="00A678A8" w:rsidRDefault="0005620F" w14:paraId="60B97FF8" w14:textId="6F963284">
      <w:r>
        <w:tab/>
      </w:r>
      <w:r>
        <w:tab/>
      </w:r>
      <w:r>
        <w:tab/>
      </w:r>
      <w:r>
        <w:tab/>
      </w:r>
      <w:r>
        <w:tab/>
      </w:r>
      <w:r>
        <w:tab/>
      </w:r>
    </w:p>
    <w:p w:rsidR="004E16EC" w:rsidP="00A678A8" w:rsidRDefault="004E16EC" w14:paraId="5325A71A" w14:textId="77777777">
      <w:r>
        <w:t>RICHTLIJN (EU) 2024/884 VAN HET EUROPEES PARLEMENT EN DE RAAD</w:t>
      </w:r>
    </w:p>
    <w:p w:rsidR="004E16EC" w:rsidP="00A678A8" w:rsidRDefault="004E16EC" w14:paraId="6688840F" w14:textId="77777777">
      <w:r>
        <w:t>van 13 maart 2024</w:t>
      </w:r>
    </w:p>
    <w:p w:rsidR="00B81522" w:rsidP="00A678A8" w:rsidRDefault="004E16EC" w14:paraId="0B7BE576" w14:textId="77777777">
      <w:r>
        <w:t>tot wijziging van Richtlijn 2012/19/EU betreffende afgedankte elektrische en elektronische apparatuur (AEEA)</w:t>
      </w:r>
      <w:r w:rsidR="0005620F">
        <w:tab/>
      </w:r>
    </w:p>
    <w:p w:rsidR="00F329DD" w:rsidP="00A678A8" w:rsidRDefault="00F329DD" w14:paraId="33BB24F7" w14:textId="77777777"/>
    <w:p w:rsidR="004E16EC" w:rsidP="00A678A8" w:rsidRDefault="004E16EC" w14:paraId="245C647C" w14:textId="20D4A31A">
      <w:pPr>
        <w:rPr>
          <w:u w:val="single"/>
        </w:rPr>
      </w:pPr>
      <w:r>
        <w:rPr>
          <w:u w:val="single"/>
        </w:rPr>
        <w:t>LVVN</w:t>
      </w:r>
    </w:p>
    <w:p w:rsidRPr="00B81522" w:rsidR="00F329DD" w:rsidP="00A678A8" w:rsidRDefault="00F329DD" w14:paraId="05E1E79B" w14:textId="77777777"/>
    <w:p w:rsidRPr="004E16EC" w:rsidR="004E16EC" w:rsidP="00A678A8" w:rsidRDefault="004E16EC" w14:paraId="42CB7323" w14:textId="6EFC9D18">
      <w:r w:rsidRPr="004E16EC">
        <w:t>UITVOERINGSRICHTLIJN (EU) 2025/145 VAN DE COMMISSIE</w:t>
      </w:r>
      <w:r>
        <w:t xml:space="preserve"> </w:t>
      </w:r>
      <w:r w:rsidRPr="004E16EC">
        <w:t>van 29 januari 2025</w:t>
      </w:r>
      <w:r>
        <w:t xml:space="preserve"> </w:t>
      </w:r>
      <w:r w:rsidRPr="004E16EC">
        <w:t xml:space="preserve">tot wijziging van Uitvoeringsrichtlijn 2014/98/EU wat de door de Unie gereguleerde niet-quarantaineorganismen </w:t>
      </w:r>
      <w:r w:rsidRPr="00F329DD">
        <w:rPr>
          <w:i/>
          <w:iCs/>
        </w:rPr>
        <w:t>Tobacco ringspot virus</w:t>
      </w:r>
      <w:r w:rsidRPr="004E16EC">
        <w:t xml:space="preserve">, </w:t>
      </w:r>
      <w:r w:rsidRPr="00F329DD">
        <w:rPr>
          <w:i/>
          <w:iCs/>
        </w:rPr>
        <w:t>Tomato ringspot virus</w:t>
      </w:r>
      <w:r w:rsidRPr="004E16EC">
        <w:t>, Pucciniastrum minimum (Schweinitz) Arthur en Fig mosaic agent betreft, en tot rectificatie van die uitvoeringsrichtlijn wat de maatregelen betreffende Candidatus Phytoplasma prunorum Seemüller &amp; Schneider betreft</w:t>
      </w:r>
    </w:p>
    <w:p w:rsidR="004E16EC" w:rsidP="00A678A8" w:rsidRDefault="004E16EC" w14:paraId="42447F79" w14:textId="77777777">
      <w:pPr>
        <w:rPr>
          <w:u w:val="single"/>
        </w:rPr>
      </w:pPr>
    </w:p>
    <w:p w:rsidRPr="00E85F41" w:rsidR="00D25069" w:rsidP="00A678A8" w:rsidRDefault="00963655" w14:paraId="32E8CBAF" w14:textId="5387CA4F">
      <w:r w:rsidRPr="00963655">
        <w:tab/>
      </w:r>
      <w:r w:rsidRPr="00963655">
        <w:tab/>
      </w:r>
      <w:r w:rsidRPr="00963655">
        <w:tab/>
      </w:r>
      <w:r w:rsidRPr="00963655">
        <w:tab/>
      </w:r>
      <w:r w:rsidRPr="00963655">
        <w:tab/>
      </w:r>
      <w:r w:rsidRPr="00963655">
        <w:tab/>
      </w:r>
      <w:r w:rsidRPr="00963655">
        <w:tab/>
      </w:r>
      <w:r w:rsidRPr="00963655">
        <w:tab/>
      </w:r>
      <w:r w:rsidRPr="00963655">
        <w:tab/>
      </w:r>
    </w:p>
    <w:p w:rsidRPr="004E16EC" w:rsidR="004E16EC" w:rsidP="00A678A8" w:rsidRDefault="004E16EC" w14:paraId="2DF3A601" w14:textId="77777777">
      <w:pPr>
        <w:rPr>
          <w:b/>
          <w:bCs/>
          <w:i/>
          <w:iCs/>
          <w:u w:val="single"/>
        </w:rPr>
      </w:pPr>
      <w:r w:rsidRPr="004E16EC">
        <w:rPr>
          <w:b/>
          <w:bCs/>
          <w:i/>
          <w:iCs/>
          <w:u w:val="single"/>
        </w:rPr>
        <w:t xml:space="preserve">Ingebrekestellingen wegens te late implementatie </w:t>
      </w:r>
    </w:p>
    <w:p w:rsidRPr="004E16EC" w:rsidR="004E16EC" w:rsidP="00A678A8" w:rsidRDefault="004E16EC" w14:paraId="773441C3" w14:textId="77777777">
      <w:pPr>
        <w:rPr>
          <w:b/>
          <w:bCs/>
          <w:i/>
          <w:iCs/>
          <w:u w:val="single"/>
        </w:rPr>
      </w:pPr>
    </w:p>
    <w:p w:rsidRPr="00F329DD" w:rsidR="004E16EC" w:rsidP="00A678A8" w:rsidRDefault="004E16EC" w14:paraId="2ACBC808" w14:textId="77777777">
      <w:r w:rsidRPr="00F329DD">
        <w:t xml:space="preserve">In het tweede kwartaal van 2025 is er een ingebrekestelling wegens te late implementatie van richtlijnen van de Europese Commissie ontvangen: </w:t>
      </w:r>
    </w:p>
    <w:p w:rsidRPr="00F329DD" w:rsidR="004E16EC" w:rsidP="00A678A8" w:rsidRDefault="004E16EC" w14:paraId="66C5ADDA" w14:textId="77777777"/>
    <w:p w:rsidRPr="00F329DD" w:rsidR="004E16EC" w:rsidP="00A678A8" w:rsidRDefault="004E16EC" w14:paraId="48AB60F5" w14:textId="77777777">
      <w:r w:rsidRPr="00F329DD">
        <w:t>Van VWS, zaak 2025/0190, mbt RL 2024/505 (beroepskwalificaties Roemeense ziekenverplegers)</w:t>
      </w:r>
    </w:p>
    <w:p w:rsidRPr="00F329DD" w:rsidR="004E16EC" w:rsidP="00A678A8" w:rsidRDefault="004E16EC" w14:paraId="71B36BE5" w14:textId="77777777"/>
    <w:p w:rsidRPr="00F329DD" w:rsidR="004E16EC" w:rsidP="00A678A8" w:rsidRDefault="004E16EC" w14:paraId="0B3F28AE" w14:textId="45CCF362">
      <w:r w:rsidRPr="00F329DD">
        <w:t>De Europese Commissie heeft in het tweede kwartaal van 2025 twee zaken wegens te late implementatie geseponeerd:</w:t>
      </w:r>
    </w:p>
    <w:p w:rsidRPr="00F329DD" w:rsidR="004E16EC" w:rsidP="00A678A8" w:rsidRDefault="004E16EC" w14:paraId="110851B0" w14:textId="77777777"/>
    <w:p w:rsidRPr="00F329DD" w:rsidR="004E16EC" w:rsidP="00A678A8" w:rsidRDefault="004E16EC" w14:paraId="07328271" w14:textId="77777777">
      <w:r w:rsidRPr="00F329DD">
        <w:t>Van IenW, zaak 2025/0082, mbt RL 2024/0299 (rapportage emissieprognoses)</w:t>
      </w:r>
    </w:p>
    <w:p w:rsidRPr="00F329DD" w:rsidR="00F329DD" w:rsidP="00A678A8" w:rsidRDefault="00F329DD" w14:paraId="08ABE716" w14:textId="77777777"/>
    <w:p w:rsidRPr="00F329DD" w:rsidR="004E16EC" w:rsidP="00A678A8" w:rsidRDefault="004E16EC" w14:paraId="37C2D0B0" w14:textId="77777777">
      <w:r w:rsidRPr="00F329DD">
        <w:t>Van IenW, zaak 2023/2163, mbt RL 2022/738 (gehuurde voertuigen zonder bestuurder)</w:t>
      </w:r>
    </w:p>
    <w:p w:rsidR="00A21DDB" w:rsidP="00A678A8" w:rsidRDefault="00A21DDB" w14:paraId="0D00F518" w14:textId="77777777">
      <w:pPr>
        <w:rPr>
          <w:szCs w:val="18"/>
        </w:rPr>
      </w:pPr>
    </w:p>
    <w:p w:rsidRPr="00A94D19" w:rsidR="00A21DDB" w:rsidP="00A678A8" w:rsidRDefault="00A21DDB" w14:paraId="114B0471" w14:textId="77777777">
      <w:pPr>
        <w:rPr>
          <w:szCs w:val="18"/>
        </w:rPr>
      </w:pPr>
    </w:p>
    <w:p w:rsidRPr="00CF0E49" w:rsidR="00CF0E49" w:rsidP="00A678A8" w:rsidRDefault="00CF0E49" w14:paraId="0B5706F6" w14:textId="6741B094">
      <w:r w:rsidRPr="00CF0E49">
        <w:t xml:space="preserve">De </w:t>
      </w:r>
      <w:r w:rsidR="00F6643E">
        <w:t>m</w:t>
      </w:r>
      <w:r w:rsidRPr="00CF0E49">
        <w:t>inister van Buitenlandse Zaken,</w:t>
      </w:r>
    </w:p>
    <w:p w:rsidR="005621ED" w:rsidP="00A678A8" w:rsidRDefault="005621ED" w14:paraId="2F0CD743" w14:textId="2778B95D"/>
    <w:p w:rsidR="00885D61" w:rsidP="00A678A8" w:rsidRDefault="00885D61" w14:paraId="502AE454" w14:textId="2D594B04"/>
    <w:p w:rsidR="004B068E" w:rsidP="00A678A8" w:rsidRDefault="004B068E" w14:paraId="559FAAA6" w14:textId="5DF431AA"/>
    <w:p w:rsidR="00F22A52" w:rsidP="00A678A8" w:rsidRDefault="00F22A52" w14:paraId="29726EEC" w14:textId="77777777"/>
    <w:p w:rsidR="00D124B4" w:rsidP="00A678A8" w:rsidRDefault="00D124B4" w14:paraId="7C223460" w14:textId="77777777"/>
    <w:p w:rsidRPr="00132F64" w:rsidR="00885D61" w:rsidP="00A678A8" w:rsidRDefault="00491383" w14:paraId="7091D8E5" w14:textId="6C0C1175">
      <w:r>
        <w:t>D</w:t>
      </w:r>
      <w:r w:rsidR="00A678A8">
        <w:t>.M.</w:t>
      </w:r>
      <w:r>
        <w:t xml:space="preserve"> van Weel</w:t>
      </w:r>
    </w:p>
    <w:sectPr w:rsidRPr="00132F64" w:rsidR="00885D61" w:rsidSect="00D37D4B">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0D631" w14:textId="77777777" w:rsidR="0098603E" w:rsidRDefault="0098603E" w:rsidP="004F2CD5">
      <w:pPr>
        <w:spacing w:line="240" w:lineRule="auto"/>
      </w:pPr>
      <w:r>
        <w:separator/>
      </w:r>
    </w:p>
  </w:endnote>
  <w:endnote w:type="continuationSeparator" w:id="0">
    <w:p w14:paraId="4FCCFC3E" w14:textId="77777777" w:rsidR="0098603E" w:rsidRDefault="0098603E" w:rsidP="004F2CD5">
      <w:pPr>
        <w:spacing w:line="240" w:lineRule="auto"/>
      </w:pPr>
      <w:r>
        <w:continuationSeparator/>
      </w:r>
    </w:p>
  </w:endnote>
  <w:endnote w:type="continuationNotice" w:id="1">
    <w:p w14:paraId="3E5067E3" w14:textId="77777777" w:rsidR="0098603E" w:rsidRDefault="009860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A7EC" w14:textId="20CD6E39" w:rsidR="009B679B" w:rsidRDefault="00A61B17">
    <w:pPr>
      <w:pStyle w:val="Footer"/>
    </w:pPr>
    <w:r>
      <w:rPr>
        <w:noProof/>
      </w:rPr>
      <mc:AlternateContent>
        <mc:Choice Requires="wps">
          <w:drawing>
            <wp:anchor distT="0" distB="0" distL="0" distR="0" simplePos="0" relativeHeight="251660292" behindDoc="0" locked="0" layoutInCell="1" allowOverlap="1" wp14:anchorId="040A31B7" wp14:editId="3BA4D5E9">
              <wp:simplePos x="635" y="635"/>
              <wp:positionH relativeFrom="page">
                <wp:align>left</wp:align>
              </wp:positionH>
              <wp:positionV relativeFrom="page">
                <wp:align>bottom</wp:align>
              </wp:positionV>
              <wp:extent cx="986155" cy="345440"/>
              <wp:effectExtent l="0" t="0" r="4445" b="0"/>
              <wp:wrapNone/>
              <wp:docPr id="208171783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D0BA1D4" w14:textId="324C0EE5" w:rsidR="00A61B17" w:rsidRPr="00A61B17" w:rsidRDefault="00A61B17" w:rsidP="00A61B17">
                          <w:pPr>
                            <w:rPr>
                              <w:rFonts w:ascii="Calibri" w:eastAsia="Calibri" w:hAnsi="Calibri" w:cs="Calibri"/>
                              <w:noProof/>
                              <w:color w:val="000000"/>
                              <w:sz w:val="20"/>
                              <w:szCs w:val="20"/>
                            </w:rPr>
                          </w:pPr>
                          <w:r w:rsidRPr="00A61B1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0A31B7"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602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2D0BA1D4" w14:textId="324C0EE5" w:rsidR="00A61B17" w:rsidRPr="00A61B17" w:rsidRDefault="00A61B17" w:rsidP="00A61B17">
                    <w:pPr>
                      <w:rPr>
                        <w:rFonts w:ascii="Calibri" w:eastAsia="Calibri" w:hAnsi="Calibri" w:cs="Calibri"/>
                        <w:noProof/>
                        <w:color w:val="000000"/>
                        <w:sz w:val="20"/>
                        <w:szCs w:val="20"/>
                      </w:rPr>
                    </w:pPr>
                    <w:r w:rsidRPr="00A61B17">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3E28" w14:textId="0A70A144" w:rsidR="00C10E41" w:rsidRDefault="00A61B17">
    <w:pPr>
      <w:pStyle w:val="Footer"/>
      <w:jc w:val="center"/>
    </w:pPr>
    <w:r>
      <w:rPr>
        <w:noProof/>
      </w:rPr>
      <mc:AlternateContent>
        <mc:Choice Requires="wps">
          <w:drawing>
            <wp:anchor distT="0" distB="0" distL="0" distR="0" simplePos="0" relativeHeight="251661316" behindDoc="0" locked="0" layoutInCell="1" allowOverlap="1" wp14:anchorId="0BF1C85E" wp14:editId="3E88EC13">
              <wp:simplePos x="635" y="635"/>
              <wp:positionH relativeFrom="page">
                <wp:align>left</wp:align>
              </wp:positionH>
              <wp:positionV relativeFrom="page">
                <wp:align>bottom</wp:align>
              </wp:positionV>
              <wp:extent cx="986155" cy="345440"/>
              <wp:effectExtent l="0" t="0" r="4445" b="0"/>
              <wp:wrapNone/>
              <wp:docPr id="101671841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4A44415" w14:textId="03C3A70A" w:rsidR="00A61B17" w:rsidRPr="00A61B17" w:rsidRDefault="00A61B17" w:rsidP="00A61B17">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F1C85E"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7.65pt;height:27.2pt;z-index:2516613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04A44415" w14:textId="03C3A70A" w:rsidR="00A61B17" w:rsidRPr="00A61B17" w:rsidRDefault="00A61B17" w:rsidP="00A61B17">
                    <w:pPr>
                      <w:rPr>
                        <w:rFonts w:ascii="Calibri" w:eastAsia="Calibri" w:hAnsi="Calibri" w:cs="Calibri"/>
                        <w:noProof/>
                        <w:color w:val="000000"/>
                        <w:sz w:val="20"/>
                        <w:szCs w:val="20"/>
                      </w:rPr>
                    </w:pPr>
                  </w:p>
                </w:txbxContent>
              </v:textbox>
              <w10:wrap anchorx="page" anchory="page"/>
            </v:shape>
          </w:pict>
        </mc:Fallback>
      </mc:AlternateContent>
    </w:r>
    <w:sdt>
      <w:sdtPr>
        <w:id w:val="-1167017899"/>
        <w:docPartObj>
          <w:docPartGallery w:val="Page Numbers (Bottom of Page)"/>
          <w:docPartUnique/>
        </w:docPartObj>
      </w:sdtPr>
      <w:sdtEndPr/>
      <w:sdtContent>
        <w:r w:rsidR="00C10E41">
          <w:fldChar w:fldCharType="begin"/>
        </w:r>
        <w:r w:rsidR="00C10E41">
          <w:instrText>PAGE   \* MERGEFORMAT</w:instrText>
        </w:r>
        <w:r w:rsidR="00C10E41">
          <w:fldChar w:fldCharType="separate"/>
        </w:r>
        <w:r w:rsidR="0083118B">
          <w:rPr>
            <w:noProof/>
          </w:rPr>
          <w:t>2</w:t>
        </w:r>
        <w:r w:rsidR="00C10E41">
          <w:fldChar w:fldCharType="end"/>
        </w:r>
      </w:sdtContent>
    </w:sdt>
  </w:p>
  <w:p w14:paraId="04C77FB7" w14:textId="77777777" w:rsidR="00C10E41" w:rsidRDefault="00C10E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FF30" w14:textId="4172D6D8" w:rsidR="00C10E41" w:rsidRDefault="00A61B17">
    <w:pPr>
      <w:pStyle w:val="Footer"/>
      <w:jc w:val="center"/>
    </w:pPr>
    <w:r>
      <w:rPr>
        <w:noProof/>
      </w:rPr>
      <mc:AlternateContent>
        <mc:Choice Requires="wps">
          <w:drawing>
            <wp:anchor distT="0" distB="0" distL="0" distR="0" simplePos="0" relativeHeight="251659268" behindDoc="0" locked="0" layoutInCell="1" allowOverlap="1" wp14:anchorId="08B8ED24" wp14:editId="49C10CF1">
              <wp:simplePos x="635" y="635"/>
              <wp:positionH relativeFrom="page">
                <wp:align>left</wp:align>
              </wp:positionH>
              <wp:positionV relativeFrom="page">
                <wp:align>bottom</wp:align>
              </wp:positionV>
              <wp:extent cx="986155" cy="345440"/>
              <wp:effectExtent l="0" t="0" r="4445" b="0"/>
              <wp:wrapNone/>
              <wp:docPr id="112398755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F730910" w14:textId="503E5EB2" w:rsidR="00A61B17" w:rsidRPr="00A61B17" w:rsidRDefault="00A61B17" w:rsidP="00A61B17">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B8ED24" id="_x0000_t202" coordsize="21600,21600" o:spt="202" path="m,l,21600r21600,l21600,xe">
              <v:stroke joinstyle="miter"/>
              <v:path gradientshapeok="t" o:connecttype="rect"/>
            </v:shapetype>
            <v:shape id="Tekstvak 1" o:spid="_x0000_s1033" type="#_x0000_t202" alt="Intern gebruik" style="position:absolute;left:0;text-align:left;margin-left:0;margin-top:0;width:77.65pt;height:27.2pt;z-index:2516592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BRYLoX&#10;FAIAACEEAAAOAAAAAAAAAAAAAAAAAC4CAABkcnMvZTJvRG9jLnhtbFBLAQItABQABgAIAAAAIQBH&#10;zAyJ2gAAAAQBAAAPAAAAAAAAAAAAAAAAAG4EAABkcnMvZG93bnJldi54bWxQSwUGAAAAAAQABADz&#10;AAAAdQUAAAAA&#10;" filled="f" stroked="f">
              <v:textbox style="mso-fit-shape-to-text:t" inset="20pt,0,0,15pt">
                <w:txbxContent>
                  <w:p w14:paraId="6F730910" w14:textId="503E5EB2" w:rsidR="00A61B17" w:rsidRPr="00A61B17" w:rsidRDefault="00A61B17" w:rsidP="00A61B17">
                    <w:pPr>
                      <w:rPr>
                        <w:rFonts w:ascii="Calibri" w:eastAsia="Calibri" w:hAnsi="Calibri" w:cs="Calibri"/>
                        <w:noProof/>
                        <w:color w:val="000000"/>
                        <w:sz w:val="20"/>
                        <w:szCs w:val="20"/>
                      </w:rPr>
                    </w:pPr>
                  </w:p>
                </w:txbxContent>
              </v:textbox>
              <w10:wrap anchorx="page" anchory="page"/>
            </v:shape>
          </w:pict>
        </mc:Fallback>
      </mc:AlternateContent>
    </w:r>
  </w:p>
  <w:sdt>
    <w:sdtPr>
      <w:id w:val="-1432360848"/>
      <w:docPartObj>
        <w:docPartGallery w:val="Page Numbers (Bottom of Page)"/>
        <w:docPartUnique/>
      </w:docPartObj>
    </w:sdtPr>
    <w:sdtEndPr/>
    <w:sdtContent>
      <w:p w14:paraId="401B5053" w14:textId="77777777" w:rsidR="00C10E41" w:rsidRDefault="00C10E41">
        <w:pPr>
          <w:pStyle w:val="Footer"/>
          <w:jc w:val="center"/>
        </w:pPr>
        <w:r>
          <w:fldChar w:fldCharType="begin"/>
        </w:r>
        <w:r>
          <w:instrText>PAGE   \* MERGEFORMAT</w:instrText>
        </w:r>
        <w:r>
          <w:fldChar w:fldCharType="separate"/>
        </w:r>
        <w:r w:rsidR="0083118B">
          <w:rPr>
            <w:noProof/>
          </w:rPr>
          <w:t>1</w:t>
        </w:r>
        <w:r>
          <w:fldChar w:fldCharType="end"/>
        </w:r>
      </w:p>
    </w:sdtContent>
  </w:sdt>
  <w:p w14:paraId="72E557E4" w14:textId="64917805" w:rsidR="1C9BBC4F" w:rsidRDefault="1C9BBC4F" w:rsidP="00E50DCF">
    <w:pPr>
      <w:pStyle w:val="Footer"/>
      <w:jc w:val="center"/>
    </w:pPr>
  </w:p>
  <w:p w14:paraId="0D90555F" w14:textId="77777777" w:rsidR="00C10E41" w:rsidRDefault="00C10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474E2" w14:textId="77777777" w:rsidR="0098603E" w:rsidRDefault="0098603E" w:rsidP="004F2CD5">
      <w:pPr>
        <w:spacing w:line="240" w:lineRule="auto"/>
      </w:pPr>
      <w:r>
        <w:separator/>
      </w:r>
    </w:p>
  </w:footnote>
  <w:footnote w:type="continuationSeparator" w:id="0">
    <w:p w14:paraId="0DD78189" w14:textId="77777777" w:rsidR="0098603E" w:rsidRDefault="0098603E" w:rsidP="004F2CD5">
      <w:pPr>
        <w:spacing w:line="240" w:lineRule="auto"/>
      </w:pPr>
      <w:r>
        <w:continuationSeparator/>
      </w:r>
    </w:p>
  </w:footnote>
  <w:footnote w:type="continuationNotice" w:id="1">
    <w:p w14:paraId="1EA6602E" w14:textId="77777777" w:rsidR="0098603E" w:rsidRDefault="0098603E">
      <w:pPr>
        <w:spacing w:line="240" w:lineRule="auto"/>
      </w:pPr>
    </w:p>
  </w:footnote>
  <w:footnote w:id="2">
    <w:p w14:paraId="785A7262" w14:textId="77777777" w:rsidR="00CF6180" w:rsidRPr="005A67A0" w:rsidRDefault="00CF6180" w:rsidP="00CF6180">
      <w:pPr>
        <w:pStyle w:val="FootnoteText"/>
        <w:rPr>
          <w:sz w:val="16"/>
          <w:szCs w:val="16"/>
        </w:rPr>
      </w:pPr>
      <w:r w:rsidRPr="005A67A0">
        <w:rPr>
          <w:rStyle w:val="FootnoteReference"/>
          <w:sz w:val="16"/>
          <w:szCs w:val="16"/>
        </w:rPr>
        <w:footnoteRef/>
      </w:r>
      <w:r w:rsidRPr="005A67A0">
        <w:rPr>
          <w:sz w:val="16"/>
          <w:szCs w:val="16"/>
        </w:rPr>
        <w:t xml:space="preserve"> Stb. 2025, 193, Stb. 2025, 192 en Stcrt. 2025, 24734.</w:t>
      </w:r>
    </w:p>
  </w:footnote>
  <w:footnote w:id="3">
    <w:p w14:paraId="67E9AD58" w14:textId="77777777" w:rsidR="00D26C4A" w:rsidRPr="00960D90" w:rsidRDefault="00D26C4A" w:rsidP="00D26C4A">
      <w:pPr>
        <w:pStyle w:val="FootnoteText"/>
        <w:rPr>
          <w:sz w:val="16"/>
          <w:szCs w:val="16"/>
        </w:rPr>
      </w:pPr>
      <w:r w:rsidRPr="00960D90">
        <w:rPr>
          <w:rStyle w:val="FootnoteReference"/>
          <w:sz w:val="16"/>
          <w:szCs w:val="16"/>
        </w:rPr>
        <w:footnoteRef/>
      </w:r>
      <w:r w:rsidRPr="00960D90">
        <w:rPr>
          <w:sz w:val="16"/>
          <w:szCs w:val="16"/>
        </w:rPr>
        <w:t xml:space="preserve"> Voorstel voor een Richtlijn van het Europees Parlement en de Raad tot wijziging van de Richtlijnen (EU) 2022/2464 en (EU) 2024/1760 wat betreft de datums waarop lidstaten bepaalde vereisten inzake duurzaamheidsrapportering en passende zorgvuldigheid in het bedrijfsleven moeten toepassen, COM(2025)80.</w:t>
      </w:r>
    </w:p>
  </w:footnote>
  <w:footnote w:id="4">
    <w:p w14:paraId="0AABE489" w14:textId="77777777" w:rsidR="00D26C4A" w:rsidRPr="00960D90" w:rsidRDefault="00D26C4A" w:rsidP="00D26C4A">
      <w:pPr>
        <w:pStyle w:val="FootnoteText"/>
        <w:rPr>
          <w:sz w:val="16"/>
          <w:szCs w:val="16"/>
        </w:rPr>
      </w:pPr>
      <w:r w:rsidRPr="00960D90">
        <w:rPr>
          <w:rStyle w:val="FootnoteReference"/>
          <w:sz w:val="16"/>
          <w:szCs w:val="16"/>
        </w:rPr>
        <w:footnoteRef/>
      </w:r>
      <w:r w:rsidRPr="00960D90">
        <w:rPr>
          <w:sz w:val="16"/>
          <w:szCs w:val="16"/>
        </w:rPr>
        <w:t xml:space="preserve"> Voorstel voor een Richtlijn van het Europees Parlement en de Raad tot wijzing van de Richtlijnen 2006/43/EG, 2013/34/EU, (EU) 2022/2464 en (EU) 2024/1760 wat betreft bepaalde vereisten inzake duurzaamheidsrapportering door ondernemingen en passende zorgvuldigheid in het bedrijfsleven, COM(2025)81.</w:t>
      </w:r>
    </w:p>
  </w:footnote>
  <w:footnote w:id="5">
    <w:p w14:paraId="7F6B0DE5" w14:textId="77777777" w:rsidR="00D26C4A" w:rsidRPr="007542D8" w:rsidRDefault="00D26C4A" w:rsidP="00D26C4A">
      <w:pPr>
        <w:pStyle w:val="FootnoteText"/>
        <w:rPr>
          <w:sz w:val="16"/>
          <w:szCs w:val="16"/>
        </w:rPr>
      </w:pPr>
      <w:r w:rsidRPr="007542D8">
        <w:rPr>
          <w:rStyle w:val="FootnoteReference"/>
          <w:sz w:val="16"/>
          <w:szCs w:val="16"/>
        </w:rPr>
        <w:footnoteRef/>
      </w:r>
      <w:r w:rsidRPr="007542D8">
        <w:rPr>
          <w:sz w:val="16"/>
          <w:szCs w:val="16"/>
        </w:rPr>
        <w:t xml:space="preserve"> Kamerstukken II 2024/25, 22112, nr. 4012</w:t>
      </w:r>
    </w:p>
  </w:footnote>
  <w:footnote w:id="6">
    <w:p w14:paraId="5A9F73CB" w14:textId="77777777" w:rsidR="00E8300B" w:rsidRPr="00960D90" w:rsidRDefault="00E8300B" w:rsidP="00E8300B">
      <w:pPr>
        <w:pStyle w:val="FootnoteText"/>
        <w:rPr>
          <w:sz w:val="16"/>
          <w:szCs w:val="16"/>
        </w:rPr>
      </w:pPr>
      <w:r w:rsidRPr="00960D90">
        <w:rPr>
          <w:rStyle w:val="FootnoteReference"/>
          <w:sz w:val="16"/>
          <w:szCs w:val="16"/>
        </w:rPr>
        <w:footnoteRef/>
      </w:r>
      <w:r w:rsidRPr="00960D90">
        <w:rPr>
          <w:sz w:val="16"/>
          <w:szCs w:val="16"/>
        </w:rPr>
        <w:t xml:space="preserve"> Voorstel voor een Richtlijn van het Europees Parlement en de Raad tot wijziging van de Richtlijnen (EU) 2022/2464 en (EU) 2024/1760 wat betreft de datums waarop lidstaten bepaalde vereisten inzake duurzaamheidsrapportering en passende zorgvuldigheid in het bedrijfsleven moeten toepassen, COM(2025)80.</w:t>
      </w:r>
    </w:p>
    <w:p w14:paraId="322A108F" w14:textId="77777777" w:rsidR="00E8300B" w:rsidRPr="00960D90" w:rsidRDefault="00E8300B" w:rsidP="00E8300B">
      <w:pPr>
        <w:pStyle w:val="FootnoteText"/>
        <w:rPr>
          <w:sz w:val="16"/>
          <w:szCs w:val="16"/>
        </w:rPr>
      </w:pPr>
      <w:r w:rsidRPr="00960D90">
        <w:rPr>
          <w:rStyle w:val="FootnoteReference"/>
          <w:sz w:val="16"/>
          <w:szCs w:val="16"/>
        </w:rPr>
        <w:footnoteRef/>
      </w:r>
      <w:r w:rsidRPr="00960D90">
        <w:rPr>
          <w:sz w:val="16"/>
          <w:szCs w:val="16"/>
        </w:rPr>
        <w:t xml:space="preserve"> Voorstel voor een Richtlijn van het Europees Parlement en de Raad tot wijzing van de Richtlijnen 2006/43/EG, 2013/34/EU, (EU) 2022/2464 en (EU) 2024/1760 wat betreft bepaalde vereisten inzake duurzaamheidsrapportering door ondernemingen en passende zorgvuldigheid in het bedrijfsleven, COM(2025)81.</w:t>
      </w:r>
    </w:p>
    <w:p w14:paraId="6822D79F" w14:textId="64444285" w:rsidR="005E4D1E" w:rsidRPr="00B660F2" w:rsidRDefault="00E8300B" w:rsidP="005E4D1E">
      <w:pPr>
        <w:pStyle w:val="FootnoteText"/>
        <w:rPr>
          <w:sz w:val="15"/>
          <w:szCs w:val="15"/>
        </w:rPr>
      </w:pPr>
      <w:r w:rsidRPr="007542D8">
        <w:rPr>
          <w:rStyle w:val="FootnoteReference"/>
          <w:sz w:val="16"/>
          <w:szCs w:val="16"/>
        </w:rPr>
        <w:footnoteRef/>
      </w:r>
      <w:r w:rsidRPr="007542D8">
        <w:rPr>
          <w:sz w:val="16"/>
          <w:szCs w:val="16"/>
        </w:rPr>
        <w:t xml:space="preserve"> Kamerstukken II 2024/25, 22112, nr. 4012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AB25" w14:textId="77777777" w:rsidR="00A678A8" w:rsidRDefault="00A67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1BEB" w14:textId="3D8B98C7" w:rsidR="00955A81" w:rsidRDefault="00955A81" w:rsidP="007520D9">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7D37D299">
              <wp:simplePos x="0" y="0"/>
              <wp:positionH relativeFrom="column">
                <wp:posOffset>5111115</wp:posOffset>
              </wp:positionH>
              <wp:positionV relativeFrom="page">
                <wp:posOffset>1724025</wp:posOffset>
              </wp:positionV>
              <wp:extent cx="1493520" cy="80962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595A77" w14:textId="77777777" w:rsidR="00955A81" w:rsidRPr="006B0BAF" w:rsidRDefault="00955A81" w:rsidP="00387071">
                          <w:pPr>
                            <w:rPr>
                              <w:b/>
                              <w:sz w:val="13"/>
                              <w:szCs w:val="13"/>
                            </w:rPr>
                          </w:pPr>
                          <w:r w:rsidRPr="006B0BAF">
                            <w:rPr>
                              <w:b/>
                              <w:sz w:val="13"/>
                              <w:szCs w:val="13"/>
                            </w:rPr>
                            <w:t>Onze Referentie</w:t>
                          </w:r>
                        </w:p>
                        <w:p w14:paraId="4CE749C3" w14:textId="6E0940B5" w:rsidR="00F22A52" w:rsidRDefault="00A678A8">
                          <w:r w:rsidRPr="00A678A8">
                            <w:rPr>
                              <w:bCs/>
                              <w:sz w:val="13"/>
                              <w:szCs w:val="13"/>
                            </w:rPr>
                            <w:t>BZ2510302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4" o:spid="_x0000_s1026" type="#_x0000_t202" style="position:absolute;margin-left:402.45pt;margin-top:135.75pt;width:117.6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" filled="f" stroked="f">
              <v:textbox>
                <w:txbxContent>
                  <w:p w14:paraId="68595A77" w14:textId="77777777" w:rsidR="00955A81" w:rsidRPr="006B0BAF" w:rsidRDefault="00955A81" w:rsidP="00387071">
                    <w:pPr>
                      <w:rPr>
                        <w:b/>
                        <w:sz w:val="13"/>
                        <w:szCs w:val="13"/>
                      </w:rPr>
                    </w:pPr>
                    <w:r w:rsidRPr="006B0BAF">
                      <w:rPr>
                        <w:b/>
                        <w:sz w:val="13"/>
                        <w:szCs w:val="13"/>
                      </w:rPr>
                      <w:t>Onze Referentie</w:t>
                    </w:r>
                  </w:p>
                  <w:p w14:paraId="4CE749C3" w14:textId="6E0940B5" w:rsidR="00F22A52" w:rsidRDefault="00A678A8">
                    <w:r w:rsidRPr="00A678A8">
                      <w:rPr>
                        <w:bCs/>
                        <w:sz w:val="13"/>
                        <w:szCs w:val="13"/>
                      </w:rPr>
                      <w:t>BZ2510302</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000E" w14:textId="77777777" w:rsidR="00955A81" w:rsidRDefault="00955A81">
    <w:pPr>
      <w:pStyle w:val="Header"/>
    </w:pPr>
  </w:p>
  <w:p w14:paraId="6308DCE5" w14:textId="77777777" w:rsidR="00955A81" w:rsidRDefault="00955A81">
    <w:pPr>
      <w:pStyle w:val="Header"/>
    </w:pPr>
  </w:p>
  <w:p w14:paraId="660F25CA" w14:textId="77777777" w:rsidR="00955A81" w:rsidRDefault="00955A81">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3554B7" w14:textId="321617B2" w:rsidR="00955A81" w:rsidRDefault="00955A81" w:rsidP="00596AD0">
                          <w:pPr>
                            <w:pStyle w:val="Header"/>
                          </w:pPr>
                          <w:r>
                            <w:t xml:space="preserve">Aan de Voorzitter van de </w:t>
                          </w:r>
                        </w:p>
                        <w:p w14:paraId="1497E15B" w14:textId="79ABE1C3" w:rsidR="00955A81" w:rsidRDefault="00955A81" w:rsidP="00596AD0">
                          <w:pPr>
                            <w:pStyle w:val="Header"/>
                          </w:pPr>
                          <w:r>
                            <w:t>Tweede Kamer der Staten-Generaal</w:t>
                          </w:r>
                        </w:p>
                        <w:p w14:paraId="5200F6DE" w14:textId="1D6E23A8" w:rsidR="00955A81" w:rsidRDefault="00D012D9" w:rsidP="00596AD0">
                          <w:pPr>
                            <w:pStyle w:val="Header"/>
                          </w:pPr>
                          <w:r>
                            <w:t>Prinses Irenestraat 6</w:t>
                          </w:r>
                        </w:p>
                        <w:p w14:paraId="49B99455" w14:textId="19E8B193" w:rsidR="00955A81" w:rsidRDefault="00955A81" w:rsidP="00596AD0">
                          <w:pPr>
                            <w:pStyle w:val="Header"/>
                          </w:pPr>
                          <w:r>
                            <w:t>Den Haag</w:t>
                          </w:r>
                        </w:p>
                        <w:p w14:paraId="59FFB5F0" w14:textId="5AB8D0E7" w:rsidR="00955A81" w:rsidRPr="00CF7C5C" w:rsidRDefault="00955A81"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9"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" fillcolor="white [3201]" stroked="f" strokeweight=".5pt">
              <v:textbox inset="0,0,0,0">
                <w:txbxContent>
                  <w:p w14:paraId="353554B7" w14:textId="321617B2" w:rsidR="00955A81" w:rsidRDefault="00955A81" w:rsidP="00596AD0">
                    <w:pPr>
                      <w:pStyle w:val="Header"/>
                    </w:pPr>
                    <w:r>
                      <w:t xml:space="preserve">Aan de Voorzitter van de </w:t>
                    </w:r>
                  </w:p>
                  <w:p w14:paraId="1497E15B" w14:textId="79ABE1C3" w:rsidR="00955A81" w:rsidRDefault="00955A81" w:rsidP="00596AD0">
                    <w:pPr>
                      <w:pStyle w:val="Header"/>
                    </w:pPr>
                    <w:r>
                      <w:t>Tweede Kamer der Staten-Generaal</w:t>
                    </w:r>
                  </w:p>
                  <w:p w14:paraId="5200F6DE" w14:textId="1D6E23A8" w:rsidR="00955A81" w:rsidRDefault="00D012D9" w:rsidP="00596AD0">
                    <w:pPr>
                      <w:pStyle w:val="Header"/>
                    </w:pPr>
                    <w:r>
                      <w:t>Prinses Irenestraat 6</w:t>
                    </w:r>
                  </w:p>
                  <w:p w14:paraId="49B99455" w14:textId="19E8B193" w:rsidR="00955A81" w:rsidRDefault="00955A81" w:rsidP="00596AD0">
                    <w:pPr>
                      <w:pStyle w:val="Header"/>
                    </w:pPr>
                    <w:r>
                      <w:t>Den Haag</w:t>
                    </w:r>
                  </w:p>
                  <w:p w14:paraId="59FFB5F0" w14:textId="5AB8D0E7" w:rsidR="00955A81" w:rsidRPr="00CF7C5C" w:rsidRDefault="00955A81" w:rsidP="00421A31"/>
                </w:txbxContent>
              </v:textbox>
              <w10:wrap anchorx="margin" anchory="page"/>
            </v:shape>
          </w:pict>
        </mc:Fallback>
      </mc:AlternateContent>
    </w:r>
  </w:p>
  <w:p w14:paraId="6E29A619" w14:textId="77777777" w:rsidR="00955A81" w:rsidRDefault="00955A81">
    <w:pPr>
      <w:pStyle w:val="Header"/>
    </w:pPr>
  </w:p>
  <w:p w14:paraId="4ED6069D" w14:textId="77777777" w:rsidR="00955A81" w:rsidRDefault="00955A81">
    <w:pPr>
      <w:pStyle w:val="Header"/>
    </w:pPr>
  </w:p>
  <w:p w14:paraId="03C8A6DB" w14:textId="77777777" w:rsidR="00955A81" w:rsidRDefault="00955A81">
    <w:pPr>
      <w:pStyle w:val="Header"/>
    </w:pPr>
  </w:p>
  <w:p w14:paraId="43B5CFAA" w14:textId="77777777" w:rsidR="00955A81" w:rsidRDefault="00955A81">
    <w:pPr>
      <w:pStyle w:val="Header"/>
    </w:pPr>
  </w:p>
  <w:p w14:paraId="30EC77C3" w14:textId="77777777" w:rsidR="00955A81" w:rsidRDefault="00955A81">
    <w:pPr>
      <w:pStyle w:val="Header"/>
    </w:pPr>
  </w:p>
  <w:p w14:paraId="7ABB46DB" w14:textId="77777777" w:rsidR="00955A81" w:rsidRDefault="00955A81">
    <w:pPr>
      <w:pStyle w:val="Header"/>
    </w:pPr>
  </w:p>
  <w:p w14:paraId="7D9A49A6" w14:textId="77777777" w:rsidR="00955A81" w:rsidRDefault="00955A81">
    <w:pPr>
      <w:pStyle w:val="Header"/>
    </w:pPr>
  </w:p>
  <w:p w14:paraId="23085C85" w14:textId="77777777" w:rsidR="00955A81" w:rsidRDefault="00955A81">
    <w:pPr>
      <w:pStyle w:val="Header"/>
    </w:pPr>
  </w:p>
  <w:p w14:paraId="12D20D7F" w14:textId="77777777" w:rsidR="00955A81" w:rsidRDefault="00955A81">
    <w:pPr>
      <w:pStyle w:val="Header"/>
    </w:pPr>
  </w:p>
  <w:p w14:paraId="1F5C76F0" w14:textId="77777777" w:rsidR="00955A81" w:rsidRDefault="00955A81">
    <w:pPr>
      <w:pStyle w:val="Header"/>
    </w:pPr>
  </w:p>
  <w:p w14:paraId="394B98B3" w14:textId="77777777" w:rsidR="00955A81" w:rsidRDefault="00955A81">
    <w:pPr>
      <w:pStyle w:val="Header"/>
    </w:pPr>
  </w:p>
  <w:p w14:paraId="242DD7C2" w14:textId="77777777" w:rsidR="00955A81" w:rsidRDefault="00955A81">
    <w:pPr>
      <w:pStyle w:val="Header"/>
    </w:pPr>
  </w:p>
  <w:p w14:paraId="0DBAE0F5" w14:textId="77777777" w:rsidR="00955A81" w:rsidRDefault="00955A81">
    <w:pPr>
      <w:pStyle w:val="Header"/>
    </w:pPr>
  </w:p>
  <w:p w14:paraId="5554C250" w14:textId="77777777" w:rsidR="00955A81" w:rsidRDefault="00955A81">
    <w:pPr>
      <w:pStyle w:val="Header"/>
    </w:pPr>
  </w:p>
  <w:p w14:paraId="2FAF5074" w14:textId="77777777" w:rsidR="00955A81" w:rsidRDefault="00955A81">
    <w:pPr>
      <w:pStyle w:val="Header"/>
    </w:pPr>
  </w:p>
  <w:p w14:paraId="73AE405D" w14:textId="77777777" w:rsidR="00955A81" w:rsidRDefault="00955A81">
    <w:pPr>
      <w:pStyle w:val="Header"/>
    </w:pPr>
  </w:p>
  <w:p w14:paraId="28A02005" w14:textId="77777777" w:rsidR="00955A81" w:rsidRDefault="00955A81">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51EB4392" w:rsidR="00955A81" w:rsidRPr="00F51C07" w:rsidRDefault="00955A81">
                          <w:r w:rsidRPr="00F51C07">
                            <w:t>Datum</w:t>
                          </w:r>
                          <w:r w:rsidR="00E626C0">
                            <w:t xml:space="preserve"> 1</w:t>
                          </w:r>
                          <w:r w:rsidR="00B81522">
                            <w:t>9</w:t>
                          </w:r>
                          <w:r w:rsidR="00E626C0">
                            <w:t xml:space="preserve"> september</w:t>
                          </w:r>
                          <w:r w:rsidR="00F160B0">
                            <w:t xml:space="preserve"> </w:t>
                          </w:r>
                          <w:r w:rsidR="00D25069">
                            <w:t>2025</w:t>
                          </w:r>
                        </w:p>
                        <w:p w14:paraId="06BD080E" w14:textId="7152AA35" w:rsidR="00955A81" w:rsidRPr="00F51C07" w:rsidRDefault="00955A81">
                          <w:r w:rsidRPr="00E20D12">
                            <w:t>Betreft</w:t>
                          </w:r>
                          <w:r w:rsidR="00AC6C40">
                            <w:t xml:space="preserve"> </w:t>
                          </w:r>
                          <w:r w:rsidRPr="00CF0E49">
                            <w:t xml:space="preserve">Stand van zaken implementatie richtlijnen in het </w:t>
                          </w:r>
                          <w:r w:rsidR="00702401">
                            <w:t>eerste</w:t>
                          </w:r>
                          <w:r w:rsidRPr="00CF0E49">
                            <w:t xml:space="preserve"> kwartaal 202</w:t>
                          </w:r>
                          <w:r w:rsidR="00702401">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30"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" fillcolor="white [3201]" stroked="f" strokeweight=".5pt">
              <v:textbox inset="0,0,0,0">
                <w:txbxContent>
                  <w:p w14:paraId="3A666EFF" w14:textId="51EB4392" w:rsidR="00955A81" w:rsidRPr="00F51C07" w:rsidRDefault="00955A81">
                    <w:r w:rsidRPr="00F51C07">
                      <w:t>Datum</w:t>
                    </w:r>
                    <w:r w:rsidR="00E626C0">
                      <w:t xml:space="preserve"> 1</w:t>
                    </w:r>
                    <w:r w:rsidR="00B81522">
                      <w:t>9</w:t>
                    </w:r>
                    <w:r w:rsidR="00E626C0">
                      <w:t xml:space="preserve"> september</w:t>
                    </w:r>
                    <w:r w:rsidR="00F160B0">
                      <w:t xml:space="preserve"> </w:t>
                    </w:r>
                    <w:r w:rsidR="00D25069">
                      <w:t>2025</w:t>
                    </w:r>
                  </w:p>
                  <w:p w14:paraId="06BD080E" w14:textId="7152AA35" w:rsidR="00955A81" w:rsidRPr="00F51C07" w:rsidRDefault="00955A81">
                    <w:r w:rsidRPr="00E20D12">
                      <w:t>Betreft</w:t>
                    </w:r>
                    <w:r w:rsidR="00AC6C40">
                      <w:t xml:space="preserve"> </w:t>
                    </w:r>
                    <w:r w:rsidRPr="00CF0E49">
                      <w:t xml:space="preserve">Stand van zaken implementatie richtlijnen in het </w:t>
                    </w:r>
                    <w:r w:rsidR="00702401">
                      <w:t>eerste</w:t>
                    </w:r>
                    <w:r w:rsidRPr="00CF0E49">
                      <w:t xml:space="preserve"> kwartaal 202</w:t>
                    </w:r>
                    <w:r w:rsidR="00702401">
                      <w:t>5</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955A81" w14:paraId="35B35920" w14:textId="77777777">
                            <w:trPr>
                              <w:trHeight w:val="2636"/>
                            </w:trPr>
                            <w:tc>
                              <w:tcPr>
                                <w:tcW w:w="737" w:type="dxa"/>
                                <w:shd w:val="clear" w:color="auto" w:fill="auto"/>
                              </w:tcPr>
                              <w:p w14:paraId="70D3645D" w14:textId="77777777" w:rsidR="00955A81" w:rsidRDefault="00955A81" w:rsidP="00221464">
                                <w:pPr>
                                  <w:spacing w:line="240" w:lineRule="auto"/>
                                </w:pPr>
                              </w:p>
                            </w:tc>
                            <w:tc>
                              <w:tcPr>
                                <w:tcW w:w="5263" w:type="dxa"/>
                                <w:shd w:val="clear" w:color="auto" w:fill="auto"/>
                              </w:tcPr>
                              <w:p w14:paraId="78BE403D" w14:textId="77777777" w:rsidR="00955A81" w:rsidRDefault="00955A81" w:rsidP="00221464">
                                <w:pPr>
                                  <w:spacing w:line="240" w:lineRule="auto"/>
                                </w:pPr>
                                <w:r>
                                  <w:rPr>
                                    <w:noProof/>
                                  </w:rPr>
                                  <w:drawing>
                                    <wp:inline distT="0" distB="0" distL="0" distR="0" wp14:anchorId="55C8C93C" wp14:editId="12DCE1CF">
                                      <wp:extent cx="2335530" cy="1586230"/>
                                      <wp:effectExtent l="0" t="0" r="7620" b="0"/>
                                      <wp:docPr id="5" name="Picture 5"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955A81" w:rsidRDefault="00955A81"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3" o:spid="_x0000_s1031"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955A81" w14:paraId="35B35920" w14:textId="77777777">
                      <w:trPr>
                        <w:trHeight w:val="2636"/>
                      </w:trPr>
                      <w:tc>
                        <w:tcPr>
                          <w:tcW w:w="737" w:type="dxa"/>
                          <w:shd w:val="clear" w:color="auto" w:fill="auto"/>
                        </w:tcPr>
                        <w:p w14:paraId="70D3645D" w14:textId="77777777" w:rsidR="00955A81" w:rsidRDefault="00955A81" w:rsidP="00221464">
                          <w:pPr>
                            <w:spacing w:line="240" w:lineRule="auto"/>
                          </w:pPr>
                        </w:p>
                      </w:tc>
                      <w:tc>
                        <w:tcPr>
                          <w:tcW w:w="5263" w:type="dxa"/>
                          <w:shd w:val="clear" w:color="auto" w:fill="auto"/>
                        </w:tcPr>
                        <w:p w14:paraId="78BE403D" w14:textId="77777777" w:rsidR="00955A81" w:rsidRDefault="00955A81" w:rsidP="00221464">
                          <w:pPr>
                            <w:spacing w:line="240" w:lineRule="auto"/>
                          </w:pPr>
                          <w:r>
                            <w:rPr>
                              <w:noProof/>
                            </w:rPr>
                            <w:drawing>
                              <wp:inline distT="0" distB="0" distL="0" distR="0" wp14:anchorId="55C8C93C" wp14:editId="12DCE1CF">
                                <wp:extent cx="2335530" cy="1586230"/>
                                <wp:effectExtent l="0" t="0" r="7620" b="0"/>
                                <wp:docPr id="5" name="Picture 5"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955A81" w:rsidRDefault="00955A81"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F4B894" w14:textId="77777777" w:rsidR="007E3D9A" w:rsidRPr="007E3D9A" w:rsidRDefault="007E3D9A" w:rsidP="00EE5E5D">
                          <w:pPr>
                            <w:rPr>
                              <w:b/>
                              <w:bCs/>
                              <w:sz w:val="13"/>
                              <w:szCs w:val="13"/>
                            </w:rPr>
                          </w:pPr>
                          <w:r w:rsidRPr="007E3D9A">
                            <w:rPr>
                              <w:b/>
                              <w:bCs/>
                              <w:sz w:val="13"/>
                              <w:szCs w:val="13"/>
                            </w:rPr>
                            <w:t>Ministerie van Buitenlandse Zaken</w:t>
                          </w:r>
                        </w:p>
                        <w:p w14:paraId="3858C87A" w14:textId="2EE9C9F0" w:rsidR="00955A81" w:rsidRPr="00EE5E5D" w:rsidRDefault="00955A81" w:rsidP="00EE5E5D">
                          <w:pPr>
                            <w:rPr>
                              <w:sz w:val="13"/>
                              <w:szCs w:val="13"/>
                            </w:rPr>
                          </w:pPr>
                          <w:r>
                            <w:rPr>
                              <w:sz w:val="13"/>
                              <w:szCs w:val="13"/>
                            </w:rPr>
                            <w:t>Rijnstraat 8</w:t>
                          </w:r>
                        </w:p>
                        <w:p w14:paraId="410FCE81" w14:textId="77777777" w:rsidR="00955A81" w:rsidRPr="003B1346" w:rsidRDefault="00955A81" w:rsidP="00EE5E5D">
                          <w:pPr>
                            <w:rPr>
                              <w:sz w:val="13"/>
                              <w:szCs w:val="13"/>
                              <w:lang w:val="da-DK"/>
                            </w:rPr>
                          </w:pPr>
                          <w:r w:rsidRPr="003B1346">
                            <w:rPr>
                              <w:sz w:val="13"/>
                              <w:szCs w:val="13"/>
                              <w:lang w:val="da-DK"/>
                            </w:rPr>
                            <w:t xml:space="preserve">2515 XP Den Haag </w:t>
                          </w:r>
                        </w:p>
                        <w:p w14:paraId="16721111" w14:textId="77777777" w:rsidR="00955A81" w:rsidRPr="003B1346" w:rsidRDefault="00955A81" w:rsidP="00EE5E5D">
                          <w:pPr>
                            <w:rPr>
                              <w:sz w:val="13"/>
                              <w:szCs w:val="13"/>
                              <w:lang w:val="da-DK"/>
                            </w:rPr>
                          </w:pPr>
                          <w:r w:rsidRPr="003B1346">
                            <w:rPr>
                              <w:sz w:val="13"/>
                              <w:szCs w:val="13"/>
                              <w:lang w:val="da-DK"/>
                            </w:rPr>
                            <w:t>Postbus 20061</w:t>
                          </w:r>
                        </w:p>
                        <w:p w14:paraId="310589BA" w14:textId="77777777" w:rsidR="00955A81" w:rsidRPr="003B1346" w:rsidRDefault="00955A81" w:rsidP="00EE5E5D">
                          <w:pPr>
                            <w:rPr>
                              <w:sz w:val="13"/>
                              <w:szCs w:val="13"/>
                              <w:lang w:val="da-DK"/>
                            </w:rPr>
                          </w:pPr>
                          <w:r w:rsidRPr="003B1346">
                            <w:rPr>
                              <w:sz w:val="13"/>
                              <w:szCs w:val="13"/>
                              <w:lang w:val="da-DK"/>
                            </w:rPr>
                            <w:t>Nederland</w:t>
                          </w:r>
                        </w:p>
                        <w:p w14:paraId="3C816229" w14:textId="77777777" w:rsidR="00955A81" w:rsidRPr="003B1346" w:rsidRDefault="00955A81" w:rsidP="00EE5E5D">
                          <w:pPr>
                            <w:rPr>
                              <w:sz w:val="13"/>
                              <w:szCs w:val="13"/>
                              <w:lang w:val="da-DK"/>
                            </w:rPr>
                          </w:pPr>
                          <w:r w:rsidRPr="003B1346">
                            <w:rPr>
                              <w:sz w:val="13"/>
                              <w:szCs w:val="13"/>
                              <w:lang w:val="da-DK"/>
                            </w:rPr>
                            <w:t>www.rijksoverheid.nl</w:t>
                          </w:r>
                        </w:p>
                        <w:p w14:paraId="4A9FA492" w14:textId="77777777" w:rsidR="00955A81" w:rsidRPr="003B1346" w:rsidRDefault="00955A81" w:rsidP="00EE5E5D">
                          <w:pPr>
                            <w:rPr>
                              <w:sz w:val="13"/>
                              <w:szCs w:val="13"/>
                              <w:lang w:val="da-DK"/>
                            </w:rPr>
                          </w:pPr>
                        </w:p>
                        <w:p w14:paraId="69796188" w14:textId="77777777" w:rsidR="00955A81" w:rsidRPr="003B1346" w:rsidRDefault="00955A81" w:rsidP="00EE5E5D">
                          <w:pPr>
                            <w:rPr>
                              <w:sz w:val="13"/>
                              <w:szCs w:val="13"/>
                              <w:lang w:val="da-DK"/>
                            </w:rPr>
                          </w:pPr>
                        </w:p>
                        <w:p w14:paraId="36AB974F" w14:textId="67E266A5" w:rsidR="00955A81" w:rsidRPr="00A678A8" w:rsidRDefault="00955A81" w:rsidP="00EE5E5D">
                          <w:pPr>
                            <w:rPr>
                              <w:b/>
                              <w:sz w:val="13"/>
                              <w:szCs w:val="13"/>
                            </w:rPr>
                          </w:pPr>
                          <w:r w:rsidRPr="00A678A8">
                            <w:rPr>
                              <w:b/>
                              <w:sz w:val="13"/>
                              <w:szCs w:val="13"/>
                            </w:rPr>
                            <w:t xml:space="preserve">Onze </w:t>
                          </w:r>
                          <w:r w:rsidR="00A678A8" w:rsidRPr="00A678A8">
                            <w:rPr>
                              <w:b/>
                              <w:sz w:val="13"/>
                              <w:szCs w:val="13"/>
                            </w:rPr>
                            <w:t>R</w:t>
                          </w:r>
                          <w:r w:rsidRPr="00A678A8">
                            <w:rPr>
                              <w:b/>
                              <w:sz w:val="13"/>
                              <w:szCs w:val="13"/>
                            </w:rPr>
                            <w:t>eferentie</w:t>
                          </w:r>
                          <w:r w:rsidRPr="00A678A8">
                            <w:rPr>
                              <w:b/>
                              <w:sz w:val="13"/>
                              <w:szCs w:val="13"/>
                            </w:rPr>
                            <w:br/>
                          </w:r>
                          <w:r w:rsidR="00A678A8" w:rsidRPr="00A678A8">
                            <w:rPr>
                              <w:bCs/>
                              <w:sz w:val="13"/>
                              <w:szCs w:val="13"/>
                            </w:rPr>
                            <w:t>BZ2510302</w:t>
                          </w:r>
                        </w:p>
                        <w:p w14:paraId="7C912211" w14:textId="77777777" w:rsidR="00955A81" w:rsidRPr="00A678A8" w:rsidRDefault="00955A81" w:rsidP="00EE5E5D">
                          <w:pPr>
                            <w:rPr>
                              <w:b/>
                              <w:sz w:val="13"/>
                              <w:szCs w:val="13"/>
                            </w:rPr>
                          </w:pPr>
                        </w:p>
                        <w:p w14:paraId="6FD890A1" w14:textId="77777777" w:rsidR="00955A81" w:rsidRDefault="00955A81" w:rsidP="00EE5E5D">
                          <w:pPr>
                            <w:rPr>
                              <w:b/>
                              <w:sz w:val="13"/>
                              <w:szCs w:val="13"/>
                            </w:rPr>
                          </w:pPr>
                          <w:r w:rsidRPr="0058359E">
                            <w:rPr>
                              <w:b/>
                              <w:sz w:val="13"/>
                              <w:szCs w:val="13"/>
                            </w:rPr>
                            <w:t>Bijlage(n)</w:t>
                          </w:r>
                        </w:p>
                        <w:p w14:paraId="62317602" w14:textId="29592A9A" w:rsidR="00955A81" w:rsidRPr="0058359E" w:rsidRDefault="00D25069" w:rsidP="00EE5E5D">
                          <w:pPr>
                            <w:rPr>
                              <w:sz w:val="13"/>
                              <w:szCs w:val="13"/>
                            </w:rPr>
                          </w:pPr>
                          <w:r>
                            <w:rPr>
                              <w:sz w:val="13"/>
                              <w:szCs w:val="13"/>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Text Box 2" o:spid="_x0000_s1032"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1BUueYBAAC3AwAADgAAAAAAAAAAAAAAAAAuAgAAZHJzL2Uyb0RvYy54bWxQ&#10;SwECLQAUAAYACAAAACEAmTHZGd8AAAAMAQAADwAAAAAAAAAAAAAAAABABAAAZHJzL2Rvd25yZXYu&#10;eG1sUEsFBgAAAAAEAAQA8wAAAEwFAAAAAA==&#10;" filled="f" stroked="f">
              <v:textbox>
                <w:txbxContent>
                  <w:p w14:paraId="59F4B894" w14:textId="77777777" w:rsidR="007E3D9A" w:rsidRPr="007E3D9A" w:rsidRDefault="007E3D9A" w:rsidP="00EE5E5D">
                    <w:pPr>
                      <w:rPr>
                        <w:b/>
                        <w:bCs/>
                        <w:sz w:val="13"/>
                        <w:szCs w:val="13"/>
                      </w:rPr>
                    </w:pPr>
                    <w:r w:rsidRPr="007E3D9A">
                      <w:rPr>
                        <w:b/>
                        <w:bCs/>
                        <w:sz w:val="13"/>
                        <w:szCs w:val="13"/>
                      </w:rPr>
                      <w:t>Ministerie van Buitenlandse Zaken</w:t>
                    </w:r>
                  </w:p>
                  <w:p w14:paraId="3858C87A" w14:textId="2EE9C9F0" w:rsidR="00955A81" w:rsidRPr="00EE5E5D" w:rsidRDefault="00955A81" w:rsidP="00EE5E5D">
                    <w:pPr>
                      <w:rPr>
                        <w:sz w:val="13"/>
                        <w:szCs w:val="13"/>
                      </w:rPr>
                    </w:pPr>
                    <w:r>
                      <w:rPr>
                        <w:sz w:val="13"/>
                        <w:szCs w:val="13"/>
                      </w:rPr>
                      <w:t>Rijnstraat 8</w:t>
                    </w:r>
                  </w:p>
                  <w:p w14:paraId="410FCE81" w14:textId="77777777" w:rsidR="00955A81" w:rsidRPr="003B1346" w:rsidRDefault="00955A81" w:rsidP="00EE5E5D">
                    <w:pPr>
                      <w:rPr>
                        <w:sz w:val="13"/>
                        <w:szCs w:val="13"/>
                        <w:lang w:val="da-DK"/>
                      </w:rPr>
                    </w:pPr>
                    <w:r w:rsidRPr="003B1346">
                      <w:rPr>
                        <w:sz w:val="13"/>
                        <w:szCs w:val="13"/>
                        <w:lang w:val="da-DK"/>
                      </w:rPr>
                      <w:t xml:space="preserve">2515 XP Den Haag </w:t>
                    </w:r>
                  </w:p>
                  <w:p w14:paraId="16721111" w14:textId="77777777" w:rsidR="00955A81" w:rsidRPr="003B1346" w:rsidRDefault="00955A81" w:rsidP="00EE5E5D">
                    <w:pPr>
                      <w:rPr>
                        <w:sz w:val="13"/>
                        <w:szCs w:val="13"/>
                        <w:lang w:val="da-DK"/>
                      </w:rPr>
                    </w:pPr>
                    <w:r w:rsidRPr="003B1346">
                      <w:rPr>
                        <w:sz w:val="13"/>
                        <w:szCs w:val="13"/>
                        <w:lang w:val="da-DK"/>
                      </w:rPr>
                      <w:t>Postbus 20061</w:t>
                    </w:r>
                  </w:p>
                  <w:p w14:paraId="310589BA" w14:textId="77777777" w:rsidR="00955A81" w:rsidRPr="003B1346" w:rsidRDefault="00955A81" w:rsidP="00EE5E5D">
                    <w:pPr>
                      <w:rPr>
                        <w:sz w:val="13"/>
                        <w:szCs w:val="13"/>
                        <w:lang w:val="da-DK"/>
                      </w:rPr>
                    </w:pPr>
                    <w:r w:rsidRPr="003B1346">
                      <w:rPr>
                        <w:sz w:val="13"/>
                        <w:szCs w:val="13"/>
                        <w:lang w:val="da-DK"/>
                      </w:rPr>
                      <w:t>Nederland</w:t>
                    </w:r>
                  </w:p>
                  <w:p w14:paraId="3C816229" w14:textId="77777777" w:rsidR="00955A81" w:rsidRPr="003B1346" w:rsidRDefault="00955A81" w:rsidP="00EE5E5D">
                    <w:pPr>
                      <w:rPr>
                        <w:sz w:val="13"/>
                        <w:szCs w:val="13"/>
                        <w:lang w:val="da-DK"/>
                      </w:rPr>
                    </w:pPr>
                    <w:r w:rsidRPr="003B1346">
                      <w:rPr>
                        <w:sz w:val="13"/>
                        <w:szCs w:val="13"/>
                        <w:lang w:val="da-DK"/>
                      </w:rPr>
                      <w:t>www.rijksoverheid.nl</w:t>
                    </w:r>
                  </w:p>
                  <w:p w14:paraId="4A9FA492" w14:textId="77777777" w:rsidR="00955A81" w:rsidRPr="003B1346" w:rsidRDefault="00955A81" w:rsidP="00EE5E5D">
                    <w:pPr>
                      <w:rPr>
                        <w:sz w:val="13"/>
                        <w:szCs w:val="13"/>
                        <w:lang w:val="da-DK"/>
                      </w:rPr>
                    </w:pPr>
                  </w:p>
                  <w:p w14:paraId="69796188" w14:textId="77777777" w:rsidR="00955A81" w:rsidRPr="003B1346" w:rsidRDefault="00955A81" w:rsidP="00EE5E5D">
                    <w:pPr>
                      <w:rPr>
                        <w:sz w:val="13"/>
                        <w:szCs w:val="13"/>
                        <w:lang w:val="da-DK"/>
                      </w:rPr>
                    </w:pPr>
                  </w:p>
                  <w:p w14:paraId="36AB974F" w14:textId="67E266A5" w:rsidR="00955A81" w:rsidRPr="00A678A8" w:rsidRDefault="00955A81" w:rsidP="00EE5E5D">
                    <w:pPr>
                      <w:rPr>
                        <w:b/>
                        <w:sz w:val="13"/>
                        <w:szCs w:val="13"/>
                      </w:rPr>
                    </w:pPr>
                    <w:r w:rsidRPr="00A678A8">
                      <w:rPr>
                        <w:b/>
                        <w:sz w:val="13"/>
                        <w:szCs w:val="13"/>
                      </w:rPr>
                      <w:t xml:space="preserve">Onze </w:t>
                    </w:r>
                    <w:r w:rsidR="00A678A8" w:rsidRPr="00A678A8">
                      <w:rPr>
                        <w:b/>
                        <w:sz w:val="13"/>
                        <w:szCs w:val="13"/>
                      </w:rPr>
                      <w:t>R</w:t>
                    </w:r>
                    <w:r w:rsidRPr="00A678A8">
                      <w:rPr>
                        <w:b/>
                        <w:sz w:val="13"/>
                        <w:szCs w:val="13"/>
                      </w:rPr>
                      <w:t>eferentie</w:t>
                    </w:r>
                    <w:r w:rsidRPr="00A678A8">
                      <w:rPr>
                        <w:b/>
                        <w:sz w:val="13"/>
                        <w:szCs w:val="13"/>
                      </w:rPr>
                      <w:br/>
                    </w:r>
                    <w:r w:rsidR="00A678A8" w:rsidRPr="00A678A8">
                      <w:rPr>
                        <w:bCs/>
                        <w:sz w:val="13"/>
                        <w:szCs w:val="13"/>
                      </w:rPr>
                      <w:t>BZ2510302</w:t>
                    </w:r>
                  </w:p>
                  <w:p w14:paraId="7C912211" w14:textId="77777777" w:rsidR="00955A81" w:rsidRPr="00A678A8" w:rsidRDefault="00955A81" w:rsidP="00EE5E5D">
                    <w:pPr>
                      <w:rPr>
                        <w:b/>
                        <w:sz w:val="13"/>
                        <w:szCs w:val="13"/>
                      </w:rPr>
                    </w:pPr>
                  </w:p>
                  <w:p w14:paraId="6FD890A1" w14:textId="77777777" w:rsidR="00955A81" w:rsidRDefault="00955A81" w:rsidP="00EE5E5D">
                    <w:pPr>
                      <w:rPr>
                        <w:b/>
                        <w:sz w:val="13"/>
                        <w:szCs w:val="13"/>
                      </w:rPr>
                    </w:pPr>
                    <w:r w:rsidRPr="0058359E">
                      <w:rPr>
                        <w:b/>
                        <w:sz w:val="13"/>
                        <w:szCs w:val="13"/>
                      </w:rPr>
                      <w:t>Bijlage(n)</w:t>
                    </w:r>
                  </w:p>
                  <w:p w14:paraId="62317602" w14:textId="29592A9A" w:rsidR="00955A81" w:rsidRPr="0058359E" w:rsidRDefault="00D25069" w:rsidP="00EE5E5D">
                    <w:pPr>
                      <w:rPr>
                        <w:sz w:val="13"/>
                        <w:szCs w:val="13"/>
                      </w:rPr>
                    </w:pPr>
                    <w:r>
                      <w:rPr>
                        <w:sz w:val="13"/>
                        <w:szCs w:val="13"/>
                      </w:rPr>
                      <w:t>2</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42C5A"/>
    <w:multiLevelType w:val="hybridMultilevel"/>
    <w:tmpl w:val="6F78B6A0"/>
    <w:lvl w:ilvl="0" w:tplc="2186883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8A696A"/>
    <w:multiLevelType w:val="hybridMultilevel"/>
    <w:tmpl w:val="89BA05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5A0910"/>
    <w:multiLevelType w:val="hybridMultilevel"/>
    <w:tmpl w:val="52EEECFC"/>
    <w:lvl w:ilvl="0" w:tplc="BF4ECF32">
      <w:numFmt w:val="bullet"/>
      <w:lvlText w:val="-"/>
      <w:lvlJc w:val="left"/>
      <w:pPr>
        <w:ind w:left="644" w:hanging="360"/>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 w15:restartNumberingAfterBreak="0">
    <w:nsid w:val="26432501"/>
    <w:multiLevelType w:val="hybridMultilevel"/>
    <w:tmpl w:val="81ECAACA"/>
    <w:lvl w:ilvl="0" w:tplc="AA4C905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525819"/>
    <w:multiLevelType w:val="hybridMultilevel"/>
    <w:tmpl w:val="C4CAF93C"/>
    <w:lvl w:ilvl="0" w:tplc="1E924440">
      <w:numFmt w:val="bullet"/>
      <w:lvlText w:val="-"/>
      <w:lvlJc w:val="left"/>
      <w:pPr>
        <w:ind w:left="502" w:hanging="360"/>
      </w:pPr>
      <w:rPr>
        <w:rFonts w:ascii="Verdana" w:eastAsia="Times New Roman" w:hAnsi="Verdana" w:cs="Times New Roman"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5" w15:restartNumberingAfterBreak="0">
    <w:nsid w:val="3B2A6EF6"/>
    <w:multiLevelType w:val="hybridMultilevel"/>
    <w:tmpl w:val="C6B0F378"/>
    <w:lvl w:ilvl="0" w:tplc="5CE2A32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861572"/>
    <w:multiLevelType w:val="hybridMultilevel"/>
    <w:tmpl w:val="D108B1EC"/>
    <w:lvl w:ilvl="0" w:tplc="8EF844D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C190DD7"/>
    <w:multiLevelType w:val="hybridMultilevel"/>
    <w:tmpl w:val="E59C3E92"/>
    <w:lvl w:ilvl="0" w:tplc="8D7AE216">
      <w:numFmt w:val="bullet"/>
      <w:lvlText w:val="-"/>
      <w:lvlJc w:val="left"/>
      <w:pPr>
        <w:ind w:left="644" w:hanging="360"/>
      </w:pPr>
      <w:rPr>
        <w:rFonts w:ascii="Verdana" w:eastAsia="Times New Roman" w:hAnsi="Verdana" w:cs="Aria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8" w15:restartNumberingAfterBreak="0">
    <w:nsid w:val="5FBC765F"/>
    <w:multiLevelType w:val="hybridMultilevel"/>
    <w:tmpl w:val="AFA6299E"/>
    <w:lvl w:ilvl="0" w:tplc="5C0A3E34">
      <w:numFmt w:val="bullet"/>
      <w:lvlText w:val="-"/>
      <w:lvlJc w:val="left"/>
      <w:pPr>
        <w:ind w:left="720" w:hanging="360"/>
      </w:pPr>
      <w:rPr>
        <w:rFonts w:ascii="Verdana" w:eastAsia="Times New Roman" w:hAnsi="Verdana" w:cs="Times New Roman"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C6E0F84"/>
    <w:multiLevelType w:val="hybridMultilevel"/>
    <w:tmpl w:val="D14852FA"/>
    <w:lvl w:ilvl="0" w:tplc="2AA45C0C">
      <w:start w:val="8"/>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0B22F59"/>
    <w:multiLevelType w:val="hybridMultilevel"/>
    <w:tmpl w:val="FB34C5D0"/>
    <w:lvl w:ilvl="0" w:tplc="FC829DCA">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6420AF2"/>
    <w:multiLevelType w:val="hybridMultilevel"/>
    <w:tmpl w:val="0B9E21E0"/>
    <w:lvl w:ilvl="0" w:tplc="FBE654D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9114812">
    <w:abstractNumId w:val="7"/>
  </w:num>
  <w:num w:numId="2" w16cid:durableId="776752262">
    <w:abstractNumId w:val="4"/>
  </w:num>
  <w:num w:numId="3" w16cid:durableId="1539313695">
    <w:abstractNumId w:val="6"/>
  </w:num>
  <w:num w:numId="4" w16cid:durableId="1782526023">
    <w:abstractNumId w:val="5"/>
  </w:num>
  <w:num w:numId="5" w16cid:durableId="1500388235">
    <w:abstractNumId w:val="10"/>
  </w:num>
  <w:num w:numId="6" w16cid:durableId="230849892">
    <w:abstractNumId w:val="2"/>
  </w:num>
  <w:num w:numId="7" w16cid:durableId="1368338314">
    <w:abstractNumId w:val="0"/>
  </w:num>
  <w:num w:numId="8" w16cid:durableId="1734620116">
    <w:abstractNumId w:val="8"/>
  </w:num>
  <w:num w:numId="9" w16cid:durableId="1873377478">
    <w:abstractNumId w:val="3"/>
  </w:num>
  <w:num w:numId="10" w16cid:durableId="618028794">
    <w:abstractNumId w:val="11"/>
  </w:num>
  <w:num w:numId="11" w16cid:durableId="697660345">
    <w:abstractNumId w:val="9"/>
  </w:num>
  <w:num w:numId="12" w16cid:durableId="1128813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activeWritingStyle w:appName="MSWord" w:lang="es-ES" w:vendorID="64" w:dllVersion="6" w:nlCheck="1" w:checkStyle="0"/>
  <w:activeWritingStyle w:appName="MSWord" w:lang="nl-NL" w:vendorID="64" w:dllVersion="0" w:nlCheck="1" w:checkStyle="0"/>
  <w:activeWritingStyle w:appName="MSWord" w:lang="de-DE" w:vendorID="64" w:dllVersion="0" w:nlCheck="1" w:checkStyle="0"/>
  <w:activeWritingStyle w:appName="MSWord" w:lang="es-ES" w:vendorID="64" w:dllVersion="0" w:nlCheck="1" w:checkStyle="0"/>
  <w:activeWritingStyle w:appName="MSWord" w:lang="da-DK"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02F78"/>
    <w:rsid w:val="00007C13"/>
    <w:rsid w:val="00015841"/>
    <w:rsid w:val="00017B5E"/>
    <w:rsid w:val="00021689"/>
    <w:rsid w:val="00042060"/>
    <w:rsid w:val="00045261"/>
    <w:rsid w:val="000453B9"/>
    <w:rsid w:val="000463FE"/>
    <w:rsid w:val="000528E5"/>
    <w:rsid w:val="00055F4A"/>
    <w:rsid w:val="0005620F"/>
    <w:rsid w:val="0006110C"/>
    <w:rsid w:val="00062DDE"/>
    <w:rsid w:val="00063F56"/>
    <w:rsid w:val="0006478A"/>
    <w:rsid w:val="000701F1"/>
    <w:rsid w:val="000718E9"/>
    <w:rsid w:val="0007464A"/>
    <w:rsid w:val="00084FBB"/>
    <w:rsid w:val="00085F19"/>
    <w:rsid w:val="00091306"/>
    <w:rsid w:val="000914AD"/>
    <w:rsid w:val="0009361C"/>
    <w:rsid w:val="00093F79"/>
    <w:rsid w:val="000A3F0C"/>
    <w:rsid w:val="000B1085"/>
    <w:rsid w:val="000B1500"/>
    <w:rsid w:val="000B303D"/>
    <w:rsid w:val="000B47EA"/>
    <w:rsid w:val="000B64ED"/>
    <w:rsid w:val="000B7DAD"/>
    <w:rsid w:val="000C05AC"/>
    <w:rsid w:val="000C272F"/>
    <w:rsid w:val="000C4574"/>
    <w:rsid w:val="000C6A7D"/>
    <w:rsid w:val="000D35BB"/>
    <w:rsid w:val="000D6C7A"/>
    <w:rsid w:val="000D7270"/>
    <w:rsid w:val="000D7BF6"/>
    <w:rsid w:val="000E16C2"/>
    <w:rsid w:val="000E2073"/>
    <w:rsid w:val="000E6281"/>
    <w:rsid w:val="000F169D"/>
    <w:rsid w:val="000F21EB"/>
    <w:rsid w:val="000F5392"/>
    <w:rsid w:val="000F56CA"/>
    <w:rsid w:val="000F62FA"/>
    <w:rsid w:val="001008D3"/>
    <w:rsid w:val="00103598"/>
    <w:rsid w:val="00107850"/>
    <w:rsid w:val="00122A0E"/>
    <w:rsid w:val="001257B5"/>
    <w:rsid w:val="00130AB1"/>
    <w:rsid w:val="001312D1"/>
    <w:rsid w:val="00132F64"/>
    <w:rsid w:val="00133C3D"/>
    <w:rsid w:val="00133DC2"/>
    <w:rsid w:val="001361B2"/>
    <w:rsid w:val="001372D3"/>
    <w:rsid w:val="001428B6"/>
    <w:rsid w:val="00146159"/>
    <w:rsid w:val="0014670D"/>
    <w:rsid w:val="00150307"/>
    <w:rsid w:val="001567D8"/>
    <w:rsid w:val="00161332"/>
    <w:rsid w:val="00162641"/>
    <w:rsid w:val="001626B3"/>
    <w:rsid w:val="001646DB"/>
    <w:rsid w:val="00164FEA"/>
    <w:rsid w:val="00170004"/>
    <w:rsid w:val="00173AE0"/>
    <w:rsid w:val="00174943"/>
    <w:rsid w:val="00174AB3"/>
    <w:rsid w:val="00176259"/>
    <w:rsid w:val="001762ED"/>
    <w:rsid w:val="00176383"/>
    <w:rsid w:val="0018346E"/>
    <w:rsid w:val="00184C25"/>
    <w:rsid w:val="001850C6"/>
    <w:rsid w:val="00186973"/>
    <w:rsid w:val="0019174B"/>
    <w:rsid w:val="00191846"/>
    <w:rsid w:val="001921CD"/>
    <w:rsid w:val="00192A64"/>
    <w:rsid w:val="00192AD4"/>
    <w:rsid w:val="00193C99"/>
    <w:rsid w:val="001A07B7"/>
    <w:rsid w:val="001A60F3"/>
    <w:rsid w:val="001A648F"/>
    <w:rsid w:val="001A680C"/>
    <w:rsid w:val="001B1DA9"/>
    <w:rsid w:val="001B264D"/>
    <w:rsid w:val="001B5575"/>
    <w:rsid w:val="001B5984"/>
    <w:rsid w:val="001C0752"/>
    <w:rsid w:val="001C25F2"/>
    <w:rsid w:val="001C4670"/>
    <w:rsid w:val="001D0845"/>
    <w:rsid w:val="001D4B80"/>
    <w:rsid w:val="001E26AD"/>
    <w:rsid w:val="001E4AF3"/>
    <w:rsid w:val="001E591B"/>
    <w:rsid w:val="001E5AB7"/>
    <w:rsid w:val="001E7F93"/>
    <w:rsid w:val="001F0440"/>
    <w:rsid w:val="001F351D"/>
    <w:rsid w:val="001F4591"/>
    <w:rsid w:val="001F626B"/>
    <w:rsid w:val="0020065F"/>
    <w:rsid w:val="00202425"/>
    <w:rsid w:val="00203176"/>
    <w:rsid w:val="002033CB"/>
    <w:rsid w:val="00205368"/>
    <w:rsid w:val="00205F1D"/>
    <w:rsid w:val="00207025"/>
    <w:rsid w:val="002076F2"/>
    <w:rsid w:val="0021088D"/>
    <w:rsid w:val="0021484A"/>
    <w:rsid w:val="002208FE"/>
    <w:rsid w:val="00221464"/>
    <w:rsid w:val="00221E98"/>
    <w:rsid w:val="00223ADB"/>
    <w:rsid w:val="00223B8D"/>
    <w:rsid w:val="00226EFA"/>
    <w:rsid w:val="00230388"/>
    <w:rsid w:val="002321E9"/>
    <w:rsid w:val="00235BAB"/>
    <w:rsid w:val="0024280F"/>
    <w:rsid w:val="00245180"/>
    <w:rsid w:val="0024698C"/>
    <w:rsid w:val="00252280"/>
    <w:rsid w:val="0025246A"/>
    <w:rsid w:val="00253E3F"/>
    <w:rsid w:val="0026134C"/>
    <w:rsid w:val="002713D2"/>
    <w:rsid w:val="002737AF"/>
    <w:rsid w:val="00274149"/>
    <w:rsid w:val="002764FD"/>
    <w:rsid w:val="0027692E"/>
    <w:rsid w:val="00285BDD"/>
    <w:rsid w:val="00290241"/>
    <w:rsid w:val="00291063"/>
    <w:rsid w:val="00292248"/>
    <w:rsid w:val="00295ED6"/>
    <w:rsid w:val="0029629A"/>
    <w:rsid w:val="002A0E78"/>
    <w:rsid w:val="002A11D3"/>
    <w:rsid w:val="002B2C0A"/>
    <w:rsid w:val="002B42C9"/>
    <w:rsid w:val="002B44D3"/>
    <w:rsid w:val="002B4B42"/>
    <w:rsid w:val="002B7327"/>
    <w:rsid w:val="002C0612"/>
    <w:rsid w:val="002C1F56"/>
    <w:rsid w:val="002C1F9D"/>
    <w:rsid w:val="002C2CD5"/>
    <w:rsid w:val="002C3439"/>
    <w:rsid w:val="002C7377"/>
    <w:rsid w:val="002D14E3"/>
    <w:rsid w:val="002D27CD"/>
    <w:rsid w:val="002D5237"/>
    <w:rsid w:val="002D5582"/>
    <w:rsid w:val="002D6CF6"/>
    <w:rsid w:val="002E0D00"/>
    <w:rsid w:val="002E2B21"/>
    <w:rsid w:val="002E399E"/>
    <w:rsid w:val="002F508B"/>
    <w:rsid w:val="003025D1"/>
    <w:rsid w:val="00303177"/>
    <w:rsid w:val="00304632"/>
    <w:rsid w:val="00307351"/>
    <w:rsid w:val="00310314"/>
    <w:rsid w:val="003107AE"/>
    <w:rsid w:val="0031283D"/>
    <w:rsid w:val="00313050"/>
    <w:rsid w:val="00314883"/>
    <w:rsid w:val="0031503D"/>
    <w:rsid w:val="00315F27"/>
    <w:rsid w:val="003168A7"/>
    <w:rsid w:val="00316C45"/>
    <w:rsid w:val="00317C45"/>
    <w:rsid w:val="003248D8"/>
    <w:rsid w:val="00326B23"/>
    <w:rsid w:val="003338C2"/>
    <w:rsid w:val="00334293"/>
    <w:rsid w:val="00334E10"/>
    <w:rsid w:val="00335306"/>
    <w:rsid w:val="003372E0"/>
    <w:rsid w:val="00340C34"/>
    <w:rsid w:val="003425E8"/>
    <w:rsid w:val="00343AF9"/>
    <w:rsid w:val="0034551A"/>
    <w:rsid w:val="00346DF6"/>
    <w:rsid w:val="003573B1"/>
    <w:rsid w:val="00360A38"/>
    <w:rsid w:val="00371491"/>
    <w:rsid w:val="003715EC"/>
    <w:rsid w:val="0037485C"/>
    <w:rsid w:val="003749E8"/>
    <w:rsid w:val="00377BFF"/>
    <w:rsid w:val="00387071"/>
    <w:rsid w:val="003901B4"/>
    <w:rsid w:val="00391B57"/>
    <w:rsid w:val="00392593"/>
    <w:rsid w:val="00392651"/>
    <w:rsid w:val="00397D10"/>
    <w:rsid w:val="003A2E58"/>
    <w:rsid w:val="003A2FD6"/>
    <w:rsid w:val="003A498A"/>
    <w:rsid w:val="003A4AB5"/>
    <w:rsid w:val="003B0A72"/>
    <w:rsid w:val="003B1346"/>
    <w:rsid w:val="003B2DD9"/>
    <w:rsid w:val="003B6109"/>
    <w:rsid w:val="003C0D64"/>
    <w:rsid w:val="003C3DC7"/>
    <w:rsid w:val="003C3FED"/>
    <w:rsid w:val="003C5355"/>
    <w:rsid w:val="003C6D77"/>
    <w:rsid w:val="003D0FF6"/>
    <w:rsid w:val="003D4CB3"/>
    <w:rsid w:val="003D5AC9"/>
    <w:rsid w:val="003D643C"/>
    <w:rsid w:val="003E210E"/>
    <w:rsid w:val="003E27FF"/>
    <w:rsid w:val="003E5CE8"/>
    <w:rsid w:val="003E5E12"/>
    <w:rsid w:val="003E63D9"/>
    <w:rsid w:val="003F197A"/>
    <w:rsid w:val="003F4182"/>
    <w:rsid w:val="003F628A"/>
    <w:rsid w:val="003F6B71"/>
    <w:rsid w:val="00400CD9"/>
    <w:rsid w:val="004014C0"/>
    <w:rsid w:val="0040352C"/>
    <w:rsid w:val="00403BE4"/>
    <w:rsid w:val="00407BD1"/>
    <w:rsid w:val="00410007"/>
    <w:rsid w:val="00414953"/>
    <w:rsid w:val="00414CA9"/>
    <w:rsid w:val="00415C7A"/>
    <w:rsid w:val="00416387"/>
    <w:rsid w:val="0042075C"/>
    <w:rsid w:val="00421A31"/>
    <w:rsid w:val="00421A61"/>
    <w:rsid w:val="004246A5"/>
    <w:rsid w:val="004305C5"/>
    <w:rsid w:val="0044451C"/>
    <w:rsid w:val="00454A26"/>
    <w:rsid w:val="00456042"/>
    <w:rsid w:val="004615AC"/>
    <w:rsid w:val="00462ACA"/>
    <w:rsid w:val="0046433A"/>
    <w:rsid w:val="00471502"/>
    <w:rsid w:val="00472954"/>
    <w:rsid w:val="00472D78"/>
    <w:rsid w:val="0047390C"/>
    <w:rsid w:val="00487012"/>
    <w:rsid w:val="00487BBF"/>
    <w:rsid w:val="00491383"/>
    <w:rsid w:val="00492A07"/>
    <w:rsid w:val="00493039"/>
    <w:rsid w:val="00494879"/>
    <w:rsid w:val="00497C66"/>
    <w:rsid w:val="004A4D41"/>
    <w:rsid w:val="004A64CB"/>
    <w:rsid w:val="004B068E"/>
    <w:rsid w:val="004B169E"/>
    <w:rsid w:val="004B2169"/>
    <w:rsid w:val="004B7E2A"/>
    <w:rsid w:val="004C7B17"/>
    <w:rsid w:val="004D3849"/>
    <w:rsid w:val="004D4B94"/>
    <w:rsid w:val="004D5CE7"/>
    <w:rsid w:val="004D754E"/>
    <w:rsid w:val="004D7DD2"/>
    <w:rsid w:val="004E0BEE"/>
    <w:rsid w:val="004E16EC"/>
    <w:rsid w:val="004F13EC"/>
    <w:rsid w:val="004F2CD5"/>
    <w:rsid w:val="004F3633"/>
    <w:rsid w:val="004F420B"/>
    <w:rsid w:val="004F5B59"/>
    <w:rsid w:val="005006E7"/>
    <w:rsid w:val="005008B0"/>
    <w:rsid w:val="005031D5"/>
    <w:rsid w:val="00504559"/>
    <w:rsid w:val="00507973"/>
    <w:rsid w:val="0051586E"/>
    <w:rsid w:val="0052042F"/>
    <w:rsid w:val="00523406"/>
    <w:rsid w:val="005239C8"/>
    <w:rsid w:val="00530E44"/>
    <w:rsid w:val="00531947"/>
    <w:rsid w:val="00534D11"/>
    <w:rsid w:val="00535A1D"/>
    <w:rsid w:val="005403E3"/>
    <w:rsid w:val="00546383"/>
    <w:rsid w:val="00550472"/>
    <w:rsid w:val="00550714"/>
    <w:rsid w:val="00556521"/>
    <w:rsid w:val="00561747"/>
    <w:rsid w:val="00561A0F"/>
    <w:rsid w:val="005621ED"/>
    <w:rsid w:val="00567301"/>
    <w:rsid w:val="00571BC9"/>
    <w:rsid w:val="00573E83"/>
    <w:rsid w:val="00580B4A"/>
    <w:rsid w:val="0058359E"/>
    <w:rsid w:val="005858A7"/>
    <w:rsid w:val="00591750"/>
    <w:rsid w:val="0059291A"/>
    <w:rsid w:val="00592C9C"/>
    <w:rsid w:val="00593A05"/>
    <w:rsid w:val="00595CA5"/>
    <w:rsid w:val="00596AD0"/>
    <w:rsid w:val="005970D9"/>
    <w:rsid w:val="005A0206"/>
    <w:rsid w:val="005A0208"/>
    <w:rsid w:val="005A0B46"/>
    <w:rsid w:val="005A689F"/>
    <w:rsid w:val="005B1861"/>
    <w:rsid w:val="005B2D63"/>
    <w:rsid w:val="005B52E7"/>
    <w:rsid w:val="005C1686"/>
    <w:rsid w:val="005C5854"/>
    <w:rsid w:val="005C63E1"/>
    <w:rsid w:val="005D2D74"/>
    <w:rsid w:val="005D3111"/>
    <w:rsid w:val="005D5392"/>
    <w:rsid w:val="005D7A68"/>
    <w:rsid w:val="005E1186"/>
    <w:rsid w:val="005E1592"/>
    <w:rsid w:val="005E44FA"/>
    <w:rsid w:val="005E4D1E"/>
    <w:rsid w:val="005E5957"/>
    <w:rsid w:val="005E5A73"/>
    <w:rsid w:val="005E6E8D"/>
    <w:rsid w:val="005E7D74"/>
    <w:rsid w:val="005F0933"/>
    <w:rsid w:val="005F0CFF"/>
    <w:rsid w:val="00600C30"/>
    <w:rsid w:val="00602CAC"/>
    <w:rsid w:val="00603A57"/>
    <w:rsid w:val="00603BEE"/>
    <w:rsid w:val="006048AD"/>
    <w:rsid w:val="00605643"/>
    <w:rsid w:val="00606F88"/>
    <w:rsid w:val="00607E89"/>
    <w:rsid w:val="00611B46"/>
    <w:rsid w:val="00612B02"/>
    <w:rsid w:val="00613635"/>
    <w:rsid w:val="0061364D"/>
    <w:rsid w:val="00617F01"/>
    <w:rsid w:val="00623D5D"/>
    <w:rsid w:val="00624296"/>
    <w:rsid w:val="00625670"/>
    <w:rsid w:val="00626884"/>
    <w:rsid w:val="00626891"/>
    <w:rsid w:val="0063000F"/>
    <w:rsid w:val="00630EB7"/>
    <w:rsid w:val="00636CC6"/>
    <w:rsid w:val="0064009B"/>
    <w:rsid w:val="00641214"/>
    <w:rsid w:val="0064555A"/>
    <w:rsid w:val="0065127E"/>
    <w:rsid w:val="00657D4A"/>
    <w:rsid w:val="00662AC7"/>
    <w:rsid w:val="0067729A"/>
    <w:rsid w:val="00677AF4"/>
    <w:rsid w:val="00683538"/>
    <w:rsid w:val="00684C0D"/>
    <w:rsid w:val="00685D8F"/>
    <w:rsid w:val="00690EE1"/>
    <w:rsid w:val="0069119E"/>
    <w:rsid w:val="006917AC"/>
    <w:rsid w:val="006971A3"/>
    <w:rsid w:val="006B08D2"/>
    <w:rsid w:val="006B0BAF"/>
    <w:rsid w:val="006B3416"/>
    <w:rsid w:val="006B5276"/>
    <w:rsid w:val="006B5629"/>
    <w:rsid w:val="006B66D8"/>
    <w:rsid w:val="006B7128"/>
    <w:rsid w:val="006C0F3D"/>
    <w:rsid w:val="006C4079"/>
    <w:rsid w:val="006C6524"/>
    <w:rsid w:val="006C6ACE"/>
    <w:rsid w:val="006C7A86"/>
    <w:rsid w:val="006D504D"/>
    <w:rsid w:val="006D6CAD"/>
    <w:rsid w:val="006D74CF"/>
    <w:rsid w:val="006E1830"/>
    <w:rsid w:val="006E23E1"/>
    <w:rsid w:val="006E313B"/>
    <w:rsid w:val="006E423E"/>
    <w:rsid w:val="006E682F"/>
    <w:rsid w:val="006E7D83"/>
    <w:rsid w:val="006F07F4"/>
    <w:rsid w:val="006F116E"/>
    <w:rsid w:val="006F2923"/>
    <w:rsid w:val="006F32D6"/>
    <w:rsid w:val="006F3D21"/>
    <w:rsid w:val="006F6626"/>
    <w:rsid w:val="006F739C"/>
    <w:rsid w:val="006F7E97"/>
    <w:rsid w:val="0070027E"/>
    <w:rsid w:val="00702401"/>
    <w:rsid w:val="007030AC"/>
    <w:rsid w:val="00705BF1"/>
    <w:rsid w:val="007076FF"/>
    <w:rsid w:val="00710F1E"/>
    <w:rsid w:val="00713363"/>
    <w:rsid w:val="00716974"/>
    <w:rsid w:val="00717474"/>
    <w:rsid w:val="00720B9C"/>
    <w:rsid w:val="00722E85"/>
    <w:rsid w:val="00725A65"/>
    <w:rsid w:val="00731DB5"/>
    <w:rsid w:val="00733E61"/>
    <w:rsid w:val="0073634F"/>
    <w:rsid w:val="007428E9"/>
    <w:rsid w:val="00751C50"/>
    <w:rsid w:val="007520D9"/>
    <w:rsid w:val="00756C82"/>
    <w:rsid w:val="007650CF"/>
    <w:rsid w:val="0077203D"/>
    <w:rsid w:val="00773B68"/>
    <w:rsid w:val="00776807"/>
    <w:rsid w:val="00784C25"/>
    <w:rsid w:val="00785D9D"/>
    <w:rsid w:val="007878EE"/>
    <w:rsid w:val="007907A4"/>
    <w:rsid w:val="00791905"/>
    <w:rsid w:val="007A3B8F"/>
    <w:rsid w:val="007A5CB1"/>
    <w:rsid w:val="007B261F"/>
    <w:rsid w:val="007B3AB2"/>
    <w:rsid w:val="007B6023"/>
    <w:rsid w:val="007B6032"/>
    <w:rsid w:val="007C0B86"/>
    <w:rsid w:val="007C1980"/>
    <w:rsid w:val="007C41AF"/>
    <w:rsid w:val="007C6A20"/>
    <w:rsid w:val="007C790E"/>
    <w:rsid w:val="007D310D"/>
    <w:rsid w:val="007D4D1F"/>
    <w:rsid w:val="007D4F71"/>
    <w:rsid w:val="007E3D9A"/>
    <w:rsid w:val="007E580C"/>
    <w:rsid w:val="007E5824"/>
    <w:rsid w:val="007E5D05"/>
    <w:rsid w:val="007E6D2C"/>
    <w:rsid w:val="007F23AE"/>
    <w:rsid w:val="00800B06"/>
    <w:rsid w:val="008043DE"/>
    <w:rsid w:val="00805720"/>
    <w:rsid w:val="00806FBC"/>
    <w:rsid w:val="00816466"/>
    <w:rsid w:val="008173EE"/>
    <w:rsid w:val="00823145"/>
    <w:rsid w:val="00823EBD"/>
    <w:rsid w:val="0083118B"/>
    <w:rsid w:val="008319EA"/>
    <w:rsid w:val="00832828"/>
    <w:rsid w:val="00833CD9"/>
    <w:rsid w:val="008365FA"/>
    <w:rsid w:val="00837BFC"/>
    <w:rsid w:val="00840785"/>
    <w:rsid w:val="008434CF"/>
    <w:rsid w:val="00844B28"/>
    <w:rsid w:val="00845100"/>
    <w:rsid w:val="00845319"/>
    <w:rsid w:val="00845F3D"/>
    <w:rsid w:val="00854D23"/>
    <w:rsid w:val="00857FFD"/>
    <w:rsid w:val="008603F6"/>
    <w:rsid w:val="00861995"/>
    <w:rsid w:val="008627AC"/>
    <w:rsid w:val="008635C7"/>
    <w:rsid w:val="0086382A"/>
    <w:rsid w:val="0086474F"/>
    <w:rsid w:val="0088548B"/>
    <w:rsid w:val="00885D61"/>
    <w:rsid w:val="00886311"/>
    <w:rsid w:val="008875D5"/>
    <w:rsid w:val="00887E50"/>
    <w:rsid w:val="00896CD3"/>
    <w:rsid w:val="008A31FC"/>
    <w:rsid w:val="008A455D"/>
    <w:rsid w:val="008A4B9A"/>
    <w:rsid w:val="008B04DF"/>
    <w:rsid w:val="008B1B77"/>
    <w:rsid w:val="008B37EA"/>
    <w:rsid w:val="008B49C1"/>
    <w:rsid w:val="008C2527"/>
    <w:rsid w:val="008C2CFD"/>
    <w:rsid w:val="008C6B9E"/>
    <w:rsid w:val="008D004B"/>
    <w:rsid w:val="008D7803"/>
    <w:rsid w:val="008E2CB3"/>
    <w:rsid w:val="008E5E41"/>
    <w:rsid w:val="008F28AD"/>
    <w:rsid w:val="008F5D45"/>
    <w:rsid w:val="009004EC"/>
    <w:rsid w:val="00903189"/>
    <w:rsid w:val="00903F24"/>
    <w:rsid w:val="00904FFD"/>
    <w:rsid w:val="0090555C"/>
    <w:rsid w:val="00913D51"/>
    <w:rsid w:val="00914A96"/>
    <w:rsid w:val="009156AA"/>
    <w:rsid w:val="00916257"/>
    <w:rsid w:val="00920092"/>
    <w:rsid w:val="00920FAD"/>
    <w:rsid w:val="009252E3"/>
    <w:rsid w:val="009275FC"/>
    <w:rsid w:val="009325F0"/>
    <w:rsid w:val="00933BC2"/>
    <w:rsid w:val="00937002"/>
    <w:rsid w:val="00943D12"/>
    <w:rsid w:val="00945045"/>
    <w:rsid w:val="009460B9"/>
    <w:rsid w:val="00951969"/>
    <w:rsid w:val="00953C0D"/>
    <w:rsid w:val="00955A81"/>
    <w:rsid w:val="00956A0C"/>
    <w:rsid w:val="00963655"/>
    <w:rsid w:val="00964545"/>
    <w:rsid w:val="00971212"/>
    <w:rsid w:val="00971F61"/>
    <w:rsid w:val="009729BA"/>
    <w:rsid w:val="00973DB3"/>
    <w:rsid w:val="009759F2"/>
    <w:rsid w:val="00980B44"/>
    <w:rsid w:val="00983A4E"/>
    <w:rsid w:val="0098603E"/>
    <w:rsid w:val="00987EE2"/>
    <w:rsid w:val="00993ADF"/>
    <w:rsid w:val="009977B3"/>
    <w:rsid w:val="009A1F24"/>
    <w:rsid w:val="009B095F"/>
    <w:rsid w:val="009B1502"/>
    <w:rsid w:val="009B2E47"/>
    <w:rsid w:val="009B5663"/>
    <w:rsid w:val="009B679B"/>
    <w:rsid w:val="009B7FA9"/>
    <w:rsid w:val="009C0675"/>
    <w:rsid w:val="009C099E"/>
    <w:rsid w:val="009C3589"/>
    <w:rsid w:val="009C4211"/>
    <w:rsid w:val="009C7A2B"/>
    <w:rsid w:val="009D0042"/>
    <w:rsid w:val="009D0B10"/>
    <w:rsid w:val="009D1699"/>
    <w:rsid w:val="009D2988"/>
    <w:rsid w:val="009E12DD"/>
    <w:rsid w:val="009E372B"/>
    <w:rsid w:val="009E614C"/>
    <w:rsid w:val="009E63EC"/>
    <w:rsid w:val="009F06D9"/>
    <w:rsid w:val="009F4832"/>
    <w:rsid w:val="009F5AA9"/>
    <w:rsid w:val="009F5B1A"/>
    <w:rsid w:val="009F5EAA"/>
    <w:rsid w:val="009F7CEE"/>
    <w:rsid w:val="00A017FC"/>
    <w:rsid w:val="00A032FA"/>
    <w:rsid w:val="00A04ED4"/>
    <w:rsid w:val="00A05353"/>
    <w:rsid w:val="00A10041"/>
    <w:rsid w:val="00A113AA"/>
    <w:rsid w:val="00A12033"/>
    <w:rsid w:val="00A2188B"/>
    <w:rsid w:val="00A21DDB"/>
    <w:rsid w:val="00A220D0"/>
    <w:rsid w:val="00A233F2"/>
    <w:rsid w:val="00A23BDB"/>
    <w:rsid w:val="00A307F1"/>
    <w:rsid w:val="00A32815"/>
    <w:rsid w:val="00A36792"/>
    <w:rsid w:val="00A402AC"/>
    <w:rsid w:val="00A42C7E"/>
    <w:rsid w:val="00A42CAC"/>
    <w:rsid w:val="00A43F43"/>
    <w:rsid w:val="00A56261"/>
    <w:rsid w:val="00A61B17"/>
    <w:rsid w:val="00A64256"/>
    <w:rsid w:val="00A64D75"/>
    <w:rsid w:val="00A64EF7"/>
    <w:rsid w:val="00A65268"/>
    <w:rsid w:val="00A678A8"/>
    <w:rsid w:val="00A7334C"/>
    <w:rsid w:val="00A73C9E"/>
    <w:rsid w:val="00A73E32"/>
    <w:rsid w:val="00A87308"/>
    <w:rsid w:val="00A8776B"/>
    <w:rsid w:val="00A87CC4"/>
    <w:rsid w:val="00A93558"/>
    <w:rsid w:val="00A94D19"/>
    <w:rsid w:val="00A96E13"/>
    <w:rsid w:val="00A974F1"/>
    <w:rsid w:val="00AC0665"/>
    <w:rsid w:val="00AC2D36"/>
    <w:rsid w:val="00AC3B1D"/>
    <w:rsid w:val="00AC6C40"/>
    <w:rsid w:val="00AC6D4E"/>
    <w:rsid w:val="00AC7A82"/>
    <w:rsid w:val="00AD01F3"/>
    <w:rsid w:val="00AD0224"/>
    <w:rsid w:val="00AE1159"/>
    <w:rsid w:val="00AE2BBF"/>
    <w:rsid w:val="00AE2D83"/>
    <w:rsid w:val="00AE3A6B"/>
    <w:rsid w:val="00AE4273"/>
    <w:rsid w:val="00AE5885"/>
    <w:rsid w:val="00AE5AD6"/>
    <w:rsid w:val="00AF2049"/>
    <w:rsid w:val="00B00D16"/>
    <w:rsid w:val="00B01891"/>
    <w:rsid w:val="00B0310D"/>
    <w:rsid w:val="00B05148"/>
    <w:rsid w:val="00B06056"/>
    <w:rsid w:val="00B066EA"/>
    <w:rsid w:val="00B06710"/>
    <w:rsid w:val="00B06E6E"/>
    <w:rsid w:val="00B071C9"/>
    <w:rsid w:val="00B148E2"/>
    <w:rsid w:val="00B1558E"/>
    <w:rsid w:val="00B22389"/>
    <w:rsid w:val="00B23796"/>
    <w:rsid w:val="00B241BA"/>
    <w:rsid w:val="00B250EA"/>
    <w:rsid w:val="00B30494"/>
    <w:rsid w:val="00B31F09"/>
    <w:rsid w:val="00B3202C"/>
    <w:rsid w:val="00B3225F"/>
    <w:rsid w:val="00B42BA6"/>
    <w:rsid w:val="00B435FC"/>
    <w:rsid w:val="00B47037"/>
    <w:rsid w:val="00B541CB"/>
    <w:rsid w:val="00B566D2"/>
    <w:rsid w:val="00B64CDC"/>
    <w:rsid w:val="00B668DD"/>
    <w:rsid w:val="00B67111"/>
    <w:rsid w:val="00B67E53"/>
    <w:rsid w:val="00B746DD"/>
    <w:rsid w:val="00B76642"/>
    <w:rsid w:val="00B77CB5"/>
    <w:rsid w:val="00B81522"/>
    <w:rsid w:val="00B81C9F"/>
    <w:rsid w:val="00B82115"/>
    <w:rsid w:val="00B8791B"/>
    <w:rsid w:val="00B911B1"/>
    <w:rsid w:val="00B91FC7"/>
    <w:rsid w:val="00B94DBC"/>
    <w:rsid w:val="00B961E0"/>
    <w:rsid w:val="00BA5BF9"/>
    <w:rsid w:val="00BB0EC1"/>
    <w:rsid w:val="00BB6753"/>
    <w:rsid w:val="00BC1F6B"/>
    <w:rsid w:val="00BC598D"/>
    <w:rsid w:val="00BC6839"/>
    <w:rsid w:val="00BC7243"/>
    <w:rsid w:val="00BD168A"/>
    <w:rsid w:val="00BD2E80"/>
    <w:rsid w:val="00BD3958"/>
    <w:rsid w:val="00BD663C"/>
    <w:rsid w:val="00BE126B"/>
    <w:rsid w:val="00BE518F"/>
    <w:rsid w:val="00BF0BC5"/>
    <w:rsid w:val="00BF23E4"/>
    <w:rsid w:val="00BF5519"/>
    <w:rsid w:val="00BF5DC8"/>
    <w:rsid w:val="00BF62FF"/>
    <w:rsid w:val="00BF71D1"/>
    <w:rsid w:val="00BF738A"/>
    <w:rsid w:val="00C06CE2"/>
    <w:rsid w:val="00C10E41"/>
    <w:rsid w:val="00C11460"/>
    <w:rsid w:val="00C13C94"/>
    <w:rsid w:val="00C17E3D"/>
    <w:rsid w:val="00C27BE1"/>
    <w:rsid w:val="00C3081A"/>
    <w:rsid w:val="00C30860"/>
    <w:rsid w:val="00C30AF0"/>
    <w:rsid w:val="00C3132A"/>
    <w:rsid w:val="00C3330B"/>
    <w:rsid w:val="00C3667F"/>
    <w:rsid w:val="00C42854"/>
    <w:rsid w:val="00C463E5"/>
    <w:rsid w:val="00C47E93"/>
    <w:rsid w:val="00C54D6E"/>
    <w:rsid w:val="00C61B26"/>
    <w:rsid w:val="00C64A06"/>
    <w:rsid w:val="00C653A9"/>
    <w:rsid w:val="00C67524"/>
    <w:rsid w:val="00C71E9E"/>
    <w:rsid w:val="00C7219A"/>
    <w:rsid w:val="00C73462"/>
    <w:rsid w:val="00C741E6"/>
    <w:rsid w:val="00C768DA"/>
    <w:rsid w:val="00C815CC"/>
    <w:rsid w:val="00C95E19"/>
    <w:rsid w:val="00C9733F"/>
    <w:rsid w:val="00C9780F"/>
    <w:rsid w:val="00CB06FA"/>
    <w:rsid w:val="00CB21E0"/>
    <w:rsid w:val="00CB324E"/>
    <w:rsid w:val="00CB4509"/>
    <w:rsid w:val="00CB47B4"/>
    <w:rsid w:val="00CC1B1D"/>
    <w:rsid w:val="00CC1FE6"/>
    <w:rsid w:val="00CD27A3"/>
    <w:rsid w:val="00CD6945"/>
    <w:rsid w:val="00CE0F2E"/>
    <w:rsid w:val="00CE144A"/>
    <w:rsid w:val="00CE55CF"/>
    <w:rsid w:val="00CF0E49"/>
    <w:rsid w:val="00CF5D9B"/>
    <w:rsid w:val="00CF6009"/>
    <w:rsid w:val="00CF6180"/>
    <w:rsid w:val="00CF7C5C"/>
    <w:rsid w:val="00D0030B"/>
    <w:rsid w:val="00D012D9"/>
    <w:rsid w:val="00D01448"/>
    <w:rsid w:val="00D02908"/>
    <w:rsid w:val="00D057D9"/>
    <w:rsid w:val="00D05860"/>
    <w:rsid w:val="00D10505"/>
    <w:rsid w:val="00D124B4"/>
    <w:rsid w:val="00D14100"/>
    <w:rsid w:val="00D17121"/>
    <w:rsid w:val="00D1719A"/>
    <w:rsid w:val="00D17C71"/>
    <w:rsid w:val="00D17CE6"/>
    <w:rsid w:val="00D25069"/>
    <w:rsid w:val="00D253EA"/>
    <w:rsid w:val="00D263F9"/>
    <w:rsid w:val="00D26C4A"/>
    <w:rsid w:val="00D33C8D"/>
    <w:rsid w:val="00D34986"/>
    <w:rsid w:val="00D35B8F"/>
    <w:rsid w:val="00D37048"/>
    <w:rsid w:val="00D374B1"/>
    <w:rsid w:val="00D37D4B"/>
    <w:rsid w:val="00D40328"/>
    <w:rsid w:val="00D410DB"/>
    <w:rsid w:val="00D42355"/>
    <w:rsid w:val="00D4245D"/>
    <w:rsid w:val="00D43120"/>
    <w:rsid w:val="00D50D9D"/>
    <w:rsid w:val="00D51688"/>
    <w:rsid w:val="00D55799"/>
    <w:rsid w:val="00D56E2A"/>
    <w:rsid w:val="00D65BD9"/>
    <w:rsid w:val="00D66737"/>
    <w:rsid w:val="00D7462C"/>
    <w:rsid w:val="00D775DB"/>
    <w:rsid w:val="00D80B2D"/>
    <w:rsid w:val="00D8405D"/>
    <w:rsid w:val="00D841E4"/>
    <w:rsid w:val="00D90701"/>
    <w:rsid w:val="00D90783"/>
    <w:rsid w:val="00D908CD"/>
    <w:rsid w:val="00D91E49"/>
    <w:rsid w:val="00D938EF"/>
    <w:rsid w:val="00D95260"/>
    <w:rsid w:val="00D96937"/>
    <w:rsid w:val="00D97F47"/>
    <w:rsid w:val="00DA1770"/>
    <w:rsid w:val="00DA426D"/>
    <w:rsid w:val="00DA5A74"/>
    <w:rsid w:val="00DA6225"/>
    <w:rsid w:val="00DA67ED"/>
    <w:rsid w:val="00DA7B87"/>
    <w:rsid w:val="00DB0F1C"/>
    <w:rsid w:val="00DB12AD"/>
    <w:rsid w:val="00DB38FC"/>
    <w:rsid w:val="00DC03E4"/>
    <w:rsid w:val="00DC355A"/>
    <w:rsid w:val="00DC53E2"/>
    <w:rsid w:val="00DC57D1"/>
    <w:rsid w:val="00DC6907"/>
    <w:rsid w:val="00DD09A2"/>
    <w:rsid w:val="00DD3F71"/>
    <w:rsid w:val="00DE25B3"/>
    <w:rsid w:val="00DE3A92"/>
    <w:rsid w:val="00DF15F1"/>
    <w:rsid w:val="00DF4804"/>
    <w:rsid w:val="00DF5927"/>
    <w:rsid w:val="00E01500"/>
    <w:rsid w:val="00E041D9"/>
    <w:rsid w:val="00E06CE3"/>
    <w:rsid w:val="00E07A75"/>
    <w:rsid w:val="00E1009B"/>
    <w:rsid w:val="00E10C0F"/>
    <w:rsid w:val="00E1317B"/>
    <w:rsid w:val="00E144EB"/>
    <w:rsid w:val="00E16117"/>
    <w:rsid w:val="00E20CE4"/>
    <w:rsid w:val="00E20D12"/>
    <w:rsid w:val="00E2111D"/>
    <w:rsid w:val="00E21540"/>
    <w:rsid w:val="00E25DF8"/>
    <w:rsid w:val="00E311A3"/>
    <w:rsid w:val="00E32131"/>
    <w:rsid w:val="00E34558"/>
    <w:rsid w:val="00E365CB"/>
    <w:rsid w:val="00E4077D"/>
    <w:rsid w:val="00E42EC9"/>
    <w:rsid w:val="00E43B27"/>
    <w:rsid w:val="00E50DCF"/>
    <w:rsid w:val="00E5161B"/>
    <w:rsid w:val="00E52CCE"/>
    <w:rsid w:val="00E5364A"/>
    <w:rsid w:val="00E537B8"/>
    <w:rsid w:val="00E54BF8"/>
    <w:rsid w:val="00E54E2E"/>
    <w:rsid w:val="00E6235D"/>
    <w:rsid w:val="00E626C0"/>
    <w:rsid w:val="00E63746"/>
    <w:rsid w:val="00E65065"/>
    <w:rsid w:val="00E6675C"/>
    <w:rsid w:val="00E67684"/>
    <w:rsid w:val="00E7271D"/>
    <w:rsid w:val="00E729CC"/>
    <w:rsid w:val="00E761C8"/>
    <w:rsid w:val="00E77B46"/>
    <w:rsid w:val="00E77FF9"/>
    <w:rsid w:val="00E8300B"/>
    <w:rsid w:val="00E85F41"/>
    <w:rsid w:val="00E90132"/>
    <w:rsid w:val="00E9038B"/>
    <w:rsid w:val="00E91F9E"/>
    <w:rsid w:val="00E929C2"/>
    <w:rsid w:val="00E92E4A"/>
    <w:rsid w:val="00EA0C40"/>
    <w:rsid w:val="00EA3144"/>
    <w:rsid w:val="00EB002A"/>
    <w:rsid w:val="00EB0335"/>
    <w:rsid w:val="00EB085A"/>
    <w:rsid w:val="00EB3418"/>
    <w:rsid w:val="00EB6F85"/>
    <w:rsid w:val="00EB7E8A"/>
    <w:rsid w:val="00EC2243"/>
    <w:rsid w:val="00EC4DFB"/>
    <w:rsid w:val="00ED2D6A"/>
    <w:rsid w:val="00ED4518"/>
    <w:rsid w:val="00ED4B3F"/>
    <w:rsid w:val="00ED5A47"/>
    <w:rsid w:val="00EE5E5D"/>
    <w:rsid w:val="00EE66B0"/>
    <w:rsid w:val="00EE72F8"/>
    <w:rsid w:val="00EF5E62"/>
    <w:rsid w:val="00F00786"/>
    <w:rsid w:val="00F02551"/>
    <w:rsid w:val="00F02592"/>
    <w:rsid w:val="00F04567"/>
    <w:rsid w:val="00F078F6"/>
    <w:rsid w:val="00F10A21"/>
    <w:rsid w:val="00F1172C"/>
    <w:rsid w:val="00F122FE"/>
    <w:rsid w:val="00F12AA0"/>
    <w:rsid w:val="00F1420D"/>
    <w:rsid w:val="00F147E9"/>
    <w:rsid w:val="00F14B4E"/>
    <w:rsid w:val="00F160B0"/>
    <w:rsid w:val="00F22A52"/>
    <w:rsid w:val="00F236D0"/>
    <w:rsid w:val="00F23EDA"/>
    <w:rsid w:val="00F27296"/>
    <w:rsid w:val="00F31FC0"/>
    <w:rsid w:val="00F32765"/>
    <w:rsid w:val="00F329DD"/>
    <w:rsid w:val="00F330F2"/>
    <w:rsid w:val="00F3792A"/>
    <w:rsid w:val="00F42DE1"/>
    <w:rsid w:val="00F45220"/>
    <w:rsid w:val="00F45BC6"/>
    <w:rsid w:val="00F50ABE"/>
    <w:rsid w:val="00F51C07"/>
    <w:rsid w:val="00F51C94"/>
    <w:rsid w:val="00F534B6"/>
    <w:rsid w:val="00F53DDE"/>
    <w:rsid w:val="00F53EB8"/>
    <w:rsid w:val="00F63F14"/>
    <w:rsid w:val="00F63FE0"/>
    <w:rsid w:val="00F655F1"/>
    <w:rsid w:val="00F662F7"/>
    <w:rsid w:val="00F6643E"/>
    <w:rsid w:val="00F71F1B"/>
    <w:rsid w:val="00F7452D"/>
    <w:rsid w:val="00F76A61"/>
    <w:rsid w:val="00F77A15"/>
    <w:rsid w:val="00F80B20"/>
    <w:rsid w:val="00F948E6"/>
    <w:rsid w:val="00FA0863"/>
    <w:rsid w:val="00FA1AE2"/>
    <w:rsid w:val="00FA4BC5"/>
    <w:rsid w:val="00FA5100"/>
    <w:rsid w:val="00FA6780"/>
    <w:rsid w:val="00FA6B3B"/>
    <w:rsid w:val="00FA6BDB"/>
    <w:rsid w:val="00FB22F8"/>
    <w:rsid w:val="00FB2DEB"/>
    <w:rsid w:val="00FB3377"/>
    <w:rsid w:val="00FC492A"/>
    <w:rsid w:val="00FC5D7A"/>
    <w:rsid w:val="00FD1613"/>
    <w:rsid w:val="00FD27D9"/>
    <w:rsid w:val="00FD4053"/>
    <w:rsid w:val="00FD44A2"/>
    <w:rsid w:val="00FD732E"/>
    <w:rsid w:val="00FE0B0C"/>
    <w:rsid w:val="00FE3672"/>
    <w:rsid w:val="00FE6A30"/>
    <w:rsid w:val="00FF00B1"/>
    <w:rsid w:val="00FF1323"/>
    <w:rsid w:val="00FF1D4A"/>
    <w:rsid w:val="00FF7825"/>
    <w:rsid w:val="1C9BBC4F"/>
    <w:rsid w:val="3270F4D3"/>
    <w:rsid w:val="52925A8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AA50"/>
  <w15:docId w15:val="{ED6B3CCE-3EDE-4D5D-B257-016B0072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62C"/>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paragraph" w:styleId="Heading2">
    <w:name w:val="heading 2"/>
    <w:basedOn w:val="Normal"/>
    <w:next w:val="Normal"/>
    <w:link w:val="Heading2Char"/>
    <w:uiPriority w:val="9"/>
    <w:unhideWhenUsed/>
    <w:qFormat/>
    <w:rsid w:val="005C63E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509"/>
    <w:pPr>
      <w:ind w:left="720"/>
      <w:contextualSpacing/>
    </w:pPr>
  </w:style>
  <w:style w:type="character" w:customStyle="1" w:styleId="Heading2Char">
    <w:name w:val="Heading 2 Char"/>
    <w:basedOn w:val="DefaultParagraphFont"/>
    <w:link w:val="Heading2"/>
    <w:uiPriority w:val="9"/>
    <w:rsid w:val="005C63E1"/>
    <w:rPr>
      <w:rFonts w:asciiTheme="majorHAnsi" w:eastAsiaTheme="majorEastAsia" w:hAnsiTheme="majorHAnsi" w:cstheme="majorBidi"/>
      <w:color w:val="2E74B5" w:themeColor="accent1" w:themeShade="BF"/>
      <w:sz w:val="26"/>
      <w:szCs w:val="26"/>
      <w:lang w:eastAsia="nl-NL"/>
    </w:rPr>
  </w:style>
  <w:style w:type="paragraph" w:customStyle="1" w:styleId="Default">
    <w:name w:val="Default"/>
    <w:basedOn w:val="Normal"/>
    <w:rsid w:val="00392651"/>
    <w:pPr>
      <w:autoSpaceDE w:val="0"/>
      <w:autoSpaceDN w:val="0"/>
      <w:spacing w:line="240" w:lineRule="auto"/>
    </w:pPr>
    <w:rPr>
      <w:rFonts w:eastAsiaTheme="minorHAnsi"/>
      <w:color w:val="000000"/>
      <w:sz w:val="24"/>
      <w:lang w:eastAsia="en-US"/>
    </w:rPr>
  </w:style>
  <w:style w:type="paragraph" w:styleId="FootnoteText">
    <w:name w:val="footnote text"/>
    <w:basedOn w:val="Normal"/>
    <w:link w:val="FootnoteTextChar"/>
    <w:uiPriority w:val="99"/>
    <w:semiHidden/>
    <w:unhideWhenUsed/>
    <w:rsid w:val="007A3B8F"/>
    <w:pPr>
      <w:spacing w:line="240" w:lineRule="auto"/>
    </w:pPr>
    <w:rPr>
      <w:sz w:val="20"/>
      <w:szCs w:val="20"/>
    </w:rPr>
  </w:style>
  <w:style w:type="character" w:customStyle="1" w:styleId="FootnoteTextChar">
    <w:name w:val="Footnote Text Char"/>
    <w:basedOn w:val="DefaultParagraphFont"/>
    <w:link w:val="FootnoteText"/>
    <w:uiPriority w:val="99"/>
    <w:semiHidden/>
    <w:rsid w:val="007A3B8F"/>
    <w:rPr>
      <w:rFonts w:ascii="Verdana" w:eastAsia="Times New Roman" w:hAnsi="Verdana" w:cs="Times New Roman"/>
      <w:sz w:val="20"/>
      <w:szCs w:val="20"/>
      <w:lang w:eastAsia="nl-NL"/>
    </w:rPr>
  </w:style>
  <w:style w:type="character" w:styleId="FootnoteReference">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DefaultParagraphFont"/>
    <w:uiPriority w:val="99"/>
    <w:unhideWhenUsed/>
    <w:qFormat/>
    <w:rsid w:val="007A3B8F"/>
    <w:rPr>
      <w:vertAlign w:val="superscript"/>
    </w:rPr>
  </w:style>
  <w:style w:type="paragraph" w:styleId="NoSpacing">
    <w:name w:val="No Spacing"/>
    <w:link w:val="NoSpacingChar"/>
    <w:uiPriority w:val="1"/>
    <w:qFormat/>
    <w:rsid w:val="00414CA9"/>
    <w:pPr>
      <w:spacing w:after="0" w:line="240" w:lineRule="auto"/>
    </w:pPr>
    <w:rPr>
      <w:rFonts w:ascii="Verdana" w:eastAsia="Times New Roman" w:hAnsi="Verdana" w:cs="Times New Roman"/>
      <w:sz w:val="18"/>
      <w:szCs w:val="24"/>
      <w:lang w:eastAsia="nl-NL"/>
    </w:rPr>
  </w:style>
  <w:style w:type="character" w:styleId="CommentReference">
    <w:name w:val="annotation reference"/>
    <w:basedOn w:val="DefaultParagraphFont"/>
    <w:uiPriority w:val="99"/>
    <w:semiHidden/>
    <w:unhideWhenUsed/>
    <w:rsid w:val="00E20CE4"/>
    <w:rPr>
      <w:sz w:val="16"/>
      <w:szCs w:val="16"/>
    </w:rPr>
  </w:style>
  <w:style w:type="paragraph" w:styleId="CommentText">
    <w:name w:val="annotation text"/>
    <w:basedOn w:val="Normal"/>
    <w:link w:val="CommentTextChar"/>
    <w:uiPriority w:val="99"/>
    <w:semiHidden/>
    <w:unhideWhenUsed/>
    <w:rsid w:val="00E20CE4"/>
    <w:pPr>
      <w:spacing w:line="240" w:lineRule="auto"/>
    </w:pPr>
    <w:rPr>
      <w:sz w:val="20"/>
      <w:szCs w:val="20"/>
    </w:rPr>
  </w:style>
  <w:style w:type="character" w:customStyle="1" w:styleId="CommentTextChar">
    <w:name w:val="Comment Text Char"/>
    <w:basedOn w:val="DefaultParagraphFont"/>
    <w:link w:val="CommentText"/>
    <w:uiPriority w:val="99"/>
    <w:semiHidden/>
    <w:rsid w:val="00E20CE4"/>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D4053"/>
    <w:rPr>
      <w:b/>
      <w:bCs/>
    </w:rPr>
  </w:style>
  <w:style w:type="character" w:customStyle="1" w:styleId="CommentSubjectChar">
    <w:name w:val="Comment Subject Char"/>
    <w:basedOn w:val="CommentTextChar"/>
    <w:link w:val="CommentSubject"/>
    <w:uiPriority w:val="99"/>
    <w:semiHidden/>
    <w:rsid w:val="00FD4053"/>
    <w:rPr>
      <w:rFonts w:ascii="Verdana" w:eastAsia="Times New Roman" w:hAnsi="Verdana" w:cs="Times New Roman"/>
      <w:b/>
      <w:bCs/>
      <w:sz w:val="20"/>
      <w:szCs w:val="20"/>
      <w:lang w:eastAsia="nl-NL"/>
    </w:rPr>
  </w:style>
  <w:style w:type="paragraph" w:styleId="Revision">
    <w:name w:val="Revision"/>
    <w:hidden/>
    <w:uiPriority w:val="99"/>
    <w:semiHidden/>
    <w:rsid w:val="00D05860"/>
    <w:pPr>
      <w:spacing w:after="0" w:line="240" w:lineRule="auto"/>
    </w:pPr>
    <w:rPr>
      <w:rFonts w:ascii="Verdana" w:eastAsia="Times New Roman" w:hAnsi="Verdana" w:cs="Times New Roman"/>
      <w:sz w:val="18"/>
      <w:szCs w:val="24"/>
      <w:lang w:eastAsia="nl-NL"/>
    </w:rPr>
  </w:style>
  <w:style w:type="paragraph" w:styleId="NormalWeb">
    <w:name w:val="Normal (Web)"/>
    <w:basedOn w:val="Normal"/>
    <w:uiPriority w:val="99"/>
    <w:unhideWhenUsed/>
    <w:rsid w:val="003C6D77"/>
    <w:pPr>
      <w:spacing w:before="100" w:beforeAutospacing="1" w:after="100" w:afterAutospacing="1" w:line="240" w:lineRule="auto"/>
    </w:pPr>
    <w:rPr>
      <w:rFonts w:ascii="Calibri" w:eastAsiaTheme="minorHAnsi" w:hAnsi="Calibri" w:cs="Calibri"/>
      <w:sz w:val="22"/>
      <w:szCs w:val="22"/>
    </w:rPr>
  </w:style>
  <w:style w:type="character" w:customStyle="1" w:styleId="bumpedfont20">
    <w:name w:val="bumpedfont20"/>
    <w:basedOn w:val="DefaultParagraphFont"/>
    <w:rsid w:val="00AE5AD6"/>
  </w:style>
  <w:style w:type="character" w:styleId="UnresolvedMention">
    <w:name w:val="Unresolved Mention"/>
    <w:basedOn w:val="DefaultParagraphFont"/>
    <w:uiPriority w:val="99"/>
    <w:semiHidden/>
    <w:unhideWhenUsed/>
    <w:rsid w:val="006C6ACE"/>
    <w:rPr>
      <w:color w:val="605E5C"/>
      <w:shd w:val="clear" w:color="auto" w:fill="E1DFDD"/>
    </w:rPr>
  </w:style>
  <w:style w:type="character" w:customStyle="1" w:styleId="NoSpacingChar">
    <w:name w:val="No Spacing Char"/>
    <w:basedOn w:val="DefaultParagraphFont"/>
    <w:link w:val="NoSpacing"/>
    <w:uiPriority w:val="1"/>
    <w:rsid w:val="005E4D1E"/>
    <w:rPr>
      <w:rFonts w:ascii="Verdana" w:eastAsia="Times New Roman" w:hAnsi="Verdana" w:cs="Times New Roman"/>
      <w:sz w:val="18"/>
      <w:szCs w:val="24"/>
      <w:lang w:eastAsia="nl-NL"/>
    </w:rPr>
  </w:style>
  <w:style w:type="table" w:styleId="TableGridLight">
    <w:name w:val="Grid Table Light"/>
    <w:basedOn w:val="TableNormal"/>
    <w:uiPriority w:val="40"/>
    <w:rsid w:val="00E626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5299">
      <w:bodyDiv w:val="1"/>
      <w:marLeft w:val="0"/>
      <w:marRight w:val="0"/>
      <w:marTop w:val="0"/>
      <w:marBottom w:val="0"/>
      <w:divBdr>
        <w:top w:val="none" w:sz="0" w:space="0" w:color="auto"/>
        <w:left w:val="none" w:sz="0" w:space="0" w:color="auto"/>
        <w:bottom w:val="none" w:sz="0" w:space="0" w:color="auto"/>
        <w:right w:val="none" w:sz="0" w:space="0" w:color="auto"/>
      </w:divBdr>
    </w:div>
    <w:div w:id="90443703">
      <w:bodyDiv w:val="1"/>
      <w:marLeft w:val="0"/>
      <w:marRight w:val="0"/>
      <w:marTop w:val="0"/>
      <w:marBottom w:val="0"/>
      <w:divBdr>
        <w:top w:val="none" w:sz="0" w:space="0" w:color="auto"/>
        <w:left w:val="none" w:sz="0" w:space="0" w:color="auto"/>
        <w:bottom w:val="none" w:sz="0" w:space="0" w:color="auto"/>
        <w:right w:val="none" w:sz="0" w:space="0" w:color="auto"/>
      </w:divBdr>
    </w:div>
    <w:div w:id="128014104">
      <w:bodyDiv w:val="1"/>
      <w:marLeft w:val="0"/>
      <w:marRight w:val="0"/>
      <w:marTop w:val="0"/>
      <w:marBottom w:val="0"/>
      <w:divBdr>
        <w:top w:val="none" w:sz="0" w:space="0" w:color="auto"/>
        <w:left w:val="none" w:sz="0" w:space="0" w:color="auto"/>
        <w:bottom w:val="none" w:sz="0" w:space="0" w:color="auto"/>
        <w:right w:val="none" w:sz="0" w:space="0" w:color="auto"/>
      </w:divBdr>
    </w:div>
    <w:div w:id="147090312">
      <w:bodyDiv w:val="1"/>
      <w:marLeft w:val="0"/>
      <w:marRight w:val="0"/>
      <w:marTop w:val="0"/>
      <w:marBottom w:val="0"/>
      <w:divBdr>
        <w:top w:val="none" w:sz="0" w:space="0" w:color="auto"/>
        <w:left w:val="none" w:sz="0" w:space="0" w:color="auto"/>
        <w:bottom w:val="none" w:sz="0" w:space="0" w:color="auto"/>
        <w:right w:val="none" w:sz="0" w:space="0" w:color="auto"/>
      </w:divBdr>
    </w:div>
    <w:div w:id="199785029">
      <w:bodyDiv w:val="1"/>
      <w:marLeft w:val="0"/>
      <w:marRight w:val="0"/>
      <w:marTop w:val="0"/>
      <w:marBottom w:val="0"/>
      <w:divBdr>
        <w:top w:val="none" w:sz="0" w:space="0" w:color="auto"/>
        <w:left w:val="none" w:sz="0" w:space="0" w:color="auto"/>
        <w:bottom w:val="none" w:sz="0" w:space="0" w:color="auto"/>
        <w:right w:val="none" w:sz="0" w:space="0" w:color="auto"/>
      </w:divBdr>
    </w:div>
    <w:div w:id="308369933">
      <w:bodyDiv w:val="1"/>
      <w:marLeft w:val="0"/>
      <w:marRight w:val="0"/>
      <w:marTop w:val="0"/>
      <w:marBottom w:val="0"/>
      <w:divBdr>
        <w:top w:val="none" w:sz="0" w:space="0" w:color="auto"/>
        <w:left w:val="none" w:sz="0" w:space="0" w:color="auto"/>
        <w:bottom w:val="none" w:sz="0" w:space="0" w:color="auto"/>
        <w:right w:val="none" w:sz="0" w:space="0" w:color="auto"/>
      </w:divBdr>
    </w:div>
    <w:div w:id="337658032">
      <w:bodyDiv w:val="1"/>
      <w:marLeft w:val="0"/>
      <w:marRight w:val="0"/>
      <w:marTop w:val="0"/>
      <w:marBottom w:val="0"/>
      <w:divBdr>
        <w:top w:val="none" w:sz="0" w:space="0" w:color="auto"/>
        <w:left w:val="none" w:sz="0" w:space="0" w:color="auto"/>
        <w:bottom w:val="none" w:sz="0" w:space="0" w:color="auto"/>
        <w:right w:val="none" w:sz="0" w:space="0" w:color="auto"/>
      </w:divBdr>
    </w:div>
    <w:div w:id="339508997">
      <w:bodyDiv w:val="1"/>
      <w:marLeft w:val="0"/>
      <w:marRight w:val="0"/>
      <w:marTop w:val="0"/>
      <w:marBottom w:val="0"/>
      <w:divBdr>
        <w:top w:val="none" w:sz="0" w:space="0" w:color="auto"/>
        <w:left w:val="none" w:sz="0" w:space="0" w:color="auto"/>
        <w:bottom w:val="none" w:sz="0" w:space="0" w:color="auto"/>
        <w:right w:val="none" w:sz="0" w:space="0" w:color="auto"/>
      </w:divBdr>
    </w:div>
    <w:div w:id="412240004">
      <w:bodyDiv w:val="1"/>
      <w:marLeft w:val="0"/>
      <w:marRight w:val="0"/>
      <w:marTop w:val="0"/>
      <w:marBottom w:val="0"/>
      <w:divBdr>
        <w:top w:val="none" w:sz="0" w:space="0" w:color="auto"/>
        <w:left w:val="none" w:sz="0" w:space="0" w:color="auto"/>
        <w:bottom w:val="none" w:sz="0" w:space="0" w:color="auto"/>
        <w:right w:val="none" w:sz="0" w:space="0" w:color="auto"/>
      </w:divBdr>
    </w:div>
    <w:div w:id="433211991">
      <w:bodyDiv w:val="1"/>
      <w:marLeft w:val="0"/>
      <w:marRight w:val="0"/>
      <w:marTop w:val="0"/>
      <w:marBottom w:val="0"/>
      <w:divBdr>
        <w:top w:val="none" w:sz="0" w:space="0" w:color="auto"/>
        <w:left w:val="none" w:sz="0" w:space="0" w:color="auto"/>
        <w:bottom w:val="none" w:sz="0" w:space="0" w:color="auto"/>
        <w:right w:val="none" w:sz="0" w:space="0" w:color="auto"/>
      </w:divBdr>
    </w:div>
    <w:div w:id="507141158">
      <w:bodyDiv w:val="1"/>
      <w:marLeft w:val="0"/>
      <w:marRight w:val="0"/>
      <w:marTop w:val="0"/>
      <w:marBottom w:val="0"/>
      <w:divBdr>
        <w:top w:val="none" w:sz="0" w:space="0" w:color="auto"/>
        <w:left w:val="none" w:sz="0" w:space="0" w:color="auto"/>
        <w:bottom w:val="none" w:sz="0" w:space="0" w:color="auto"/>
        <w:right w:val="none" w:sz="0" w:space="0" w:color="auto"/>
      </w:divBdr>
    </w:div>
    <w:div w:id="526413114">
      <w:bodyDiv w:val="1"/>
      <w:marLeft w:val="0"/>
      <w:marRight w:val="0"/>
      <w:marTop w:val="0"/>
      <w:marBottom w:val="0"/>
      <w:divBdr>
        <w:top w:val="none" w:sz="0" w:space="0" w:color="auto"/>
        <w:left w:val="none" w:sz="0" w:space="0" w:color="auto"/>
        <w:bottom w:val="none" w:sz="0" w:space="0" w:color="auto"/>
        <w:right w:val="none" w:sz="0" w:space="0" w:color="auto"/>
      </w:divBdr>
    </w:div>
    <w:div w:id="702167117">
      <w:bodyDiv w:val="1"/>
      <w:marLeft w:val="0"/>
      <w:marRight w:val="0"/>
      <w:marTop w:val="0"/>
      <w:marBottom w:val="0"/>
      <w:divBdr>
        <w:top w:val="none" w:sz="0" w:space="0" w:color="auto"/>
        <w:left w:val="none" w:sz="0" w:space="0" w:color="auto"/>
        <w:bottom w:val="none" w:sz="0" w:space="0" w:color="auto"/>
        <w:right w:val="none" w:sz="0" w:space="0" w:color="auto"/>
      </w:divBdr>
    </w:div>
    <w:div w:id="728456773">
      <w:bodyDiv w:val="1"/>
      <w:marLeft w:val="0"/>
      <w:marRight w:val="0"/>
      <w:marTop w:val="0"/>
      <w:marBottom w:val="0"/>
      <w:divBdr>
        <w:top w:val="none" w:sz="0" w:space="0" w:color="auto"/>
        <w:left w:val="none" w:sz="0" w:space="0" w:color="auto"/>
        <w:bottom w:val="none" w:sz="0" w:space="0" w:color="auto"/>
        <w:right w:val="none" w:sz="0" w:space="0" w:color="auto"/>
      </w:divBdr>
    </w:div>
    <w:div w:id="760487207">
      <w:bodyDiv w:val="1"/>
      <w:marLeft w:val="0"/>
      <w:marRight w:val="0"/>
      <w:marTop w:val="0"/>
      <w:marBottom w:val="0"/>
      <w:divBdr>
        <w:top w:val="none" w:sz="0" w:space="0" w:color="auto"/>
        <w:left w:val="none" w:sz="0" w:space="0" w:color="auto"/>
        <w:bottom w:val="none" w:sz="0" w:space="0" w:color="auto"/>
        <w:right w:val="none" w:sz="0" w:space="0" w:color="auto"/>
      </w:divBdr>
    </w:div>
    <w:div w:id="771243198">
      <w:bodyDiv w:val="1"/>
      <w:marLeft w:val="0"/>
      <w:marRight w:val="0"/>
      <w:marTop w:val="0"/>
      <w:marBottom w:val="0"/>
      <w:divBdr>
        <w:top w:val="none" w:sz="0" w:space="0" w:color="auto"/>
        <w:left w:val="none" w:sz="0" w:space="0" w:color="auto"/>
        <w:bottom w:val="none" w:sz="0" w:space="0" w:color="auto"/>
        <w:right w:val="none" w:sz="0" w:space="0" w:color="auto"/>
      </w:divBdr>
    </w:div>
    <w:div w:id="796341048">
      <w:bodyDiv w:val="1"/>
      <w:marLeft w:val="0"/>
      <w:marRight w:val="0"/>
      <w:marTop w:val="0"/>
      <w:marBottom w:val="0"/>
      <w:divBdr>
        <w:top w:val="none" w:sz="0" w:space="0" w:color="auto"/>
        <w:left w:val="none" w:sz="0" w:space="0" w:color="auto"/>
        <w:bottom w:val="none" w:sz="0" w:space="0" w:color="auto"/>
        <w:right w:val="none" w:sz="0" w:space="0" w:color="auto"/>
      </w:divBdr>
    </w:div>
    <w:div w:id="971447013">
      <w:bodyDiv w:val="1"/>
      <w:marLeft w:val="0"/>
      <w:marRight w:val="0"/>
      <w:marTop w:val="0"/>
      <w:marBottom w:val="0"/>
      <w:divBdr>
        <w:top w:val="none" w:sz="0" w:space="0" w:color="auto"/>
        <w:left w:val="none" w:sz="0" w:space="0" w:color="auto"/>
        <w:bottom w:val="none" w:sz="0" w:space="0" w:color="auto"/>
        <w:right w:val="none" w:sz="0" w:space="0" w:color="auto"/>
      </w:divBdr>
    </w:div>
    <w:div w:id="1001809918">
      <w:bodyDiv w:val="1"/>
      <w:marLeft w:val="0"/>
      <w:marRight w:val="0"/>
      <w:marTop w:val="0"/>
      <w:marBottom w:val="0"/>
      <w:divBdr>
        <w:top w:val="none" w:sz="0" w:space="0" w:color="auto"/>
        <w:left w:val="none" w:sz="0" w:space="0" w:color="auto"/>
        <w:bottom w:val="none" w:sz="0" w:space="0" w:color="auto"/>
        <w:right w:val="none" w:sz="0" w:space="0" w:color="auto"/>
      </w:divBdr>
    </w:div>
    <w:div w:id="1070884419">
      <w:bodyDiv w:val="1"/>
      <w:marLeft w:val="0"/>
      <w:marRight w:val="0"/>
      <w:marTop w:val="0"/>
      <w:marBottom w:val="0"/>
      <w:divBdr>
        <w:top w:val="none" w:sz="0" w:space="0" w:color="auto"/>
        <w:left w:val="none" w:sz="0" w:space="0" w:color="auto"/>
        <w:bottom w:val="none" w:sz="0" w:space="0" w:color="auto"/>
        <w:right w:val="none" w:sz="0" w:space="0" w:color="auto"/>
      </w:divBdr>
    </w:div>
    <w:div w:id="1084374740">
      <w:bodyDiv w:val="1"/>
      <w:marLeft w:val="0"/>
      <w:marRight w:val="0"/>
      <w:marTop w:val="0"/>
      <w:marBottom w:val="0"/>
      <w:divBdr>
        <w:top w:val="none" w:sz="0" w:space="0" w:color="auto"/>
        <w:left w:val="none" w:sz="0" w:space="0" w:color="auto"/>
        <w:bottom w:val="none" w:sz="0" w:space="0" w:color="auto"/>
        <w:right w:val="none" w:sz="0" w:space="0" w:color="auto"/>
      </w:divBdr>
    </w:div>
    <w:div w:id="1126311712">
      <w:bodyDiv w:val="1"/>
      <w:marLeft w:val="0"/>
      <w:marRight w:val="0"/>
      <w:marTop w:val="0"/>
      <w:marBottom w:val="0"/>
      <w:divBdr>
        <w:top w:val="none" w:sz="0" w:space="0" w:color="auto"/>
        <w:left w:val="none" w:sz="0" w:space="0" w:color="auto"/>
        <w:bottom w:val="none" w:sz="0" w:space="0" w:color="auto"/>
        <w:right w:val="none" w:sz="0" w:space="0" w:color="auto"/>
      </w:divBdr>
    </w:div>
    <w:div w:id="1162350883">
      <w:bodyDiv w:val="1"/>
      <w:marLeft w:val="0"/>
      <w:marRight w:val="0"/>
      <w:marTop w:val="0"/>
      <w:marBottom w:val="0"/>
      <w:divBdr>
        <w:top w:val="none" w:sz="0" w:space="0" w:color="auto"/>
        <w:left w:val="none" w:sz="0" w:space="0" w:color="auto"/>
        <w:bottom w:val="none" w:sz="0" w:space="0" w:color="auto"/>
        <w:right w:val="none" w:sz="0" w:space="0" w:color="auto"/>
      </w:divBdr>
    </w:div>
    <w:div w:id="1170564233">
      <w:bodyDiv w:val="1"/>
      <w:marLeft w:val="0"/>
      <w:marRight w:val="0"/>
      <w:marTop w:val="0"/>
      <w:marBottom w:val="0"/>
      <w:divBdr>
        <w:top w:val="none" w:sz="0" w:space="0" w:color="auto"/>
        <w:left w:val="none" w:sz="0" w:space="0" w:color="auto"/>
        <w:bottom w:val="none" w:sz="0" w:space="0" w:color="auto"/>
        <w:right w:val="none" w:sz="0" w:space="0" w:color="auto"/>
      </w:divBdr>
    </w:div>
    <w:div w:id="1173302841">
      <w:bodyDiv w:val="1"/>
      <w:marLeft w:val="0"/>
      <w:marRight w:val="0"/>
      <w:marTop w:val="0"/>
      <w:marBottom w:val="0"/>
      <w:divBdr>
        <w:top w:val="none" w:sz="0" w:space="0" w:color="auto"/>
        <w:left w:val="none" w:sz="0" w:space="0" w:color="auto"/>
        <w:bottom w:val="none" w:sz="0" w:space="0" w:color="auto"/>
        <w:right w:val="none" w:sz="0" w:space="0" w:color="auto"/>
      </w:divBdr>
    </w:div>
    <w:div w:id="1263293943">
      <w:bodyDiv w:val="1"/>
      <w:marLeft w:val="0"/>
      <w:marRight w:val="0"/>
      <w:marTop w:val="0"/>
      <w:marBottom w:val="0"/>
      <w:divBdr>
        <w:top w:val="none" w:sz="0" w:space="0" w:color="auto"/>
        <w:left w:val="none" w:sz="0" w:space="0" w:color="auto"/>
        <w:bottom w:val="none" w:sz="0" w:space="0" w:color="auto"/>
        <w:right w:val="none" w:sz="0" w:space="0" w:color="auto"/>
      </w:divBdr>
    </w:div>
    <w:div w:id="1393120527">
      <w:bodyDiv w:val="1"/>
      <w:marLeft w:val="0"/>
      <w:marRight w:val="0"/>
      <w:marTop w:val="0"/>
      <w:marBottom w:val="0"/>
      <w:divBdr>
        <w:top w:val="none" w:sz="0" w:space="0" w:color="auto"/>
        <w:left w:val="none" w:sz="0" w:space="0" w:color="auto"/>
        <w:bottom w:val="none" w:sz="0" w:space="0" w:color="auto"/>
        <w:right w:val="none" w:sz="0" w:space="0" w:color="auto"/>
      </w:divBdr>
    </w:div>
    <w:div w:id="1466702211">
      <w:bodyDiv w:val="1"/>
      <w:marLeft w:val="0"/>
      <w:marRight w:val="0"/>
      <w:marTop w:val="0"/>
      <w:marBottom w:val="0"/>
      <w:divBdr>
        <w:top w:val="none" w:sz="0" w:space="0" w:color="auto"/>
        <w:left w:val="none" w:sz="0" w:space="0" w:color="auto"/>
        <w:bottom w:val="none" w:sz="0" w:space="0" w:color="auto"/>
        <w:right w:val="none" w:sz="0" w:space="0" w:color="auto"/>
      </w:divBdr>
    </w:div>
    <w:div w:id="1470054472">
      <w:bodyDiv w:val="1"/>
      <w:marLeft w:val="0"/>
      <w:marRight w:val="0"/>
      <w:marTop w:val="0"/>
      <w:marBottom w:val="0"/>
      <w:divBdr>
        <w:top w:val="none" w:sz="0" w:space="0" w:color="auto"/>
        <w:left w:val="none" w:sz="0" w:space="0" w:color="auto"/>
        <w:bottom w:val="none" w:sz="0" w:space="0" w:color="auto"/>
        <w:right w:val="none" w:sz="0" w:space="0" w:color="auto"/>
      </w:divBdr>
    </w:div>
    <w:div w:id="1480534391">
      <w:bodyDiv w:val="1"/>
      <w:marLeft w:val="0"/>
      <w:marRight w:val="0"/>
      <w:marTop w:val="0"/>
      <w:marBottom w:val="0"/>
      <w:divBdr>
        <w:top w:val="none" w:sz="0" w:space="0" w:color="auto"/>
        <w:left w:val="none" w:sz="0" w:space="0" w:color="auto"/>
        <w:bottom w:val="none" w:sz="0" w:space="0" w:color="auto"/>
        <w:right w:val="none" w:sz="0" w:space="0" w:color="auto"/>
      </w:divBdr>
    </w:div>
    <w:div w:id="1529953041">
      <w:bodyDiv w:val="1"/>
      <w:marLeft w:val="0"/>
      <w:marRight w:val="0"/>
      <w:marTop w:val="0"/>
      <w:marBottom w:val="0"/>
      <w:divBdr>
        <w:top w:val="none" w:sz="0" w:space="0" w:color="auto"/>
        <w:left w:val="none" w:sz="0" w:space="0" w:color="auto"/>
        <w:bottom w:val="none" w:sz="0" w:space="0" w:color="auto"/>
        <w:right w:val="none" w:sz="0" w:space="0" w:color="auto"/>
      </w:divBdr>
    </w:div>
    <w:div w:id="1544515057">
      <w:bodyDiv w:val="1"/>
      <w:marLeft w:val="0"/>
      <w:marRight w:val="0"/>
      <w:marTop w:val="0"/>
      <w:marBottom w:val="0"/>
      <w:divBdr>
        <w:top w:val="none" w:sz="0" w:space="0" w:color="auto"/>
        <w:left w:val="none" w:sz="0" w:space="0" w:color="auto"/>
        <w:bottom w:val="none" w:sz="0" w:space="0" w:color="auto"/>
        <w:right w:val="none" w:sz="0" w:space="0" w:color="auto"/>
      </w:divBdr>
    </w:div>
    <w:div w:id="1555658820">
      <w:bodyDiv w:val="1"/>
      <w:marLeft w:val="0"/>
      <w:marRight w:val="0"/>
      <w:marTop w:val="0"/>
      <w:marBottom w:val="0"/>
      <w:divBdr>
        <w:top w:val="none" w:sz="0" w:space="0" w:color="auto"/>
        <w:left w:val="none" w:sz="0" w:space="0" w:color="auto"/>
        <w:bottom w:val="none" w:sz="0" w:space="0" w:color="auto"/>
        <w:right w:val="none" w:sz="0" w:space="0" w:color="auto"/>
      </w:divBdr>
    </w:div>
    <w:div w:id="1598295527">
      <w:bodyDiv w:val="1"/>
      <w:marLeft w:val="0"/>
      <w:marRight w:val="0"/>
      <w:marTop w:val="0"/>
      <w:marBottom w:val="0"/>
      <w:divBdr>
        <w:top w:val="none" w:sz="0" w:space="0" w:color="auto"/>
        <w:left w:val="none" w:sz="0" w:space="0" w:color="auto"/>
        <w:bottom w:val="none" w:sz="0" w:space="0" w:color="auto"/>
        <w:right w:val="none" w:sz="0" w:space="0" w:color="auto"/>
      </w:divBdr>
    </w:div>
    <w:div w:id="1604915843">
      <w:bodyDiv w:val="1"/>
      <w:marLeft w:val="0"/>
      <w:marRight w:val="0"/>
      <w:marTop w:val="0"/>
      <w:marBottom w:val="0"/>
      <w:divBdr>
        <w:top w:val="none" w:sz="0" w:space="0" w:color="auto"/>
        <w:left w:val="none" w:sz="0" w:space="0" w:color="auto"/>
        <w:bottom w:val="none" w:sz="0" w:space="0" w:color="auto"/>
        <w:right w:val="none" w:sz="0" w:space="0" w:color="auto"/>
      </w:divBdr>
    </w:div>
    <w:div w:id="1696494718">
      <w:bodyDiv w:val="1"/>
      <w:marLeft w:val="0"/>
      <w:marRight w:val="0"/>
      <w:marTop w:val="0"/>
      <w:marBottom w:val="0"/>
      <w:divBdr>
        <w:top w:val="none" w:sz="0" w:space="0" w:color="auto"/>
        <w:left w:val="none" w:sz="0" w:space="0" w:color="auto"/>
        <w:bottom w:val="none" w:sz="0" w:space="0" w:color="auto"/>
        <w:right w:val="none" w:sz="0" w:space="0" w:color="auto"/>
      </w:divBdr>
    </w:div>
    <w:div w:id="1727558621">
      <w:bodyDiv w:val="1"/>
      <w:marLeft w:val="0"/>
      <w:marRight w:val="0"/>
      <w:marTop w:val="0"/>
      <w:marBottom w:val="0"/>
      <w:divBdr>
        <w:top w:val="none" w:sz="0" w:space="0" w:color="auto"/>
        <w:left w:val="none" w:sz="0" w:space="0" w:color="auto"/>
        <w:bottom w:val="none" w:sz="0" w:space="0" w:color="auto"/>
        <w:right w:val="none" w:sz="0" w:space="0" w:color="auto"/>
      </w:divBdr>
    </w:div>
    <w:div w:id="1811246299">
      <w:bodyDiv w:val="1"/>
      <w:marLeft w:val="0"/>
      <w:marRight w:val="0"/>
      <w:marTop w:val="0"/>
      <w:marBottom w:val="0"/>
      <w:divBdr>
        <w:top w:val="none" w:sz="0" w:space="0" w:color="auto"/>
        <w:left w:val="none" w:sz="0" w:space="0" w:color="auto"/>
        <w:bottom w:val="none" w:sz="0" w:space="0" w:color="auto"/>
        <w:right w:val="none" w:sz="0" w:space="0" w:color="auto"/>
      </w:divBdr>
    </w:div>
    <w:div w:id="2105032806">
      <w:bodyDiv w:val="1"/>
      <w:marLeft w:val="0"/>
      <w:marRight w:val="0"/>
      <w:marTop w:val="0"/>
      <w:marBottom w:val="0"/>
      <w:divBdr>
        <w:top w:val="none" w:sz="0" w:space="0" w:color="auto"/>
        <w:left w:val="none" w:sz="0" w:space="0" w:color="auto"/>
        <w:bottom w:val="none" w:sz="0" w:space="0" w:color="auto"/>
        <w:right w:val="none" w:sz="0" w:space="0" w:color="auto"/>
      </w:divBdr>
    </w:div>
    <w:div w:id="214604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10</ap:Pages>
  <ap:Words>3847</ap:Words>
  <ap:Characters>21162</ap:Characters>
  <ap:DocSecurity>0</ap:DocSecurity>
  <ap:Lines>176</ap:Lines>
  <ap:Paragraphs>49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CoCo nr. 16 d.d. 24 april 2023</vt:lpstr>
      <vt:lpstr>CoCo nr. 16 d.d. 24 april 2023</vt:lpstr>
    </vt:vector>
  </ap:TitlesOfParts>
  <ap:LinksUpToDate>false</ap:LinksUpToDate>
  <ap:CharactersWithSpaces>24960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2025-09-19T09:36:00.0000000Z</dcterms:created>
  <dcterms:modified xsi:type="dcterms:W3CDTF">2025-09-19T09:36:00.0000000Z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0x0101009C7CE436063D44E9BE7DC0259EF7C32F006EB9F9836A634AE58B6169785FD3936F00EC4ABB6A373EEC4B8476FB85D9BD4979</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7f8e9445-0f69-4438-8122-689865bedbd5</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y fmtid="{D5CDD505-2E9C-101B-9397-08002B2CF9AE}" pid="11" name="BZ_Country">
    <vt:lpwstr>3;#Not applicable|ec01d90b-9d0f-4785-8785-e1ea615196bf</vt:lpwstr>
  </property>
  <property fmtid="{D5CDD505-2E9C-101B-9397-08002B2CF9AE}" pid="12" name="BZ_Classification">
    <vt:lpwstr>6;#UNCLASSIFIED|d92c6340-bc14-4cb2-a9a6-6deda93c493b;#7;#NO MARKING|879e64ec-6597-483b-94db-f5f70afd7299</vt:lpwstr>
  </property>
  <property fmtid="{D5CDD505-2E9C-101B-9397-08002B2CF9AE}" pid="13" name="BZ_Forum">
    <vt:lpwstr>2;#Not applicable|0049e722-bfb1-4a3f-9d08-af7366a9af40</vt:lpwstr>
  </property>
  <property fmtid="{D5CDD505-2E9C-101B-9397-08002B2CF9AE}" pid="14" name="BZ_Theme">
    <vt:lpwstr>1;#Communication|e493718e-04f1-40ba-b095-af58ae3eb0cb</vt:lpwstr>
  </property>
  <property fmtid="{D5CDD505-2E9C-101B-9397-08002B2CF9AE}" pid="15" name="TaxCatchAll">
    <vt:lpwstr/>
  </property>
  <property fmtid="{D5CDD505-2E9C-101B-9397-08002B2CF9AE}" pid="16" name="MSIP_Label_6800fede-0e59-47ad-af95-4e63bbdb932d_Enabled">
    <vt:lpwstr>true</vt:lpwstr>
  </property>
  <property fmtid="{D5CDD505-2E9C-101B-9397-08002B2CF9AE}" pid="17" name="MSIP_Label_6800fede-0e59-47ad-af95-4e63bbdb932d_SetDate">
    <vt:lpwstr>2023-01-30T12:37:17Z</vt:lpwstr>
  </property>
  <property fmtid="{D5CDD505-2E9C-101B-9397-08002B2CF9AE}" pid="18" name="MSIP_Label_6800fede-0e59-47ad-af95-4e63bbdb932d_Method">
    <vt:lpwstr>Standard</vt:lpwstr>
  </property>
  <property fmtid="{D5CDD505-2E9C-101B-9397-08002B2CF9AE}" pid="19" name="MSIP_Label_6800fede-0e59-47ad-af95-4e63bbdb932d_Name">
    <vt:lpwstr>FIN-DGGT-Rijksoverheid</vt:lpwstr>
  </property>
  <property fmtid="{D5CDD505-2E9C-101B-9397-08002B2CF9AE}" pid="20" name="MSIP_Label_6800fede-0e59-47ad-af95-4e63bbdb932d_SiteId">
    <vt:lpwstr>84712536-f524-40a0-913b-5d25ba502732</vt:lpwstr>
  </property>
  <property fmtid="{D5CDD505-2E9C-101B-9397-08002B2CF9AE}" pid="21" name="MSIP_Label_6800fede-0e59-47ad-af95-4e63bbdb932d_ActionId">
    <vt:lpwstr>37ad806c-797b-4d44-8900-563ad572e313</vt:lpwstr>
  </property>
  <property fmtid="{D5CDD505-2E9C-101B-9397-08002B2CF9AE}" pid="22" name="MSIP_Label_6800fede-0e59-47ad-af95-4e63bbdb932d_ContentBits">
    <vt:lpwstr>0</vt:lpwstr>
  </property>
  <property fmtid="{D5CDD505-2E9C-101B-9397-08002B2CF9AE}" pid="23" name="cc4b55a5ee91473b87ec338540cdae54">
    <vt:lpwstr>Not applicable|ec01d90b-9d0f-4785-8785-e1ea615196bf</vt:lpwstr>
  </property>
  <property fmtid="{D5CDD505-2E9C-101B-9397-08002B2CF9AE}" pid="24" name="d1b77f58b5724360bd683b4bf0d30054">
    <vt:lpwstr>UNCLASSIFIED (U)|284e6a62-15ab-4017-be27-a1e965f4e940</vt:lpwstr>
  </property>
  <property fmtid="{D5CDD505-2E9C-101B-9397-08002B2CF9AE}" pid="25" name="f7af940f06314dc78018242c25682d67">
    <vt:lpwstr>NO MARKING|0a4eb9ae-69eb-4d9e-b573-43ab99ef8592</vt:lpwstr>
  </property>
  <property fmtid="{D5CDD505-2E9C-101B-9397-08002B2CF9AE}" pid="26" name="e35afc56668347c3aef24194d1ed59ea">
    <vt:lpwstr>Not applicable|0049e722-bfb1-4a3f-9d08-af7366a9af40</vt:lpwstr>
  </property>
  <property fmtid="{D5CDD505-2E9C-101B-9397-08002B2CF9AE}" pid="27" name="bb20b5f81c9f47a48f8188e85aec1253">
    <vt:lpwstr>Communication|e493718e-04f1-40ba-b095-af58ae3eb0cb</vt:lpwstr>
  </property>
  <property fmtid="{D5CDD505-2E9C-101B-9397-08002B2CF9AE}" pid="28" name="BZForumOrganisation">
    <vt:lpwstr>2;#Not applicable|0049e722-bfb1-4a3f-9d08-af7366a9af40</vt:lpwstr>
  </property>
  <property fmtid="{D5CDD505-2E9C-101B-9397-08002B2CF9AE}" pid="29" name="BZTheme">
    <vt:lpwstr>1;#Not applicable|ec01d90b-9d0f-4785-8785-e1ea615196bf</vt:lpwstr>
  </property>
  <property fmtid="{D5CDD505-2E9C-101B-9397-08002B2CF9AE}" pid="30" name="BZCountryState">
    <vt:lpwstr>3;#Not applicable|ec01d90b-9d0f-4785-8785-e1ea615196bf</vt:lpwstr>
  </property>
  <property fmtid="{D5CDD505-2E9C-101B-9397-08002B2CF9AE}" pid="31" name="BZMarking">
    <vt:lpwstr>5;#NO MARKING|0a4eb9ae-69eb-4d9e-b573-43ab99ef8592</vt:lpwstr>
  </property>
  <property fmtid="{D5CDD505-2E9C-101B-9397-08002B2CF9AE}" pid="32" name="BZClassification">
    <vt:lpwstr>4;#UNCLASSIFIED (U)|284e6a62-15ab-4017-be27-a1e965f4e940</vt:lpwstr>
  </property>
  <property fmtid="{D5CDD505-2E9C-101B-9397-08002B2CF9AE}" pid="33" name="DocumentSetDescription">
    <vt:lpwstr/>
  </property>
  <property fmtid="{D5CDD505-2E9C-101B-9397-08002B2CF9AE}" pid="34" name="URL">
    <vt:lpwstr/>
  </property>
  <property fmtid="{D5CDD505-2E9C-101B-9397-08002B2CF9AE}" pid="35" name="ga509c7afcac4f5cb939db754ffece25">
    <vt:lpwstr>UNCLASSIFIED|d92c6340-bc14-4cb2-a9a6-6deda93c493b;NO MARKING|879e64ec-6597-483b-94db-f5f70afd7299</vt:lpwstr>
  </property>
  <property fmtid="{D5CDD505-2E9C-101B-9397-08002B2CF9AE}" pid="36" name="nf4434b3fae540fe847866e45672fb3a">
    <vt:lpwstr>Communication|e493718e-04f1-40ba-b095-af58ae3eb0cb</vt:lpwstr>
  </property>
  <property fmtid="{D5CDD505-2E9C-101B-9397-08002B2CF9AE}" pid="37" name="a45510494d1a450e9cee6905c7ad8168">
    <vt:lpwstr>Not applicable|ec01d90b-9d0f-4785-8785-e1ea615196bf</vt:lpwstr>
  </property>
  <property fmtid="{D5CDD505-2E9C-101B-9397-08002B2CF9AE}" pid="38" name="ge4bd621e46a403e97baf402a410deb5">
    <vt:lpwstr>Not applicable|0049e722-bfb1-4a3f-9d08-af7366a9af40</vt:lpwstr>
  </property>
  <property fmtid="{D5CDD505-2E9C-101B-9397-08002B2CF9AE}" pid="39" name="ClassificationContentMarkingFooterShapeIds">
    <vt:lpwstr>42feb05f,7c147e4c,3c99e451</vt:lpwstr>
  </property>
  <property fmtid="{D5CDD505-2E9C-101B-9397-08002B2CF9AE}" pid="40" name="ClassificationContentMarkingFooterFontProps">
    <vt:lpwstr>#000000,10,Calibri</vt:lpwstr>
  </property>
  <property fmtid="{D5CDD505-2E9C-101B-9397-08002B2CF9AE}" pid="41" name="ClassificationContentMarkingFooterText">
    <vt:lpwstr>Intern gebruik</vt:lpwstr>
  </property>
</Properties>
</file>