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5686" w:rsidR="00E2501E" w:rsidP="00E2501E" w:rsidRDefault="00E0549E" w14:paraId="7ECCED17" w14:textId="77777777">
      <w:pPr>
        <w:pStyle w:val="Huisstijl-Kopjenota"/>
      </w:pPr>
      <w:r w:rsidRPr="00CE5686">
        <w:t>Nota van toelichting</w:t>
      </w:r>
    </w:p>
    <w:p w:rsidRPr="00CE5686" w:rsidR="00E2501E" w:rsidP="00E2501E" w:rsidRDefault="00E2501E" w14:paraId="16B09873" w14:textId="77777777">
      <w:pPr>
        <w:pStyle w:val="Huisstijl-Ondertekeningvervolg"/>
        <w:rPr>
          <w:i w:val="0"/>
          <w:szCs w:val="18"/>
        </w:rPr>
      </w:pPr>
    </w:p>
    <w:p w:rsidRPr="005A6028" w:rsidR="00973BA1" w:rsidP="00973BA1" w:rsidRDefault="00973BA1" w14:paraId="61922F81" w14:textId="77777777">
      <w:pPr>
        <w:rPr>
          <w:rFonts w:cstheme="minorHAnsi"/>
          <w:b/>
          <w:szCs w:val="18"/>
        </w:rPr>
      </w:pPr>
      <w:r w:rsidRPr="005A6028">
        <w:rPr>
          <w:rFonts w:cstheme="minorHAnsi"/>
          <w:b/>
          <w:szCs w:val="18"/>
        </w:rPr>
        <w:t>I. Algemeen</w:t>
      </w:r>
    </w:p>
    <w:p w:rsidRPr="005A6028" w:rsidR="00973BA1" w:rsidP="00973BA1" w:rsidRDefault="00973BA1" w14:paraId="4035441A" w14:textId="77777777">
      <w:pPr>
        <w:rPr>
          <w:rFonts w:cstheme="minorHAnsi"/>
          <w:b/>
          <w:szCs w:val="18"/>
        </w:rPr>
      </w:pPr>
      <w:r w:rsidRPr="005A6028">
        <w:rPr>
          <w:rFonts w:cstheme="minorHAnsi"/>
          <w:b/>
          <w:szCs w:val="18"/>
        </w:rPr>
        <w:t>1. Inleiding</w:t>
      </w:r>
    </w:p>
    <w:p w:rsidRPr="005A6028" w:rsidR="00973BA1" w:rsidP="00973BA1" w:rsidRDefault="00973BA1" w14:paraId="568263EC" w14:textId="77777777">
      <w:pPr>
        <w:rPr>
          <w:rFonts w:cstheme="minorHAnsi"/>
          <w:szCs w:val="18"/>
        </w:rPr>
      </w:pPr>
      <w:r w:rsidRPr="005A6028">
        <w:rPr>
          <w:rFonts w:cstheme="minorHAnsi"/>
          <w:szCs w:val="18"/>
        </w:rPr>
        <w:t xml:space="preserve">Via de zorgtoeslag wordt een inkomensafhankelijke tegemoetkoming verstrekt die huishoudens met lage (midden)inkomens ondersteunt bij het betalen van de nominale zorgpremie en het verplicht eigen risico voor de zorgverzekering. </w:t>
      </w:r>
    </w:p>
    <w:p w:rsidRPr="005A6028" w:rsidR="00973BA1" w:rsidP="00973BA1" w:rsidRDefault="00973BA1" w14:paraId="634043B4" w14:textId="77777777">
      <w:pPr>
        <w:rPr>
          <w:rFonts w:cstheme="minorHAnsi"/>
          <w:szCs w:val="18"/>
        </w:rPr>
      </w:pPr>
      <w:r w:rsidRPr="005A6028">
        <w:rPr>
          <w:rFonts w:cstheme="minorHAnsi"/>
          <w:szCs w:val="18"/>
        </w:rPr>
        <w:t xml:space="preserve">In dit besluit wordt de dekking geregeld van een maatregel waartoe is besloten tijdens de augustusbesluitvorming 2025 om nabetalingen van uitkeringen voortaan uit te sluiten van het toetsingsinkomen van inkomensafhankelijke regelingen. Als mensen in een eerder kalenderjaar onterecht een te lage/geen uitkering hebben gekregen, krijgen ze te maken met een nabetaling. Deze nabetaling veroorzaakt een piekinkomen in het jaar van de nabetaling en kan leiden tot lagere toeslagen en andere inkomensafhankelijke regelingen. Daardoor krijgen mensen minder inkomensondersteuning dan waar ze recht op hadden als de uitkering wel direct goed was vastgesteld. Een nabetaling kan financiële problemen opleveren en geeft stress en onzekerheid. </w:t>
      </w:r>
    </w:p>
    <w:p w:rsidRPr="005A6028" w:rsidR="00973BA1" w:rsidP="00973BA1" w:rsidRDefault="00973BA1" w14:paraId="33722A9B" w14:textId="77777777">
      <w:pPr>
        <w:rPr>
          <w:rFonts w:cstheme="minorHAnsi"/>
          <w:szCs w:val="18"/>
        </w:rPr>
      </w:pPr>
      <w:r w:rsidRPr="005A6028">
        <w:rPr>
          <w:rFonts w:cstheme="minorHAnsi"/>
          <w:szCs w:val="18"/>
        </w:rPr>
        <w:t>De voorgestelde maatregel zondert de nabetaling uit van het toetsingsinkomen en zorgt ervoor dat een nabetaling in uitkeringen voortaan niet meer leidt tot een lagere toeslag of andere inkomensafhankelijke regeling. Wel telt de nabetaling nog mee voor de inkomstenbelasting.</w:t>
      </w:r>
      <w:r w:rsidRPr="005A6028">
        <w:rPr>
          <w:rFonts w:cstheme="minorHAnsi"/>
          <w:color w:val="FFC000"/>
          <w:szCs w:val="18"/>
        </w:rPr>
        <w:t xml:space="preserve"> </w:t>
      </w:r>
      <w:r w:rsidRPr="005A6028">
        <w:rPr>
          <w:rFonts w:cstheme="minorHAnsi"/>
          <w:szCs w:val="18"/>
        </w:rPr>
        <w:t xml:space="preserve">Dit leidt jaarlijks tot hogere uitgaven aan inkomensafhankelijke regelingen van structureel € 12,6 miljoen. Daarnaast brengt deze maatregel ook uitvoeringskosten met zich mee van structureel € 2 miljoen. Ter dekking van beide bedragen is besloten om de toeslagen (zorgtoeslag, kindgebonden budget, kinderopvangtoeslag en huurtoeslag) marginaal te verlagen. Afgesproken is dat VWS 53% van het totale bedrag bekostigt. Dit percentage is tot stand gekomen omdat de kosten voor 47% bij VWS-regelingen vallen (zorgtoeslag, eigen bijdrage Wmo en eigen bijdrage Wlz). De kosten voor de studiefinanciering zijn naar rato verdeeld over de drie toeslagdepartementen (SZW, VRO, VWS). </w:t>
      </w:r>
    </w:p>
    <w:p w:rsidRPr="005A6028" w:rsidR="00973BA1" w:rsidP="00973BA1" w:rsidRDefault="00973BA1" w14:paraId="3DD94A76" w14:textId="77777777">
      <w:pPr>
        <w:rPr>
          <w:rFonts w:cstheme="minorHAnsi"/>
          <w:szCs w:val="18"/>
        </w:rPr>
      </w:pPr>
      <w:r w:rsidRPr="005A6028">
        <w:rPr>
          <w:rFonts w:cstheme="minorHAnsi"/>
          <w:szCs w:val="18"/>
        </w:rPr>
        <w:t>Voor VWS komt dit neer op een structurele dekkingsopgave van € 7,75 miljoen. Met ruim 5 miljoen huishoudens die jaarlijks zorgtoeslag ontvangen komt dit neer op minder dan € 1,50 lagere zorgtoeslag op jaarbasis. Om dit te bereiken worden de normpercentages van de zorgtoeslag structureel opwaarts aangepast met 0,004-procentpunt. De facto betreft dit een zeer geringe daling van de zorgtoeslag.</w:t>
      </w:r>
    </w:p>
    <w:p w:rsidRPr="005A6028" w:rsidR="00973BA1" w:rsidP="00973BA1" w:rsidRDefault="00973BA1" w14:paraId="540A55A7" w14:textId="77777777">
      <w:pPr>
        <w:rPr>
          <w:rFonts w:cstheme="minorHAnsi"/>
          <w:szCs w:val="18"/>
        </w:rPr>
      </w:pPr>
      <w:r w:rsidRPr="005A6028">
        <w:rPr>
          <w:rFonts w:cstheme="minorHAnsi"/>
          <w:szCs w:val="18"/>
        </w:rPr>
        <w:t xml:space="preserve">De normpercentages voor de zorgtoeslag staan in het Besluit percentages drempel- en toetsingsinkomen zorgtoeslag. Met het onderhavige besluit zijn die percentages met ingang van het berekeningsjaar 2026 gewijzigd. De afbouwpercentages die in het Besluit percentages drempel- en toetsingsinkomen zorgtoeslag zijn opgenomen veranderen niet. </w:t>
      </w:r>
    </w:p>
    <w:p w:rsidRPr="005A6028" w:rsidR="00973BA1" w:rsidP="00973BA1" w:rsidRDefault="00973BA1" w14:paraId="2B84B7C5" w14:textId="77777777">
      <w:pPr>
        <w:rPr>
          <w:rFonts w:cstheme="minorHAnsi"/>
          <w:szCs w:val="18"/>
        </w:rPr>
      </w:pPr>
      <w:r w:rsidRPr="005A6028">
        <w:rPr>
          <w:rFonts w:cstheme="minorHAnsi"/>
          <w:b/>
          <w:szCs w:val="18"/>
        </w:rPr>
        <w:t>2. De systematiek van de zorgtoeslag</w:t>
      </w:r>
    </w:p>
    <w:p w:rsidRPr="005A6028" w:rsidR="00973BA1" w:rsidP="00973BA1" w:rsidRDefault="00973BA1" w14:paraId="1D8ABAB7" w14:textId="77777777">
      <w:pPr>
        <w:rPr>
          <w:rFonts w:cstheme="minorHAnsi"/>
          <w:szCs w:val="18"/>
        </w:rPr>
      </w:pPr>
      <w:r w:rsidRPr="005A6028">
        <w:rPr>
          <w:rFonts w:cstheme="minorHAnsi"/>
          <w:szCs w:val="18"/>
        </w:rPr>
        <w:t xml:space="preserve">De hoogte van de zorgtoeslag wordt bepaald door de standaardpremie (de geraamde gemiddelde nominale premie voor een zorgverzekering plus het geraamde gemiddelde te betalen bedrag vanwege het verplicht eigen risico) en door het huishoudinkomen van de ontvanger (het toetsingsinkomen in het kader van de Algemene wet inkomensafhankelijke regelingen). De Wet op de zorgtoeslag (hierna: Wzt) gaat ervan uit dat een huishouden maximaal een op basis van een formule bepaald percentage van het inkomen dient bij te dragen aan de nominale premie voor de binnen het huishouden bestaande, </w:t>
      </w:r>
      <w:r w:rsidRPr="005A6028">
        <w:rPr>
          <w:rFonts w:cstheme="minorHAnsi"/>
          <w:szCs w:val="18"/>
        </w:rPr>
        <w:lastRenderedPageBreak/>
        <w:t>premieplichtige</w:t>
      </w:r>
      <w:r w:rsidRPr="005A6028">
        <w:rPr>
          <w:rStyle w:val="Voetnootmarkering"/>
          <w:rFonts w:cstheme="minorHAnsi"/>
          <w:szCs w:val="18"/>
        </w:rPr>
        <w:footnoteReference w:id="1"/>
      </w:r>
      <w:r w:rsidRPr="005A6028">
        <w:rPr>
          <w:rFonts w:cstheme="minorHAnsi"/>
          <w:szCs w:val="18"/>
        </w:rPr>
        <w:t xml:space="preserve"> zorgverzekeringen en voor de betalingen in verband met het verplicht eigen risico. Dit is de normpremie.</w:t>
      </w:r>
    </w:p>
    <w:p w:rsidRPr="005A6028" w:rsidR="00973BA1" w:rsidP="00973BA1" w:rsidRDefault="00973BA1" w14:paraId="6E29B028" w14:textId="77777777">
      <w:pPr>
        <w:rPr>
          <w:rFonts w:cstheme="minorHAnsi"/>
          <w:szCs w:val="18"/>
        </w:rPr>
      </w:pPr>
      <w:r w:rsidRPr="005A6028">
        <w:rPr>
          <w:rFonts w:cstheme="minorHAnsi"/>
          <w:szCs w:val="18"/>
        </w:rPr>
        <w:t xml:space="preserve">Het bedrag dat een huishouden geacht wordt aan Zvw-verzekerde zorg te betalen (hierna: de normpremie) wordt berekend als een percentage van het minimumloon plus een percentage van het inkomen van het huishouden dat het minimumloon te boven gaat. </w:t>
      </w:r>
    </w:p>
    <w:p w:rsidRPr="005A6028" w:rsidR="00973BA1" w:rsidP="00973BA1" w:rsidRDefault="00E0549E" w14:paraId="5057D8C7" w14:textId="6417B590">
      <w:pPr>
        <w:rPr>
          <w:rFonts w:cstheme="minorHAnsi"/>
          <w:szCs w:val="18"/>
        </w:rPr>
      </w:pPr>
      <w:r>
        <w:rPr>
          <w:noProof/>
        </w:rPr>
        <w:pict w14:anchorId="45836469">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7hggEAAPQCAAAOAAAAZHJzL2Uyb0RvYy54bWysUk1PGzEQvSP1P1i+N04i2iIrGw4geqFt&#10;JOAHTLx21sL2WB6T3fz72oakBW6Iy2g9H2/fezOry8k7tteJLIaOL2ZzznRQ2Nuw6/jD/c3XC84o&#10;Q+jBYdAdP2jil+svZ6sxSr3EAV2vEysggeQYOz7kHKUQpAbtgWYYdShFg8lDLs+0E32CsaB7J5bz&#10;+XcxYupjQqWJSvb6ucjXDd8YrfIfY0hn5jpeuOUWU4vbGsV6BXKXIA5WvdCAD7DwYEP56QnqGjKw&#10;p2TfQXmrEhKaPFPoBRpjlW4aiprF/I2auwGiblqKORRPNtHnwarf+6uwSZW6msJdvEX1SCzg1QBh&#10;pxuB+0Msi1tUq8QYSZ5G6oPiJrHt+Av70gNPGZsLk0m+QhZ9bGpmH05m6ykzVZKL8+XFj29lJ+pY&#10;EyCPgzFR/qnRs/rRcWdD9QEk7G8pVyIgjy01HfDGOtd26cKrRGmsmUa8cq2HQXKL/WGTjoKKtQ3x&#10;5Qzq7v5/t+l/x7r+CwAA//8DAFBLAwQUAAYACAAAACEAPxvgZtsAAAAFAQAADwAAAGRycy9kb3du&#10;cmV2LnhtbEyPzW7CMBCE75X6DtYi9VYcisRPiIOqVm0PPRWQEDcTL0kgXke2ScLbdzm1l9WOZjX7&#10;TbYebCM69KF2pGAyTkAgFc7UVCrYbT+eFyBC1GR04wgV3DDAOn98yHRqXE8/2G1iKTiEQqoVVDG2&#10;qZShqNDqMHYtEnsn562OLH0pjdc9h9tGviTJTFpdE3+odItvFRaXzdUqCO+XvTsf+q9Ft/Rb/L7t&#10;i/nnVKmn0fC6AhFxiH/HcMdndMiZ6eiuZIJoWM8n3CUq4Mn2dDnj5XiXMs/kf/r8FwAA//8DAFBL&#10;AQItABQABgAIAAAAIQC2gziS/gAAAOEBAAATAAAAAAAAAAAAAAAAAAAAAABbQ29udGVudF9UeXBl&#10;c10ueG1sUEsBAi0AFAAGAAgAAAAhADj9If/WAAAAlAEAAAsAAAAAAAAAAAAAAAAALwEAAF9yZWxz&#10;Ly5yZWxzUEsBAi0AFAAGAAgAAAAhAGH9juGCAQAA9AIAAA4AAAAAAAAAAAAAAAAALgIAAGRycy9l&#10;Mm9Eb2MueG1sUEsBAi0AFAAGAAgAAAAhAD8b4GbbAAAABQEAAA8AAAAAAAAAAAAAAAAA3AMAAGRy&#10;cy9kb3ducmV2LnhtbFBLBQYAAAAABAAEAPMAAADkBAAAAAA=&#10;" from="85.5pt,0" to="198pt,0"/>
        </w:pict>
      </w:r>
      <w:r w:rsidRPr="005A6028" w:rsidR="00973BA1">
        <w:rPr>
          <w:rFonts w:cstheme="minorHAnsi"/>
          <w:szCs w:val="18"/>
        </w:rPr>
        <w:t>In formule:</w:t>
      </w:r>
    </w:p>
    <w:p w:rsidRPr="005A6028" w:rsidR="00973BA1" w:rsidP="00973BA1" w:rsidRDefault="00973BA1" w14:paraId="55243A03" w14:textId="77777777">
      <w:pPr>
        <w:rPr>
          <w:rFonts w:cstheme="minorHAnsi"/>
          <w:szCs w:val="18"/>
        </w:rPr>
      </w:pPr>
      <w:r w:rsidRPr="005A6028">
        <w:rPr>
          <w:rFonts w:cstheme="minorHAnsi"/>
          <w:szCs w:val="18"/>
        </w:rPr>
        <w:t>NP = Norm % x WML + Afbouw % x (INK -/- WML)</w:t>
      </w:r>
    </w:p>
    <w:p w:rsidRPr="005A6028" w:rsidR="00973BA1" w:rsidP="00973BA1" w:rsidRDefault="00973BA1" w14:paraId="69D25842" w14:textId="77777777">
      <w:pPr>
        <w:rPr>
          <w:rFonts w:cstheme="minorHAnsi"/>
          <w:szCs w:val="18"/>
        </w:rPr>
      </w:pPr>
      <w:r w:rsidRPr="005A6028">
        <w:rPr>
          <w:rFonts w:cstheme="minorHAnsi"/>
          <w:szCs w:val="18"/>
        </w:rPr>
        <w:t>Waarbij met deze afkortingen het volgende wordt bedoeld:</w:t>
      </w:r>
    </w:p>
    <w:p w:rsidRPr="005A6028" w:rsidR="00973BA1" w:rsidP="00973BA1" w:rsidRDefault="00973BA1" w14:paraId="4590CDA5" w14:textId="77777777">
      <w:pPr>
        <w:rPr>
          <w:rFonts w:cstheme="minorHAnsi"/>
          <w:szCs w:val="18"/>
        </w:rPr>
      </w:pPr>
      <w:r w:rsidRPr="005A6028">
        <w:rPr>
          <w:rFonts w:cstheme="minorHAnsi"/>
          <w:szCs w:val="18"/>
        </w:rPr>
        <w:t>NP = normpremie</w:t>
      </w:r>
    </w:p>
    <w:p w:rsidRPr="005A6028" w:rsidR="00973BA1" w:rsidP="00973BA1" w:rsidRDefault="00973BA1" w14:paraId="5F2DFB78" w14:textId="77777777">
      <w:pPr>
        <w:rPr>
          <w:rFonts w:cstheme="minorHAnsi"/>
          <w:szCs w:val="18"/>
        </w:rPr>
      </w:pPr>
      <w:r w:rsidRPr="005A6028">
        <w:rPr>
          <w:rFonts w:cstheme="minorHAnsi"/>
          <w:szCs w:val="18"/>
        </w:rPr>
        <w:t>INK = huishoudinkomen</w:t>
      </w:r>
    </w:p>
    <w:p w:rsidRPr="005A6028" w:rsidR="00973BA1" w:rsidP="00973BA1" w:rsidRDefault="00973BA1" w14:paraId="02152435" w14:textId="77777777">
      <w:pPr>
        <w:rPr>
          <w:rFonts w:cstheme="minorHAnsi"/>
          <w:szCs w:val="18"/>
        </w:rPr>
      </w:pPr>
      <w:r w:rsidRPr="005A6028">
        <w:rPr>
          <w:rFonts w:cstheme="minorHAnsi"/>
          <w:szCs w:val="18"/>
        </w:rPr>
        <w:t>WML = wettelijk minimumloon</w:t>
      </w:r>
    </w:p>
    <w:p w:rsidRPr="005A6028" w:rsidR="00973BA1" w:rsidP="00973BA1" w:rsidRDefault="00973BA1" w14:paraId="001AB12B" w14:textId="77777777">
      <w:pPr>
        <w:rPr>
          <w:rFonts w:cstheme="minorHAnsi"/>
          <w:szCs w:val="18"/>
        </w:rPr>
      </w:pPr>
      <w:r w:rsidRPr="005A6028">
        <w:rPr>
          <w:rFonts w:cstheme="minorHAnsi"/>
          <w:szCs w:val="18"/>
        </w:rPr>
        <w:t>Norm %=normpercentage</w:t>
      </w:r>
    </w:p>
    <w:p w:rsidRPr="005A6028" w:rsidR="00973BA1" w:rsidP="00973BA1" w:rsidRDefault="00973BA1" w14:paraId="1B0B5CAC" w14:textId="77777777">
      <w:pPr>
        <w:rPr>
          <w:rFonts w:cstheme="minorHAnsi"/>
          <w:szCs w:val="18"/>
        </w:rPr>
      </w:pPr>
      <w:r w:rsidRPr="005A6028">
        <w:rPr>
          <w:rFonts w:cstheme="minorHAnsi"/>
          <w:szCs w:val="18"/>
        </w:rPr>
        <w:t>Afbouw %=afbouwpercentage</w:t>
      </w:r>
    </w:p>
    <w:p w:rsidRPr="005A6028" w:rsidR="00973BA1" w:rsidP="00973BA1" w:rsidRDefault="00973BA1" w14:paraId="1DEEF6BE" w14:textId="77777777">
      <w:pPr>
        <w:rPr>
          <w:rFonts w:cstheme="minorHAnsi"/>
          <w:szCs w:val="18"/>
        </w:rPr>
      </w:pPr>
      <w:r w:rsidRPr="005A6028">
        <w:rPr>
          <w:rFonts w:cstheme="minorHAnsi"/>
          <w:szCs w:val="18"/>
        </w:rPr>
        <w:t>Indien de standaardpremie voor een verzekerde hoger is dan de normpremie, wordt het restant door een zorgtoeslag gecompenseerd. Indien de standaardpremie voor een zorgverzekering daarentegen minder bedraagt dan de normpremie, bestaat geen recht op een zorgtoeslag. Er wordt daarbij een onderscheid gemaakt tussen eenpersoonshuishoudens en meerpersoonshuishoudens; er gelden verschillende normpercentages en bij een meerpersoonshuishouden wordt de zorgtoeslag bepaald op tweemaal de standaardpremie minus de normpremie.</w:t>
      </w:r>
    </w:p>
    <w:p w:rsidRPr="005A6028" w:rsidR="00973BA1" w:rsidP="00973BA1" w:rsidRDefault="00973BA1" w14:paraId="737C8C72" w14:textId="77777777">
      <w:pPr>
        <w:rPr>
          <w:rFonts w:cstheme="minorHAnsi"/>
          <w:b/>
          <w:szCs w:val="18"/>
        </w:rPr>
      </w:pPr>
      <w:r w:rsidRPr="005A6028">
        <w:rPr>
          <w:rFonts w:cstheme="minorHAnsi"/>
          <w:b/>
          <w:szCs w:val="18"/>
        </w:rPr>
        <w:t xml:space="preserve">3. De aanpassing van de percentages voor de zorgtoeslag. </w:t>
      </w:r>
    </w:p>
    <w:p w:rsidRPr="005A6028" w:rsidR="00973BA1" w:rsidP="00973BA1" w:rsidRDefault="00973BA1" w14:paraId="0C24DED0" w14:textId="77777777">
      <w:pPr>
        <w:rPr>
          <w:rFonts w:cstheme="minorHAnsi"/>
          <w:i/>
          <w:szCs w:val="18"/>
        </w:rPr>
      </w:pPr>
      <w:r w:rsidRPr="005A6028">
        <w:rPr>
          <w:rFonts w:cstheme="minorHAnsi"/>
          <w:i/>
          <w:szCs w:val="18"/>
        </w:rPr>
        <w:t>Wijziging van de percentages bij algemene maatregel van bestuur</w:t>
      </w:r>
    </w:p>
    <w:p w:rsidRPr="005A6028" w:rsidR="00973BA1" w:rsidP="00973BA1" w:rsidRDefault="00973BA1" w14:paraId="7D848C87" w14:textId="77777777">
      <w:pPr>
        <w:rPr>
          <w:rFonts w:cstheme="minorHAnsi"/>
          <w:szCs w:val="18"/>
        </w:rPr>
      </w:pPr>
      <w:r w:rsidRPr="005A6028">
        <w:rPr>
          <w:rFonts w:cstheme="minorHAnsi"/>
          <w:szCs w:val="18"/>
        </w:rPr>
        <w:t xml:space="preserve">De Wzt (artikel 2, derde lid) bevat de geldende percentages voor het berekenen van de normpremie. De percentages kunnen op grond van artikel 2, derde lid, van de Wzt, bij algemene maatregel van bestuur worden gewijzigd. Dit gebeurt via het Besluit percentages drempel- en toetsingsinkomen. Dat besluit is enkele keren aangepast. De laatste keer is dat gebeurd in 2024 voor de structurele verhoging van de normpercentages vanaf het berekeningsjaar 2025. </w:t>
      </w:r>
    </w:p>
    <w:p w:rsidRPr="005A6028" w:rsidR="00973BA1" w:rsidP="00973BA1" w:rsidRDefault="00973BA1" w14:paraId="6110155F" w14:textId="77777777">
      <w:pPr>
        <w:rPr>
          <w:rFonts w:cstheme="minorHAnsi"/>
          <w:szCs w:val="18"/>
        </w:rPr>
      </w:pPr>
      <w:r w:rsidRPr="005A6028">
        <w:rPr>
          <w:rFonts w:cstheme="minorHAnsi"/>
          <w:szCs w:val="18"/>
        </w:rPr>
        <w:t xml:space="preserve">Het onderhavige besluit leidt met ingang van het berekeningsjaar 2026 tot een ophoging van de normpercentages volgens de onderstaande tabel. </w:t>
      </w:r>
    </w:p>
    <w:p w:rsidRPr="005A6028" w:rsidR="00973BA1" w:rsidP="00973BA1" w:rsidRDefault="00973BA1" w14:paraId="4110C0F1" w14:textId="77777777">
      <w:pPr>
        <w:rPr>
          <w:rFonts w:cstheme="minorHAnsi"/>
          <w:szCs w:val="18"/>
        </w:rPr>
      </w:pPr>
      <w:r w:rsidRPr="005A6028">
        <w:rPr>
          <w:rFonts w:cstheme="minorHAnsi"/>
          <w:szCs w:val="18"/>
        </w:rPr>
        <w:t>Tabel 1: Verhoging normpercentages</w:t>
      </w:r>
    </w:p>
    <w:tbl>
      <w:tblPr>
        <w:tblW w:w="7580" w:type="dxa"/>
        <w:tblCellMar>
          <w:left w:w="70" w:type="dxa"/>
          <w:right w:w="70" w:type="dxa"/>
        </w:tblCellMar>
        <w:tblLook w:val="04A0" w:firstRow="1" w:lastRow="0" w:firstColumn="1" w:lastColumn="0" w:noHBand="0" w:noVBand="1"/>
      </w:tblPr>
      <w:tblGrid>
        <w:gridCol w:w="1820"/>
        <w:gridCol w:w="1005"/>
        <w:gridCol w:w="1005"/>
        <w:gridCol w:w="1005"/>
        <w:gridCol w:w="1005"/>
        <w:gridCol w:w="1005"/>
        <w:gridCol w:w="1005"/>
      </w:tblGrid>
      <w:tr w:rsidRPr="005A6028" w:rsidR="00973BA1" w:rsidTr="00D7536E" w14:paraId="46FEEA26" w14:textId="77777777">
        <w:trPr>
          <w:trHeight w:val="290"/>
        </w:trPr>
        <w:tc>
          <w:tcPr>
            <w:tcW w:w="18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A6028" w:rsidR="00973BA1" w:rsidP="00D7536E" w:rsidRDefault="00973BA1" w14:paraId="3AC6B8D0" w14:textId="77777777">
            <w:pPr>
              <w:spacing w:after="0" w:line="240" w:lineRule="auto"/>
              <w:rPr>
                <w:rFonts w:eastAsia="Times New Roman" w:cstheme="minorHAnsi"/>
                <w:color w:val="000000"/>
                <w:szCs w:val="18"/>
                <w:lang w:eastAsia="nl-NL"/>
              </w:rPr>
            </w:pPr>
            <w:r w:rsidRPr="005A6028">
              <w:rPr>
                <w:rFonts w:eastAsia="Times New Roman" w:cstheme="minorHAnsi"/>
                <w:color w:val="000000"/>
                <w:szCs w:val="18"/>
                <w:lang w:eastAsia="nl-NL"/>
              </w:rPr>
              <w:t>Toeslagjaar</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5A6028" w:rsidR="00973BA1" w:rsidP="00D7536E" w:rsidRDefault="00973BA1" w14:paraId="74ACE68A" w14:textId="77777777">
            <w:pPr>
              <w:spacing w:after="0" w:line="240" w:lineRule="auto"/>
              <w:jc w:val="right"/>
              <w:rPr>
                <w:rFonts w:eastAsia="Times New Roman" w:cstheme="minorHAnsi"/>
                <w:color w:val="000000"/>
                <w:szCs w:val="18"/>
                <w:lang w:eastAsia="nl-NL"/>
              </w:rPr>
            </w:pPr>
            <w:r w:rsidRPr="005A6028">
              <w:rPr>
                <w:rFonts w:eastAsia="Times New Roman" w:cstheme="minorHAnsi"/>
                <w:color w:val="000000"/>
                <w:szCs w:val="18"/>
                <w:lang w:eastAsia="nl-NL"/>
              </w:rPr>
              <w:t>2026</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5A6028" w:rsidR="00973BA1" w:rsidP="00D7536E" w:rsidRDefault="00973BA1" w14:paraId="28153A50" w14:textId="77777777">
            <w:pPr>
              <w:spacing w:after="0" w:line="240" w:lineRule="auto"/>
              <w:jc w:val="right"/>
              <w:rPr>
                <w:rFonts w:eastAsia="Times New Roman" w:cstheme="minorHAnsi"/>
                <w:color w:val="000000"/>
                <w:szCs w:val="18"/>
                <w:lang w:eastAsia="nl-NL"/>
              </w:rPr>
            </w:pPr>
            <w:r w:rsidRPr="005A6028">
              <w:rPr>
                <w:rFonts w:eastAsia="Times New Roman" w:cstheme="minorHAnsi"/>
                <w:color w:val="000000"/>
                <w:szCs w:val="18"/>
                <w:lang w:eastAsia="nl-NL"/>
              </w:rPr>
              <w:t>2027</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5A6028" w:rsidR="00973BA1" w:rsidP="00D7536E" w:rsidRDefault="00973BA1" w14:paraId="516AE468" w14:textId="77777777">
            <w:pPr>
              <w:spacing w:after="0" w:line="240" w:lineRule="auto"/>
              <w:jc w:val="right"/>
              <w:rPr>
                <w:rFonts w:eastAsia="Times New Roman" w:cstheme="minorHAnsi"/>
                <w:color w:val="000000"/>
                <w:szCs w:val="18"/>
                <w:lang w:eastAsia="nl-NL"/>
              </w:rPr>
            </w:pPr>
            <w:r w:rsidRPr="005A6028">
              <w:rPr>
                <w:rFonts w:eastAsia="Times New Roman" w:cstheme="minorHAnsi"/>
                <w:color w:val="000000"/>
                <w:szCs w:val="18"/>
                <w:lang w:eastAsia="nl-NL"/>
              </w:rPr>
              <w:t>2028</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5A6028" w:rsidR="00973BA1" w:rsidP="00D7536E" w:rsidRDefault="00973BA1" w14:paraId="0CC93F5A" w14:textId="77777777">
            <w:pPr>
              <w:spacing w:after="0" w:line="240" w:lineRule="auto"/>
              <w:jc w:val="right"/>
              <w:rPr>
                <w:rFonts w:eastAsia="Times New Roman" w:cstheme="minorHAnsi"/>
                <w:color w:val="000000"/>
                <w:szCs w:val="18"/>
                <w:lang w:eastAsia="nl-NL"/>
              </w:rPr>
            </w:pPr>
            <w:r w:rsidRPr="005A6028">
              <w:rPr>
                <w:rFonts w:eastAsia="Times New Roman" w:cstheme="minorHAnsi"/>
                <w:color w:val="000000"/>
                <w:szCs w:val="18"/>
                <w:lang w:eastAsia="nl-NL"/>
              </w:rPr>
              <w:t>2029</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5A6028" w:rsidR="00973BA1" w:rsidP="00D7536E" w:rsidRDefault="00973BA1" w14:paraId="1F9023CF" w14:textId="77777777">
            <w:pPr>
              <w:spacing w:after="0" w:line="240" w:lineRule="auto"/>
              <w:jc w:val="right"/>
              <w:rPr>
                <w:rFonts w:eastAsia="Times New Roman" w:cstheme="minorHAnsi"/>
                <w:color w:val="000000"/>
                <w:szCs w:val="18"/>
                <w:lang w:eastAsia="nl-NL"/>
              </w:rPr>
            </w:pPr>
            <w:r w:rsidRPr="005A6028">
              <w:rPr>
                <w:rFonts w:eastAsia="Times New Roman" w:cstheme="minorHAnsi"/>
                <w:color w:val="000000"/>
                <w:szCs w:val="18"/>
                <w:lang w:eastAsia="nl-NL"/>
              </w:rPr>
              <w:t>2030</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5A6028" w:rsidR="00973BA1" w:rsidP="00D7536E" w:rsidRDefault="00973BA1" w14:paraId="77BA73F1" w14:textId="77777777">
            <w:pPr>
              <w:spacing w:after="0" w:line="240" w:lineRule="auto"/>
              <w:jc w:val="right"/>
              <w:rPr>
                <w:rFonts w:eastAsia="Times New Roman" w:cstheme="minorHAnsi"/>
                <w:color w:val="000000"/>
                <w:szCs w:val="18"/>
                <w:lang w:eastAsia="nl-NL"/>
              </w:rPr>
            </w:pPr>
            <w:r w:rsidRPr="005A6028">
              <w:rPr>
                <w:rFonts w:eastAsia="Times New Roman" w:cstheme="minorHAnsi"/>
                <w:color w:val="000000"/>
                <w:szCs w:val="18"/>
                <w:lang w:eastAsia="nl-NL"/>
              </w:rPr>
              <w:t>Struc</w:t>
            </w:r>
          </w:p>
        </w:tc>
      </w:tr>
      <w:tr w:rsidRPr="005A6028" w:rsidR="00973BA1" w:rsidTr="00D7536E" w14:paraId="30A4C82C" w14:textId="77777777">
        <w:trPr>
          <w:trHeight w:val="580"/>
        </w:trPr>
        <w:tc>
          <w:tcPr>
            <w:tcW w:w="1820" w:type="dxa"/>
            <w:tcBorders>
              <w:top w:val="nil"/>
              <w:left w:val="single" w:color="auto" w:sz="4" w:space="0"/>
              <w:bottom w:val="single" w:color="auto" w:sz="4" w:space="0"/>
              <w:right w:val="single" w:color="auto" w:sz="4" w:space="0"/>
            </w:tcBorders>
            <w:shd w:val="clear" w:color="auto" w:fill="auto"/>
            <w:vAlign w:val="bottom"/>
            <w:hideMark/>
          </w:tcPr>
          <w:p w:rsidRPr="005A6028" w:rsidR="00973BA1" w:rsidP="00D7536E" w:rsidRDefault="00973BA1" w14:paraId="3C69888D" w14:textId="77777777">
            <w:pPr>
              <w:spacing w:after="0" w:line="240" w:lineRule="auto"/>
              <w:rPr>
                <w:rFonts w:eastAsia="Times New Roman" w:cstheme="minorHAnsi"/>
                <w:color w:val="000000"/>
                <w:szCs w:val="18"/>
                <w:lang w:eastAsia="nl-NL"/>
              </w:rPr>
            </w:pPr>
            <w:r w:rsidRPr="005A6028">
              <w:rPr>
                <w:rFonts w:eastAsia="Times New Roman" w:cstheme="minorHAnsi"/>
                <w:color w:val="000000"/>
                <w:szCs w:val="18"/>
                <w:lang w:eastAsia="nl-NL"/>
              </w:rPr>
              <w:t>Verhoging normpercentages</w:t>
            </w:r>
          </w:p>
        </w:tc>
        <w:tc>
          <w:tcPr>
            <w:tcW w:w="960" w:type="dxa"/>
            <w:tcBorders>
              <w:top w:val="nil"/>
              <w:left w:val="nil"/>
              <w:bottom w:val="single" w:color="auto" w:sz="4" w:space="0"/>
              <w:right w:val="single" w:color="auto" w:sz="4" w:space="0"/>
            </w:tcBorders>
            <w:shd w:val="clear" w:color="auto" w:fill="auto"/>
            <w:noWrap/>
            <w:vAlign w:val="bottom"/>
            <w:hideMark/>
          </w:tcPr>
          <w:p w:rsidRPr="005A6028" w:rsidR="00973BA1" w:rsidP="00D7536E" w:rsidRDefault="00973BA1" w14:paraId="37A84D69" w14:textId="77777777">
            <w:pPr>
              <w:spacing w:after="0" w:line="240" w:lineRule="auto"/>
              <w:jc w:val="right"/>
              <w:rPr>
                <w:rFonts w:eastAsia="Times New Roman" w:cstheme="minorHAnsi"/>
                <w:color w:val="000000"/>
                <w:szCs w:val="18"/>
                <w:lang w:eastAsia="nl-NL"/>
              </w:rPr>
            </w:pPr>
            <w:r w:rsidRPr="005A6028">
              <w:rPr>
                <w:rFonts w:eastAsia="Times New Roman" w:cstheme="minorHAnsi"/>
                <w:color w:val="000000"/>
                <w:szCs w:val="18"/>
                <w:lang w:eastAsia="nl-NL"/>
              </w:rPr>
              <w:t>+0,001%</w:t>
            </w:r>
          </w:p>
        </w:tc>
        <w:tc>
          <w:tcPr>
            <w:tcW w:w="960" w:type="dxa"/>
            <w:tcBorders>
              <w:top w:val="nil"/>
              <w:left w:val="nil"/>
              <w:bottom w:val="single" w:color="auto" w:sz="4" w:space="0"/>
              <w:right w:val="single" w:color="auto" w:sz="4" w:space="0"/>
            </w:tcBorders>
            <w:shd w:val="clear" w:color="auto" w:fill="auto"/>
            <w:noWrap/>
            <w:vAlign w:val="bottom"/>
            <w:hideMark/>
          </w:tcPr>
          <w:p w:rsidRPr="005A6028" w:rsidR="00973BA1" w:rsidP="00D7536E" w:rsidRDefault="00973BA1" w14:paraId="4EAE73DC" w14:textId="77777777">
            <w:pPr>
              <w:spacing w:after="0" w:line="240" w:lineRule="auto"/>
              <w:jc w:val="right"/>
              <w:rPr>
                <w:rFonts w:eastAsia="Times New Roman" w:cstheme="minorHAnsi"/>
                <w:color w:val="000000"/>
                <w:szCs w:val="18"/>
                <w:lang w:eastAsia="nl-NL"/>
              </w:rPr>
            </w:pPr>
            <w:r w:rsidRPr="005A6028">
              <w:rPr>
                <w:rFonts w:eastAsia="Times New Roman" w:cstheme="minorHAnsi"/>
                <w:color w:val="000000"/>
                <w:szCs w:val="18"/>
                <w:lang w:eastAsia="nl-NL"/>
              </w:rPr>
              <w:t>+0,004%</w:t>
            </w:r>
          </w:p>
        </w:tc>
        <w:tc>
          <w:tcPr>
            <w:tcW w:w="960" w:type="dxa"/>
            <w:tcBorders>
              <w:top w:val="nil"/>
              <w:left w:val="nil"/>
              <w:bottom w:val="single" w:color="auto" w:sz="4" w:space="0"/>
              <w:right w:val="single" w:color="auto" w:sz="4" w:space="0"/>
            </w:tcBorders>
            <w:shd w:val="clear" w:color="auto" w:fill="auto"/>
            <w:noWrap/>
            <w:vAlign w:val="bottom"/>
            <w:hideMark/>
          </w:tcPr>
          <w:p w:rsidRPr="005A6028" w:rsidR="00973BA1" w:rsidP="00D7536E" w:rsidRDefault="00973BA1" w14:paraId="159F9A0A" w14:textId="77777777">
            <w:pPr>
              <w:spacing w:after="0" w:line="240" w:lineRule="auto"/>
              <w:jc w:val="right"/>
              <w:rPr>
                <w:rFonts w:eastAsia="Times New Roman" w:cstheme="minorHAnsi"/>
                <w:color w:val="000000"/>
                <w:szCs w:val="18"/>
                <w:lang w:eastAsia="nl-NL"/>
              </w:rPr>
            </w:pPr>
            <w:r w:rsidRPr="005A6028">
              <w:rPr>
                <w:rFonts w:eastAsia="Times New Roman" w:cstheme="minorHAnsi"/>
                <w:color w:val="000000"/>
                <w:szCs w:val="18"/>
                <w:lang w:eastAsia="nl-NL"/>
              </w:rPr>
              <w:t>+0,005%</w:t>
            </w:r>
          </w:p>
        </w:tc>
        <w:tc>
          <w:tcPr>
            <w:tcW w:w="960" w:type="dxa"/>
            <w:tcBorders>
              <w:top w:val="nil"/>
              <w:left w:val="nil"/>
              <w:bottom w:val="single" w:color="auto" w:sz="4" w:space="0"/>
              <w:right w:val="single" w:color="auto" w:sz="4" w:space="0"/>
            </w:tcBorders>
            <w:shd w:val="clear" w:color="auto" w:fill="auto"/>
            <w:noWrap/>
            <w:vAlign w:val="bottom"/>
            <w:hideMark/>
          </w:tcPr>
          <w:p w:rsidRPr="005A6028" w:rsidR="00973BA1" w:rsidP="00D7536E" w:rsidRDefault="00973BA1" w14:paraId="26E52051" w14:textId="77777777">
            <w:pPr>
              <w:spacing w:after="0" w:line="240" w:lineRule="auto"/>
              <w:jc w:val="right"/>
              <w:rPr>
                <w:rFonts w:eastAsia="Times New Roman" w:cstheme="minorHAnsi"/>
                <w:color w:val="000000"/>
                <w:szCs w:val="18"/>
                <w:lang w:eastAsia="nl-NL"/>
              </w:rPr>
            </w:pPr>
            <w:r w:rsidRPr="005A6028">
              <w:rPr>
                <w:rFonts w:eastAsia="Times New Roman" w:cstheme="minorHAnsi"/>
                <w:color w:val="000000"/>
                <w:szCs w:val="18"/>
                <w:lang w:eastAsia="nl-NL"/>
              </w:rPr>
              <w:t>+0,004%</w:t>
            </w:r>
          </w:p>
        </w:tc>
        <w:tc>
          <w:tcPr>
            <w:tcW w:w="960" w:type="dxa"/>
            <w:tcBorders>
              <w:top w:val="nil"/>
              <w:left w:val="nil"/>
              <w:bottom w:val="single" w:color="auto" w:sz="4" w:space="0"/>
              <w:right w:val="single" w:color="auto" w:sz="4" w:space="0"/>
            </w:tcBorders>
            <w:shd w:val="clear" w:color="auto" w:fill="auto"/>
            <w:noWrap/>
            <w:vAlign w:val="bottom"/>
            <w:hideMark/>
          </w:tcPr>
          <w:p w:rsidRPr="005A6028" w:rsidR="00973BA1" w:rsidP="00D7536E" w:rsidRDefault="00973BA1" w14:paraId="3F157D1F" w14:textId="77777777">
            <w:pPr>
              <w:spacing w:after="0" w:line="240" w:lineRule="auto"/>
              <w:jc w:val="right"/>
              <w:rPr>
                <w:rFonts w:eastAsia="Times New Roman" w:cstheme="minorHAnsi"/>
                <w:color w:val="000000"/>
                <w:szCs w:val="18"/>
                <w:lang w:eastAsia="nl-NL"/>
              </w:rPr>
            </w:pPr>
            <w:r w:rsidRPr="005A6028">
              <w:rPr>
                <w:rFonts w:eastAsia="Times New Roman" w:cstheme="minorHAnsi"/>
                <w:color w:val="000000"/>
                <w:szCs w:val="18"/>
                <w:lang w:eastAsia="nl-NL"/>
              </w:rPr>
              <w:t>+0,004%</w:t>
            </w:r>
          </w:p>
        </w:tc>
        <w:tc>
          <w:tcPr>
            <w:tcW w:w="960" w:type="dxa"/>
            <w:tcBorders>
              <w:top w:val="nil"/>
              <w:left w:val="nil"/>
              <w:bottom w:val="single" w:color="auto" w:sz="4" w:space="0"/>
              <w:right w:val="single" w:color="auto" w:sz="4" w:space="0"/>
            </w:tcBorders>
            <w:shd w:val="clear" w:color="auto" w:fill="auto"/>
            <w:noWrap/>
            <w:vAlign w:val="bottom"/>
            <w:hideMark/>
          </w:tcPr>
          <w:p w:rsidRPr="005A6028" w:rsidR="00973BA1" w:rsidP="00D7536E" w:rsidRDefault="00973BA1" w14:paraId="366DE2DB" w14:textId="77777777">
            <w:pPr>
              <w:spacing w:after="0" w:line="240" w:lineRule="auto"/>
              <w:jc w:val="right"/>
              <w:rPr>
                <w:rFonts w:eastAsia="Times New Roman" w:cstheme="minorHAnsi"/>
                <w:color w:val="000000"/>
                <w:szCs w:val="18"/>
                <w:lang w:eastAsia="nl-NL"/>
              </w:rPr>
            </w:pPr>
            <w:r w:rsidRPr="005A6028">
              <w:rPr>
                <w:rFonts w:eastAsia="Times New Roman" w:cstheme="minorHAnsi"/>
                <w:color w:val="000000"/>
                <w:szCs w:val="18"/>
                <w:lang w:eastAsia="nl-NL"/>
              </w:rPr>
              <w:t>+0,004%</w:t>
            </w:r>
          </w:p>
        </w:tc>
      </w:tr>
    </w:tbl>
    <w:p w:rsidRPr="005A6028" w:rsidR="00973BA1" w:rsidP="00973BA1" w:rsidRDefault="00973BA1" w14:paraId="3CA006F1" w14:textId="77777777">
      <w:pPr>
        <w:rPr>
          <w:rFonts w:cstheme="minorHAnsi"/>
          <w:szCs w:val="18"/>
        </w:rPr>
      </w:pPr>
    </w:p>
    <w:p w:rsidRPr="005A6028" w:rsidR="00973BA1" w:rsidP="00973BA1" w:rsidRDefault="00973BA1" w14:paraId="623725EA" w14:textId="77777777">
      <w:pPr>
        <w:rPr>
          <w:rFonts w:cstheme="minorHAnsi"/>
          <w:i/>
          <w:szCs w:val="18"/>
        </w:rPr>
      </w:pPr>
      <w:r w:rsidRPr="005A6028">
        <w:rPr>
          <w:rFonts w:cstheme="minorHAnsi"/>
          <w:szCs w:val="18"/>
        </w:rPr>
        <w:lastRenderedPageBreak/>
        <w:t>De hogere normpercentages vanaf het berekeningsjaar 2026 leiden tot een lagere zorgtoeslag. In hoofdstuk 2 van het algemeen deel van deze nota van toelichting is toegelicht dat een lager normpercentage leidt tot een hogere zorgtoeslag en een hoger normpercentage tot een lagere zorgtoeslag.</w:t>
      </w:r>
    </w:p>
    <w:p w:rsidRPr="005A6028" w:rsidR="00973BA1" w:rsidP="00973BA1" w:rsidRDefault="00973BA1" w14:paraId="78B65E17" w14:textId="77777777">
      <w:pPr>
        <w:rPr>
          <w:rFonts w:cstheme="minorHAnsi"/>
          <w:i/>
          <w:szCs w:val="18"/>
        </w:rPr>
      </w:pPr>
      <w:r w:rsidRPr="005A6028">
        <w:rPr>
          <w:rFonts w:cstheme="minorHAnsi"/>
          <w:i/>
          <w:szCs w:val="18"/>
        </w:rPr>
        <w:t>De resulterende percentages</w:t>
      </w:r>
    </w:p>
    <w:p w:rsidRPr="005A6028" w:rsidR="00973BA1" w:rsidP="00973BA1" w:rsidRDefault="00973BA1" w14:paraId="0744A1A1" w14:textId="77777777">
      <w:pPr>
        <w:rPr>
          <w:rFonts w:cstheme="minorHAnsi"/>
          <w:szCs w:val="18"/>
        </w:rPr>
      </w:pPr>
      <w:r w:rsidRPr="005A6028">
        <w:rPr>
          <w:rFonts w:cstheme="minorHAnsi"/>
          <w:szCs w:val="18"/>
        </w:rPr>
        <w:t>De onderstaande tabel bevat de drie percentages die de hoogte van de zorgtoeslag bepalen, en die op basis van dit besluit gelden. Daarbij wordt aangegeven in welke mate de percentages wijzigen op grond van dit besluit en op grond van eerdere besluiten. De percentages voor 2025 veranderen niet door dit besluit. Om te zien hoe het percentage zich van 2025 op 2026 ontwikkelt, is ook het cijfer 2025 opgenomen.</w:t>
      </w:r>
    </w:p>
    <w:p w:rsidRPr="005A6028" w:rsidR="00973BA1" w:rsidP="00973BA1" w:rsidRDefault="00973BA1" w14:paraId="6EF947F8" w14:textId="77777777">
      <w:pPr>
        <w:rPr>
          <w:rFonts w:cstheme="minorHAnsi"/>
          <w:szCs w:val="18"/>
        </w:rPr>
      </w:pPr>
      <w:r w:rsidRPr="005A6028">
        <w:rPr>
          <w:rFonts w:cstheme="minorHAnsi"/>
          <w:szCs w:val="18"/>
        </w:rPr>
        <w:t>Tabel 2: Bijstelling percentages</w:t>
      </w:r>
    </w:p>
    <w:tbl>
      <w:tblPr>
        <w:tblW w:w="7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53"/>
        <w:gridCol w:w="839"/>
        <w:gridCol w:w="839"/>
        <w:gridCol w:w="839"/>
        <w:gridCol w:w="839"/>
        <w:gridCol w:w="839"/>
        <w:gridCol w:w="839"/>
        <w:gridCol w:w="839"/>
      </w:tblGrid>
      <w:tr w:rsidRPr="005A6028" w:rsidR="00973BA1" w:rsidTr="00D7536E" w14:paraId="5AF6C63B" w14:textId="77777777">
        <w:tc>
          <w:tcPr>
            <w:tcW w:w="2053" w:type="dxa"/>
          </w:tcPr>
          <w:p w:rsidRPr="005A6028" w:rsidR="00973BA1" w:rsidP="00D7536E" w:rsidRDefault="00973BA1" w14:paraId="6C4AF4EB" w14:textId="77777777">
            <w:pPr>
              <w:rPr>
                <w:rFonts w:cstheme="minorHAnsi"/>
                <w:szCs w:val="18"/>
              </w:rPr>
            </w:pPr>
          </w:p>
        </w:tc>
        <w:tc>
          <w:tcPr>
            <w:tcW w:w="839" w:type="dxa"/>
          </w:tcPr>
          <w:p w:rsidRPr="005A6028" w:rsidR="00973BA1" w:rsidP="00D7536E" w:rsidRDefault="00973BA1" w14:paraId="12A2D715" w14:textId="77777777">
            <w:pPr>
              <w:jc w:val="right"/>
              <w:rPr>
                <w:rFonts w:cstheme="minorHAnsi"/>
                <w:szCs w:val="18"/>
              </w:rPr>
            </w:pPr>
            <w:r w:rsidRPr="005A6028">
              <w:rPr>
                <w:rFonts w:cstheme="minorHAnsi"/>
                <w:szCs w:val="18"/>
              </w:rPr>
              <w:t>2025</w:t>
            </w:r>
          </w:p>
        </w:tc>
        <w:tc>
          <w:tcPr>
            <w:tcW w:w="839" w:type="dxa"/>
          </w:tcPr>
          <w:p w:rsidRPr="005A6028" w:rsidR="00973BA1" w:rsidP="00D7536E" w:rsidRDefault="00973BA1" w14:paraId="0C21EFEA" w14:textId="77777777">
            <w:pPr>
              <w:jc w:val="right"/>
              <w:rPr>
                <w:rFonts w:cstheme="minorHAnsi"/>
                <w:szCs w:val="18"/>
              </w:rPr>
            </w:pPr>
            <w:r w:rsidRPr="005A6028">
              <w:rPr>
                <w:rFonts w:cstheme="minorHAnsi"/>
                <w:szCs w:val="18"/>
              </w:rPr>
              <w:t>2026</w:t>
            </w:r>
          </w:p>
        </w:tc>
        <w:tc>
          <w:tcPr>
            <w:tcW w:w="839" w:type="dxa"/>
          </w:tcPr>
          <w:p w:rsidRPr="005A6028" w:rsidR="00973BA1" w:rsidP="00D7536E" w:rsidRDefault="00973BA1" w14:paraId="0CFD88BA" w14:textId="77777777">
            <w:pPr>
              <w:jc w:val="right"/>
              <w:rPr>
                <w:rFonts w:cstheme="minorHAnsi"/>
                <w:szCs w:val="18"/>
              </w:rPr>
            </w:pPr>
            <w:r w:rsidRPr="005A6028">
              <w:rPr>
                <w:rFonts w:cstheme="minorHAnsi"/>
                <w:szCs w:val="18"/>
              </w:rPr>
              <w:t>2027</w:t>
            </w:r>
          </w:p>
        </w:tc>
        <w:tc>
          <w:tcPr>
            <w:tcW w:w="839" w:type="dxa"/>
          </w:tcPr>
          <w:p w:rsidRPr="005A6028" w:rsidR="00973BA1" w:rsidP="00D7536E" w:rsidRDefault="00973BA1" w14:paraId="7572FB31" w14:textId="77777777">
            <w:pPr>
              <w:jc w:val="right"/>
              <w:rPr>
                <w:rFonts w:cstheme="minorHAnsi"/>
                <w:szCs w:val="18"/>
              </w:rPr>
            </w:pPr>
            <w:r w:rsidRPr="005A6028">
              <w:rPr>
                <w:rFonts w:cstheme="minorHAnsi"/>
                <w:szCs w:val="18"/>
              </w:rPr>
              <w:t>2028</w:t>
            </w:r>
          </w:p>
        </w:tc>
        <w:tc>
          <w:tcPr>
            <w:tcW w:w="839" w:type="dxa"/>
          </w:tcPr>
          <w:p w:rsidRPr="005A6028" w:rsidR="00973BA1" w:rsidP="00D7536E" w:rsidRDefault="00973BA1" w14:paraId="571B8CC5" w14:textId="77777777">
            <w:pPr>
              <w:jc w:val="right"/>
              <w:rPr>
                <w:rFonts w:cstheme="minorHAnsi"/>
                <w:szCs w:val="18"/>
              </w:rPr>
            </w:pPr>
            <w:r w:rsidRPr="005A6028">
              <w:rPr>
                <w:rFonts w:cstheme="minorHAnsi"/>
                <w:szCs w:val="18"/>
              </w:rPr>
              <w:t>2029</w:t>
            </w:r>
          </w:p>
        </w:tc>
        <w:tc>
          <w:tcPr>
            <w:tcW w:w="839" w:type="dxa"/>
          </w:tcPr>
          <w:p w:rsidRPr="005A6028" w:rsidR="00973BA1" w:rsidP="00D7536E" w:rsidRDefault="00973BA1" w14:paraId="56F45913" w14:textId="77777777">
            <w:pPr>
              <w:jc w:val="right"/>
              <w:rPr>
                <w:rFonts w:cstheme="minorHAnsi"/>
                <w:szCs w:val="18"/>
              </w:rPr>
            </w:pPr>
            <w:r w:rsidRPr="005A6028">
              <w:rPr>
                <w:rFonts w:cstheme="minorHAnsi"/>
                <w:szCs w:val="18"/>
              </w:rPr>
              <w:t>2030</w:t>
            </w:r>
          </w:p>
        </w:tc>
        <w:tc>
          <w:tcPr>
            <w:tcW w:w="839" w:type="dxa"/>
          </w:tcPr>
          <w:p w:rsidRPr="005A6028" w:rsidR="00973BA1" w:rsidP="00D7536E" w:rsidRDefault="00973BA1" w14:paraId="770A233D" w14:textId="77777777">
            <w:pPr>
              <w:jc w:val="right"/>
              <w:rPr>
                <w:rFonts w:cstheme="minorHAnsi"/>
                <w:szCs w:val="18"/>
              </w:rPr>
            </w:pPr>
            <w:r w:rsidRPr="005A6028">
              <w:rPr>
                <w:rFonts w:cstheme="minorHAnsi"/>
                <w:szCs w:val="18"/>
              </w:rPr>
              <w:t>2040</w:t>
            </w:r>
          </w:p>
        </w:tc>
      </w:tr>
      <w:tr w:rsidRPr="005A6028" w:rsidR="00973BA1" w:rsidTr="00D7536E" w14:paraId="7824FF8E" w14:textId="77777777">
        <w:tc>
          <w:tcPr>
            <w:tcW w:w="2053" w:type="dxa"/>
          </w:tcPr>
          <w:p w:rsidRPr="005A6028" w:rsidR="00973BA1" w:rsidP="00D7536E" w:rsidRDefault="00973BA1" w14:paraId="481FB500" w14:textId="77777777">
            <w:pPr>
              <w:rPr>
                <w:rFonts w:cstheme="minorHAnsi"/>
                <w:szCs w:val="18"/>
              </w:rPr>
            </w:pPr>
            <w:r w:rsidRPr="005A6028">
              <w:rPr>
                <w:rFonts w:cstheme="minorHAnsi"/>
                <w:szCs w:val="18"/>
              </w:rPr>
              <w:t>Normpercentage eenpersoonshuishoudens</w:t>
            </w:r>
          </w:p>
        </w:tc>
        <w:tc>
          <w:tcPr>
            <w:tcW w:w="839" w:type="dxa"/>
          </w:tcPr>
          <w:p w:rsidRPr="005A6028" w:rsidR="00973BA1" w:rsidP="00D7536E" w:rsidRDefault="00973BA1" w14:paraId="036FAC9A" w14:textId="77777777">
            <w:pPr>
              <w:jc w:val="right"/>
              <w:rPr>
                <w:rFonts w:cstheme="minorHAnsi"/>
                <w:szCs w:val="18"/>
              </w:rPr>
            </w:pPr>
          </w:p>
        </w:tc>
        <w:tc>
          <w:tcPr>
            <w:tcW w:w="839" w:type="dxa"/>
          </w:tcPr>
          <w:p w:rsidRPr="005A6028" w:rsidR="00973BA1" w:rsidP="00D7536E" w:rsidRDefault="00973BA1" w14:paraId="6E3D3D20" w14:textId="77777777">
            <w:pPr>
              <w:jc w:val="right"/>
              <w:rPr>
                <w:rFonts w:cstheme="minorHAnsi"/>
                <w:szCs w:val="18"/>
              </w:rPr>
            </w:pPr>
          </w:p>
        </w:tc>
        <w:tc>
          <w:tcPr>
            <w:tcW w:w="839" w:type="dxa"/>
          </w:tcPr>
          <w:p w:rsidRPr="005A6028" w:rsidR="00973BA1" w:rsidP="00D7536E" w:rsidRDefault="00973BA1" w14:paraId="3E5EE2C5" w14:textId="77777777">
            <w:pPr>
              <w:jc w:val="right"/>
              <w:rPr>
                <w:rFonts w:cstheme="minorHAnsi"/>
                <w:szCs w:val="18"/>
              </w:rPr>
            </w:pPr>
          </w:p>
        </w:tc>
        <w:tc>
          <w:tcPr>
            <w:tcW w:w="839" w:type="dxa"/>
          </w:tcPr>
          <w:p w:rsidRPr="005A6028" w:rsidR="00973BA1" w:rsidP="00D7536E" w:rsidRDefault="00973BA1" w14:paraId="592E7A01" w14:textId="77777777">
            <w:pPr>
              <w:jc w:val="right"/>
              <w:rPr>
                <w:rFonts w:cstheme="minorHAnsi"/>
                <w:szCs w:val="18"/>
              </w:rPr>
            </w:pPr>
          </w:p>
        </w:tc>
        <w:tc>
          <w:tcPr>
            <w:tcW w:w="839" w:type="dxa"/>
          </w:tcPr>
          <w:p w:rsidRPr="005A6028" w:rsidR="00973BA1" w:rsidP="00D7536E" w:rsidRDefault="00973BA1" w14:paraId="670B5B6B" w14:textId="77777777">
            <w:pPr>
              <w:jc w:val="right"/>
              <w:rPr>
                <w:rFonts w:cstheme="minorHAnsi"/>
                <w:szCs w:val="18"/>
              </w:rPr>
            </w:pPr>
          </w:p>
        </w:tc>
        <w:tc>
          <w:tcPr>
            <w:tcW w:w="839" w:type="dxa"/>
          </w:tcPr>
          <w:p w:rsidRPr="005A6028" w:rsidR="00973BA1" w:rsidP="00D7536E" w:rsidRDefault="00973BA1" w14:paraId="39BEF6A8" w14:textId="77777777">
            <w:pPr>
              <w:jc w:val="right"/>
              <w:rPr>
                <w:rFonts w:cstheme="minorHAnsi"/>
                <w:szCs w:val="18"/>
              </w:rPr>
            </w:pPr>
          </w:p>
        </w:tc>
        <w:tc>
          <w:tcPr>
            <w:tcW w:w="839" w:type="dxa"/>
          </w:tcPr>
          <w:p w:rsidRPr="005A6028" w:rsidR="00973BA1" w:rsidP="00D7536E" w:rsidRDefault="00973BA1" w14:paraId="6E095C40" w14:textId="77777777">
            <w:pPr>
              <w:jc w:val="right"/>
              <w:rPr>
                <w:rFonts w:cstheme="minorHAnsi"/>
                <w:szCs w:val="18"/>
              </w:rPr>
            </w:pPr>
          </w:p>
        </w:tc>
      </w:tr>
      <w:tr w:rsidRPr="005A6028" w:rsidR="00973BA1" w:rsidTr="00D7536E" w14:paraId="0ECD7435" w14:textId="77777777">
        <w:tc>
          <w:tcPr>
            <w:tcW w:w="2053" w:type="dxa"/>
          </w:tcPr>
          <w:p w:rsidRPr="005A6028" w:rsidR="00973BA1" w:rsidP="00D7536E" w:rsidRDefault="00973BA1" w14:paraId="3E6CD19D" w14:textId="77777777">
            <w:pPr>
              <w:pStyle w:val="Lijstalinea"/>
              <w:numPr>
                <w:ilvl w:val="0"/>
                <w:numId w:val="1"/>
              </w:numPr>
              <w:rPr>
                <w:rFonts w:cstheme="minorHAnsi"/>
              </w:rPr>
            </w:pPr>
            <w:r w:rsidRPr="005A6028">
              <w:rPr>
                <w:rFonts w:cstheme="minorHAnsi"/>
              </w:rPr>
              <w:t>Na vorige wijziging</w:t>
            </w:r>
          </w:p>
        </w:tc>
        <w:tc>
          <w:tcPr>
            <w:tcW w:w="839" w:type="dxa"/>
          </w:tcPr>
          <w:p w:rsidRPr="005A6028" w:rsidR="00973BA1" w:rsidP="00D7536E" w:rsidRDefault="00973BA1" w14:paraId="6FB24495" w14:textId="77777777">
            <w:pPr>
              <w:jc w:val="right"/>
              <w:rPr>
                <w:rFonts w:cstheme="minorHAnsi"/>
                <w:szCs w:val="18"/>
              </w:rPr>
            </w:pPr>
            <w:r w:rsidRPr="005A6028">
              <w:rPr>
                <w:rFonts w:cstheme="minorHAnsi"/>
                <w:szCs w:val="18"/>
              </w:rPr>
              <w:t>1,896%</w:t>
            </w:r>
          </w:p>
        </w:tc>
        <w:tc>
          <w:tcPr>
            <w:tcW w:w="839" w:type="dxa"/>
          </w:tcPr>
          <w:p w:rsidRPr="005A6028" w:rsidR="00973BA1" w:rsidP="00D7536E" w:rsidRDefault="00973BA1" w14:paraId="24FDEC16" w14:textId="77777777">
            <w:pPr>
              <w:jc w:val="right"/>
              <w:rPr>
                <w:rFonts w:cstheme="minorHAnsi"/>
                <w:szCs w:val="18"/>
              </w:rPr>
            </w:pPr>
            <w:r w:rsidRPr="005A6028">
              <w:rPr>
                <w:rFonts w:cstheme="minorHAnsi"/>
                <w:szCs w:val="18"/>
              </w:rPr>
              <w:t>1,911%</w:t>
            </w:r>
          </w:p>
        </w:tc>
        <w:tc>
          <w:tcPr>
            <w:tcW w:w="839" w:type="dxa"/>
          </w:tcPr>
          <w:p w:rsidRPr="005A6028" w:rsidR="00973BA1" w:rsidP="00D7536E" w:rsidRDefault="00973BA1" w14:paraId="3C56C775" w14:textId="77777777">
            <w:pPr>
              <w:jc w:val="right"/>
              <w:rPr>
                <w:rFonts w:cstheme="minorHAnsi"/>
                <w:szCs w:val="18"/>
              </w:rPr>
            </w:pPr>
            <w:r w:rsidRPr="005A6028">
              <w:rPr>
                <w:rFonts w:cstheme="minorHAnsi"/>
                <w:szCs w:val="18"/>
              </w:rPr>
              <w:t>1,926%</w:t>
            </w:r>
          </w:p>
        </w:tc>
        <w:tc>
          <w:tcPr>
            <w:tcW w:w="839" w:type="dxa"/>
          </w:tcPr>
          <w:p w:rsidRPr="005A6028" w:rsidR="00973BA1" w:rsidP="00D7536E" w:rsidRDefault="00973BA1" w14:paraId="682EA792" w14:textId="77777777">
            <w:pPr>
              <w:jc w:val="right"/>
              <w:rPr>
                <w:rFonts w:cstheme="minorHAnsi"/>
                <w:szCs w:val="18"/>
              </w:rPr>
            </w:pPr>
            <w:r w:rsidRPr="005A6028">
              <w:rPr>
                <w:rFonts w:cstheme="minorHAnsi"/>
                <w:szCs w:val="18"/>
              </w:rPr>
              <w:t>1,941%</w:t>
            </w:r>
          </w:p>
        </w:tc>
        <w:tc>
          <w:tcPr>
            <w:tcW w:w="839" w:type="dxa"/>
          </w:tcPr>
          <w:p w:rsidRPr="005A6028" w:rsidR="00973BA1" w:rsidP="00D7536E" w:rsidRDefault="00973BA1" w14:paraId="60DF8499" w14:textId="77777777">
            <w:pPr>
              <w:jc w:val="right"/>
              <w:rPr>
                <w:rFonts w:cstheme="minorHAnsi"/>
                <w:szCs w:val="18"/>
              </w:rPr>
            </w:pPr>
            <w:r w:rsidRPr="005A6028">
              <w:rPr>
                <w:rFonts w:cstheme="minorHAnsi"/>
                <w:szCs w:val="18"/>
              </w:rPr>
              <w:t>1,956%</w:t>
            </w:r>
          </w:p>
        </w:tc>
        <w:tc>
          <w:tcPr>
            <w:tcW w:w="839" w:type="dxa"/>
          </w:tcPr>
          <w:p w:rsidRPr="005A6028" w:rsidR="00973BA1" w:rsidP="00D7536E" w:rsidRDefault="00973BA1" w14:paraId="79EEC562" w14:textId="77777777">
            <w:pPr>
              <w:jc w:val="right"/>
              <w:rPr>
                <w:rFonts w:cstheme="minorHAnsi"/>
                <w:szCs w:val="18"/>
              </w:rPr>
            </w:pPr>
            <w:r w:rsidRPr="005A6028">
              <w:rPr>
                <w:rFonts w:cstheme="minorHAnsi"/>
                <w:szCs w:val="18"/>
              </w:rPr>
              <w:t>1,971%</w:t>
            </w:r>
          </w:p>
        </w:tc>
        <w:tc>
          <w:tcPr>
            <w:tcW w:w="839" w:type="dxa"/>
          </w:tcPr>
          <w:p w:rsidRPr="005A6028" w:rsidR="00973BA1" w:rsidP="00D7536E" w:rsidRDefault="00973BA1" w14:paraId="58173EB4" w14:textId="77777777">
            <w:pPr>
              <w:jc w:val="right"/>
              <w:rPr>
                <w:rFonts w:cstheme="minorHAnsi"/>
                <w:szCs w:val="18"/>
              </w:rPr>
            </w:pPr>
            <w:r w:rsidRPr="005A6028">
              <w:rPr>
                <w:rFonts w:cstheme="minorHAnsi"/>
                <w:szCs w:val="18"/>
              </w:rPr>
              <w:t>2,121%</w:t>
            </w:r>
          </w:p>
        </w:tc>
      </w:tr>
      <w:tr w:rsidRPr="005A6028" w:rsidR="00973BA1" w:rsidTr="00D7536E" w14:paraId="2187C938" w14:textId="77777777">
        <w:tc>
          <w:tcPr>
            <w:tcW w:w="2053" w:type="dxa"/>
          </w:tcPr>
          <w:p w:rsidRPr="005A6028" w:rsidR="00973BA1" w:rsidP="00D7536E" w:rsidRDefault="00973BA1" w14:paraId="7AEFCF8B" w14:textId="77777777">
            <w:pPr>
              <w:pStyle w:val="Lijstalinea"/>
              <w:numPr>
                <w:ilvl w:val="0"/>
                <w:numId w:val="1"/>
              </w:numPr>
              <w:rPr>
                <w:rFonts w:cstheme="minorHAnsi"/>
              </w:rPr>
            </w:pPr>
            <w:r w:rsidRPr="005A6028">
              <w:rPr>
                <w:rFonts w:cstheme="minorHAnsi"/>
              </w:rPr>
              <w:t>Dekking “uitzondering nabetaling op toetsingsinkomen”</w:t>
            </w:r>
          </w:p>
        </w:tc>
        <w:tc>
          <w:tcPr>
            <w:tcW w:w="839" w:type="dxa"/>
          </w:tcPr>
          <w:p w:rsidRPr="005A6028" w:rsidR="00973BA1" w:rsidP="00D7536E" w:rsidRDefault="00973BA1" w14:paraId="5CFA13D6" w14:textId="77777777">
            <w:pPr>
              <w:jc w:val="right"/>
              <w:rPr>
                <w:rFonts w:cstheme="minorHAnsi"/>
                <w:szCs w:val="18"/>
              </w:rPr>
            </w:pPr>
          </w:p>
        </w:tc>
        <w:tc>
          <w:tcPr>
            <w:tcW w:w="839" w:type="dxa"/>
          </w:tcPr>
          <w:p w:rsidRPr="005A6028" w:rsidR="00973BA1" w:rsidP="00D7536E" w:rsidRDefault="00973BA1" w14:paraId="00D7DAD4" w14:textId="77777777">
            <w:pPr>
              <w:jc w:val="right"/>
              <w:rPr>
                <w:rFonts w:cstheme="minorHAnsi"/>
                <w:szCs w:val="18"/>
              </w:rPr>
            </w:pPr>
            <w:r w:rsidRPr="005A6028">
              <w:rPr>
                <w:rFonts w:cstheme="minorHAnsi"/>
                <w:szCs w:val="18"/>
              </w:rPr>
              <w:t>+0,001%</w:t>
            </w:r>
          </w:p>
        </w:tc>
        <w:tc>
          <w:tcPr>
            <w:tcW w:w="839" w:type="dxa"/>
          </w:tcPr>
          <w:p w:rsidRPr="005A6028" w:rsidR="00973BA1" w:rsidP="00D7536E" w:rsidRDefault="00973BA1" w14:paraId="73F2A192" w14:textId="77777777">
            <w:pPr>
              <w:jc w:val="right"/>
              <w:rPr>
                <w:rFonts w:cstheme="minorHAnsi"/>
                <w:szCs w:val="18"/>
              </w:rPr>
            </w:pPr>
            <w:r w:rsidRPr="005A6028">
              <w:rPr>
                <w:rFonts w:cstheme="minorHAnsi"/>
                <w:szCs w:val="18"/>
              </w:rPr>
              <w:t>+0,004%</w:t>
            </w:r>
          </w:p>
        </w:tc>
        <w:tc>
          <w:tcPr>
            <w:tcW w:w="839" w:type="dxa"/>
          </w:tcPr>
          <w:p w:rsidRPr="005A6028" w:rsidR="00973BA1" w:rsidP="00D7536E" w:rsidRDefault="00973BA1" w14:paraId="3E2D64D6" w14:textId="77777777">
            <w:pPr>
              <w:jc w:val="right"/>
              <w:rPr>
                <w:rFonts w:cstheme="minorHAnsi"/>
                <w:szCs w:val="18"/>
              </w:rPr>
            </w:pPr>
            <w:r w:rsidRPr="005A6028">
              <w:rPr>
                <w:rFonts w:cstheme="minorHAnsi"/>
                <w:szCs w:val="18"/>
              </w:rPr>
              <w:t>+0,005%</w:t>
            </w:r>
          </w:p>
        </w:tc>
        <w:tc>
          <w:tcPr>
            <w:tcW w:w="839" w:type="dxa"/>
          </w:tcPr>
          <w:p w:rsidRPr="005A6028" w:rsidR="00973BA1" w:rsidP="00D7536E" w:rsidRDefault="00973BA1" w14:paraId="6E82426D" w14:textId="77777777">
            <w:pPr>
              <w:jc w:val="right"/>
              <w:rPr>
                <w:rFonts w:cstheme="minorHAnsi"/>
                <w:szCs w:val="18"/>
              </w:rPr>
            </w:pPr>
            <w:r w:rsidRPr="005A6028">
              <w:rPr>
                <w:rFonts w:cstheme="minorHAnsi"/>
                <w:szCs w:val="18"/>
              </w:rPr>
              <w:t>+0,004%</w:t>
            </w:r>
          </w:p>
        </w:tc>
        <w:tc>
          <w:tcPr>
            <w:tcW w:w="839" w:type="dxa"/>
          </w:tcPr>
          <w:p w:rsidRPr="005A6028" w:rsidR="00973BA1" w:rsidP="00D7536E" w:rsidRDefault="00973BA1" w14:paraId="163B43E4" w14:textId="77777777">
            <w:pPr>
              <w:jc w:val="right"/>
              <w:rPr>
                <w:rFonts w:cstheme="minorHAnsi"/>
                <w:szCs w:val="18"/>
              </w:rPr>
            </w:pPr>
            <w:r w:rsidRPr="005A6028">
              <w:rPr>
                <w:rFonts w:cstheme="minorHAnsi"/>
                <w:szCs w:val="18"/>
              </w:rPr>
              <w:t>+0,004%</w:t>
            </w:r>
          </w:p>
        </w:tc>
        <w:tc>
          <w:tcPr>
            <w:tcW w:w="839" w:type="dxa"/>
          </w:tcPr>
          <w:p w:rsidRPr="005A6028" w:rsidR="00973BA1" w:rsidP="00D7536E" w:rsidRDefault="00973BA1" w14:paraId="7AA831B4" w14:textId="77777777">
            <w:pPr>
              <w:jc w:val="right"/>
              <w:rPr>
                <w:rFonts w:cstheme="minorHAnsi"/>
                <w:szCs w:val="18"/>
              </w:rPr>
            </w:pPr>
            <w:r w:rsidRPr="005A6028">
              <w:rPr>
                <w:rFonts w:cstheme="minorHAnsi"/>
                <w:szCs w:val="18"/>
              </w:rPr>
              <w:t>+0,004%</w:t>
            </w:r>
          </w:p>
        </w:tc>
      </w:tr>
      <w:tr w:rsidRPr="005A6028" w:rsidR="00973BA1" w:rsidTr="00D7536E" w14:paraId="10D3C9CE" w14:textId="77777777">
        <w:tc>
          <w:tcPr>
            <w:tcW w:w="2053" w:type="dxa"/>
          </w:tcPr>
          <w:p w:rsidRPr="005A6028" w:rsidR="00973BA1" w:rsidP="00D7536E" w:rsidRDefault="00973BA1" w14:paraId="713F2283" w14:textId="77777777">
            <w:pPr>
              <w:pStyle w:val="Lijstalinea"/>
              <w:numPr>
                <w:ilvl w:val="0"/>
                <w:numId w:val="1"/>
              </w:numPr>
              <w:rPr>
                <w:rFonts w:cstheme="minorHAnsi"/>
              </w:rPr>
            </w:pPr>
            <w:r w:rsidRPr="005A6028">
              <w:rPr>
                <w:rFonts w:cstheme="minorHAnsi"/>
              </w:rPr>
              <w:t>Na huidige maatregelen</w:t>
            </w:r>
          </w:p>
        </w:tc>
        <w:tc>
          <w:tcPr>
            <w:tcW w:w="839" w:type="dxa"/>
          </w:tcPr>
          <w:p w:rsidRPr="005A6028" w:rsidR="00973BA1" w:rsidP="00D7536E" w:rsidRDefault="00973BA1" w14:paraId="1E1BEC22" w14:textId="77777777">
            <w:pPr>
              <w:jc w:val="right"/>
              <w:rPr>
                <w:rFonts w:cstheme="minorHAnsi"/>
                <w:szCs w:val="18"/>
              </w:rPr>
            </w:pPr>
            <w:r w:rsidRPr="005A6028">
              <w:rPr>
                <w:rFonts w:cstheme="minorHAnsi"/>
                <w:szCs w:val="18"/>
              </w:rPr>
              <w:t>1,896%</w:t>
            </w:r>
          </w:p>
        </w:tc>
        <w:tc>
          <w:tcPr>
            <w:tcW w:w="839" w:type="dxa"/>
          </w:tcPr>
          <w:p w:rsidRPr="005A6028" w:rsidR="00973BA1" w:rsidP="00D7536E" w:rsidRDefault="00973BA1" w14:paraId="303EA799" w14:textId="77777777">
            <w:pPr>
              <w:jc w:val="right"/>
              <w:rPr>
                <w:rFonts w:cstheme="minorHAnsi"/>
                <w:szCs w:val="18"/>
              </w:rPr>
            </w:pPr>
            <w:r w:rsidRPr="005A6028">
              <w:rPr>
                <w:rFonts w:cstheme="minorHAnsi"/>
                <w:szCs w:val="18"/>
              </w:rPr>
              <w:t>1,912%</w:t>
            </w:r>
          </w:p>
        </w:tc>
        <w:tc>
          <w:tcPr>
            <w:tcW w:w="839" w:type="dxa"/>
          </w:tcPr>
          <w:p w:rsidRPr="005A6028" w:rsidR="00973BA1" w:rsidP="00D7536E" w:rsidRDefault="00973BA1" w14:paraId="6EB06ADA" w14:textId="77777777">
            <w:pPr>
              <w:jc w:val="right"/>
              <w:rPr>
                <w:rFonts w:cstheme="minorHAnsi"/>
                <w:szCs w:val="18"/>
              </w:rPr>
            </w:pPr>
            <w:r w:rsidRPr="005A6028">
              <w:rPr>
                <w:rFonts w:cstheme="minorHAnsi"/>
                <w:szCs w:val="18"/>
              </w:rPr>
              <w:t>1,930%</w:t>
            </w:r>
          </w:p>
        </w:tc>
        <w:tc>
          <w:tcPr>
            <w:tcW w:w="839" w:type="dxa"/>
          </w:tcPr>
          <w:p w:rsidRPr="005A6028" w:rsidR="00973BA1" w:rsidP="00D7536E" w:rsidRDefault="00973BA1" w14:paraId="010017F9" w14:textId="77777777">
            <w:pPr>
              <w:jc w:val="right"/>
              <w:rPr>
                <w:rFonts w:cstheme="minorHAnsi"/>
                <w:szCs w:val="18"/>
              </w:rPr>
            </w:pPr>
            <w:r w:rsidRPr="005A6028">
              <w:rPr>
                <w:rFonts w:cstheme="minorHAnsi"/>
                <w:szCs w:val="18"/>
              </w:rPr>
              <w:t>1,946%</w:t>
            </w:r>
          </w:p>
        </w:tc>
        <w:tc>
          <w:tcPr>
            <w:tcW w:w="839" w:type="dxa"/>
          </w:tcPr>
          <w:p w:rsidRPr="005A6028" w:rsidR="00973BA1" w:rsidP="00D7536E" w:rsidRDefault="00973BA1" w14:paraId="7BA458C9" w14:textId="77777777">
            <w:pPr>
              <w:jc w:val="right"/>
              <w:rPr>
                <w:rFonts w:cstheme="minorHAnsi"/>
                <w:szCs w:val="18"/>
              </w:rPr>
            </w:pPr>
            <w:r w:rsidRPr="005A6028">
              <w:rPr>
                <w:rFonts w:cstheme="minorHAnsi"/>
                <w:szCs w:val="18"/>
              </w:rPr>
              <w:t>1,960%</w:t>
            </w:r>
          </w:p>
        </w:tc>
        <w:tc>
          <w:tcPr>
            <w:tcW w:w="839" w:type="dxa"/>
          </w:tcPr>
          <w:p w:rsidRPr="005A6028" w:rsidR="00973BA1" w:rsidP="00D7536E" w:rsidRDefault="00973BA1" w14:paraId="6AEF131A" w14:textId="77777777">
            <w:pPr>
              <w:jc w:val="right"/>
              <w:rPr>
                <w:rFonts w:cstheme="minorHAnsi"/>
                <w:szCs w:val="18"/>
              </w:rPr>
            </w:pPr>
            <w:r w:rsidRPr="005A6028">
              <w:rPr>
                <w:rFonts w:cstheme="minorHAnsi"/>
                <w:szCs w:val="18"/>
              </w:rPr>
              <w:t>1,975%</w:t>
            </w:r>
          </w:p>
        </w:tc>
        <w:tc>
          <w:tcPr>
            <w:tcW w:w="839" w:type="dxa"/>
          </w:tcPr>
          <w:p w:rsidRPr="005A6028" w:rsidR="00973BA1" w:rsidP="00D7536E" w:rsidRDefault="00973BA1" w14:paraId="70BCAA07" w14:textId="77777777">
            <w:pPr>
              <w:jc w:val="right"/>
              <w:rPr>
                <w:rFonts w:cstheme="minorHAnsi"/>
                <w:szCs w:val="18"/>
              </w:rPr>
            </w:pPr>
            <w:r w:rsidRPr="005A6028">
              <w:rPr>
                <w:rFonts w:cstheme="minorHAnsi"/>
                <w:szCs w:val="18"/>
              </w:rPr>
              <w:t>2,125%</w:t>
            </w:r>
          </w:p>
        </w:tc>
      </w:tr>
      <w:tr w:rsidRPr="005A6028" w:rsidR="00973BA1" w:rsidTr="00D7536E" w14:paraId="014A2934" w14:textId="77777777">
        <w:tc>
          <w:tcPr>
            <w:tcW w:w="2053" w:type="dxa"/>
          </w:tcPr>
          <w:p w:rsidRPr="005A6028" w:rsidR="00973BA1" w:rsidP="00D7536E" w:rsidRDefault="00973BA1" w14:paraId="27F18FAC" w14:textId="77777777">
            <w:pPr>
              <w:pStyle w:val="Lijstalinea"/>
              <w:ind w:left="360"/>
              <w:rPr>
                <w:rFonts w:cstheme="minorHAnsi"/>
              </w:rPr>
            </w:pPr>
          </w:p>
        </w:tc>
        <w:tc>
          <w:tcPr>
            <w:tcW w:w="839" w:type="dxa"/>
          </w:tcPr>
          <w:p w:rsidRPr="005A6028" w:rsidR="00973BA1" w:rsidP="00D7536E" w:rsidRDefault="00973BA1" w14:paraId="792176EC" w14:textId="77777777">
            <w:pPr>
              <w:jc w:val="right"/>
              <w:rPr>
                <w:rFonts w:cstheme="minorHAnsi"/>
                <w:szCs w:val="18"/>
              </w:rPr>
            </w:pPr>
          </w:p>
        </w:tc>
        <w:tc>
          <w:tcPr>
            <w:tcW w:w="839" w:type="dxa"/>
          </w:tcPr>
          <w:p w:rsidRPr="005A6028" w:rsidR="00973BA1" w:rsidP="00D7536E" w:rsidRDefault="00973BA1" w14:paraId="13DC39D7" w14:textId="77777777">
            <w:pPr>
              <w:jc w:val="right"/>
              <w:rPr>
                <w:rFonts w:cstheme="minorHAnsi"/>
                <w:szCs w:val="18"/>
              </w:rPr>
            </w:pPr>
          </w:p>
        </w:tc>
        <w:tc>
          <w:tcPr>
            <w:tcW w:w="839" w:type="dxa"/>
          </w:tcPr>
          <w:p w:rsidRPr="005A6028" w:rsidR="00973BA1" w:rsidP="00D7536E" w:rsidRDefault="00973BA1" w14:paraId="02A3BB8F" w14:textId="77777777">
            <w:pPr>
              <w:jc w:val="right"/>
              <w:rPr>
                <w:rFonts w:cstheme="minorHAnsi"/>
                <w:szCs w:val="18"/>
              </w:rPr>
            </w:pPr>
          </w:p>
        </w:tc>
        <w:tc>
          <w:tcPr>
            <w:tcW w:w="839" w:type="dxa"/>
          </w:tcPr>
          <w:p w:rsidRPr="005A6028" w:rsidR="00973BA1" w:rsidP="00D7536E" w:rsidRDefault="00973BA1" w14:paraId="5E5F173E" w14:textId="77777777">
            <w:pPr>
              <w:jc w:val="right"/>
              <w:rPr>
                <w:rFonts w:cstheme="minorHAnsi"/>
                <w:szCs w:val="18"/>
              </w:rPr>
            </w:pPr>
          </w:p>
        </w:tc>
        <w:tc>
          <w:tcPr>
            <w:tcW w:w="839" w:type="dxa"/>
          </w:tcPr>
          <w:p w:rsidRPr="005A6028" w:rsidR="00973BA1" w:rsidP="00D7536E" w:rsidRDefault="00973BA1" w14:paraId="010B8B82" w14:textId="77777777">
            <w:pPr>
              <w:jc w:val="right"/>
              <w:rPr>
                <w:rFonts w:cstheme="minorHAnsi"/>
                <w:szCs w:val="18"/>
              </w:rPr>
            </w:pPr>
          </w:p>
        </w:tc>
        <w:tc>
          <w:tcPr>
            <w:tcW w:w="839" w:type="dxa"/>
          </w:tcPr>
          <w:p w:rsidRPr="005A6028" w:rsidR="00973BA1" w:rsidP="00D7536E" w:rsidRDefault="00973BA1" w14:paraId="32F3A683" w14:textId="77777777">
            <w:pPr>
              <w:jc w:val="right"/>
              <w:rPr>
                <w:rFonts w:cstheme="minorHAnsi"/>
                <w:szCs w:val="18"/>
              </w:rPr>
            </w:pPr>
          </w:p>
        </w:tc>
        <w:tc>
          <w:tcPr>
            <w:tcW w:w="839" w:type="dxa"/>
          </w:tcPr>
          <w:p w:rsidRPr="005A6028" w:rsidR="00973BA1" w:rsidP="00D7536E" w:rsidRDefault="00973BA1" w14:paraId="4847B07B" w14:textId="77777777">
            <w:pPr>
              <w:jc w:val="right"/>
              <w:rPr>
                <w:rFonts w:cstheme="minorHAnsi"/>
                <w:szCs w:val="18"/>
              </w:rPr>
            </w:pPr>
          </w:p>
        </w:tc>
      </w:tr>
      <w:tr w:rsidRPr="005A6028" w:rsidR="00973BA1" w:rsidTr="00D7536E" w14:paraId="5905300A" w14:textId="77777777">
        <w:tc>
          <w:tcPr>
            <w:tcW w:w="2053" w:type="dxa"/>
          </w:tcPr>
          <w:p w:rsidRPr="005A6028" w:rsidR="00973BA1" w:rsidP="00D7536E" w:rsidRDefault="00973BA1" w14:paraId="151B68D7" w14:textId="77777777">
            <w:pPr>
              <w:rPr>
                <w:rFonts w:cstheme="minorHAnsi"/>
                <w:szCs w:val="18"/>
              </w:rPr>
            </w:pPr>
            <w:r w:rsidRPr="005A6028">
              <w:rPr>
                <w:rFonts w:cstheme="minorHAnsi"/>
                <w:szCs w:val="18"/>
              </w:rPr>
              <w:t>Normpercentage meerpersoonshuishoudens</w:t>
            </w:r>
          </w:p>
        </w:tc>
        <w:tc>
          <w:tcPr>
            <w:tcW w:w="839" w:type="dxa"/>
          </w:tcPr>
          <w:p w:rsidRPr="005A6028" w:rsidR="00973BA1" w:rsidP="00D7536E" w:rsidRDefault="00973BA1" w14:paraId="5791B561" w14:textId="77777777">
            <w:pPr>
              <w:jc w:val="right"/>
              <w:rPr>
                <w:rFonts w:cstheme="minorHAnsi"/>
                <w:szCs w:val="18"/>
              </w:rPr>
            </w:pPr>
          </w:p>
        </w:tc>
        <w:tc>
          <w:tcPr>
            <w:tcW w:w="839" w:type="dxa"/>
          </w:tcPr>
          <w:p w:rsidRPr="005A6028" w:rsidR="00973BA1" w:rsidP="00D7536E" w:rsidRDefault="00973BA1" w14:paraId="0BE83534" w14:textId="77777777">
            <w:pPr>
              <w:jc w:val="right"/>
              <w:rPr>
                <w:rFonts w:cstheme="minorHAnsi"/>
                <w:szCs w:val="18"/>
              </w:rPr>
            </w:pPr>
          </w:p>
        </w:tc>
        <w:tc>
          <w:tcPr>
            <w:tcW w:w="839" w:type="dxa"/>
          </w:tcPr>
          <w:p w:rsidRPr="005A6028" w:rsidR="00973BA1" w:rsidP="00D7536E" w:rsidRDefault="00973BA1" w14:paraId="664DB759" w14:textId="77777777">
            <w:pPr>
              <w:jc w:val="right"/>
              <w:rPr>
                <w:rFonts w:cstheme="minorHAnsi"/>
                <w:szCs w:val="18"/>
              </w:rPr>
            </w:pPr>
          </w:p>
        </w:tc>
        <w:tc>
          <w:tcPr>
            <w:tcW w:w="839" w:type="dxa"/>
          </w:tcPr>
          <w:p w:rsidRPr="005A6028" w:rsidR="00973BA1" w:rsidP="00D7536E" w:rsidRDefault="00973BA1" w14:paraId="4E7FB8A8" w14:textId="77777777">
            <w:pPr>
              <w:jc w:val="right"/>
              <w:rPr>
                <w:rFonts w:cstheme="minorHAnsi"/>
                <w:szCs w:val="18"/>
              </w:rPr>
            </w:pPr>
          </w:p>
        </w:tc>
        <w:tc>
          <w:tcPr>
            <w:tcW w:w="839" w:type="dxa"/>
          </w:tcPr>
          <w:p w:rsidRPr="005A6028" w:rsidR="00973BA1" w:rsidP="00D7536E" w:rsidRDefault="00973BA1" w14:paraId="14DBF161" w14:textId="77777777">
            <w:pPr>
              <w:jc w:val="right"/>
              <w:rPr>
                <w:rFonts w:cstheme="minorHAnsi"/>
                <w:szCs w:val="18"/>
              </w:rPr>
            </w:pPr>
          </w:p>
        </w:tc>
        <w:tc>
          <w:tcPr>
            <w:tcW w:w="839" w:type="dxa"/>
          </w:tcPr>
          <w:p w:rsidRPr="005A6028" w:rsidR="00973BA1" w:rsidP="00D7536E" w:rsidRDefault="00973BA1" w14:paraId="54C7E2BD" w14:textId="77777777">
            <w:pPr>
              <w:jc w:val="right"/>
              <w:rPr>
                <w:rFonts w:cstheme="minorHAnsi"/>
                <w:szCs w:val="18"/>
              </w:rPr>
            </w:pPr>
          </w:p>
        </w:tc>
        <w:tc>
          <w:tcPr>
            <w:tcW w:w="839" w:type="dxa"/>
          </w:tcPr>
          <w:p w:rsidRPr="005A6028" w:rsidR="00973BA1" w:rsidP="00D7536E" w:rsidRDefault="00973BA1" w14:paraId="135257F6" w14:textId="77777777">
            <w:pPr>
              <w:jc w:val="right"/>
              <w:rPr>
                <w:rFonts w:cstheme="minorHAnsi"/>
                <w:szCs w:val="18"/>
              </w:rPr>
            </w:pPr>
          </w:p>
        </w:tc>
      </w:tr>
      <w:tr w:rsidRPr="005A6028" w:rsidR="00973BA1" w:rsidTr="00D7536E" w14:paraId="72A2582C" w14:textId="77777777">
        <w:tc>
          <w:tcPr>
            <w:tcW w:w="2053" w:type="dxa"/>
          </w:tcPr>
          <w:p w:rsidRPr="005A6028" w:rsidR="00973BA1" w:rsidP="00D7536E" w:rsidRDefault="00973BA1" w14:paraId="3710C7E6" w14:textId="77777777">
            <w:pPr>
              <w:pStyle w:val="Lijstalinea"/>
              <w:numPr>
                <w:ilvl w:val="0"/>
                <w:numId w:val="1"/>
              </w:numPr>
              <w:rPr>
                <w:rFonts w:cstheme="minorHAnsi"/>
              </w:rPr>
            </w:pPr>
            <w:r w:rsidRPr="005A6028">
              <w:rPr>
                <w:rFonts w:cstheme="minorHAnsi"/>
              </w:rPr>
              <w:t xml:space="preserve">Na vorige besluit </w:t>
            </w:r>
          </w:p>
        </w:tc>
        <w:tc>
          <w:tcPr>
            <w:tcW w:w="839" w:type="dxa"/>
          </w:tcPr>
          <w:p w:rsidRPr="005A6028" w:rsidR="00973BA1" w:rsidP="00D7536E" w:rsidRDefault="00973BA1" w14:paraId="19D19B59" w14:textId="77777777">
            <w:pPr>
              <w:jc w:val="right"/>
              <w:rPr>
                <w:rFonts w:cstheme="minorHAnsi"/>
                <w:szCs w:val="18"/>
              </w:rPr>
            </w:pPr>
            <w:r w:rsidRPr="005A6028">
              <w:rPr>
                <w:rFonts w:cstheme="minorHAnsi"/>
                <w:szCs w:val="18"/>
              </w:rPr>
              <w:t>4,273%</w:t>
            </w:r>
          </w:p>
        </w:tc>
        <w:tc>
          <w:tcPr>
            <w:tcW w:w="839" w:type="dxa"/>
          </w:tcPr>
          <w:p w:rsidRPr="005A6028" w:rsidR="00973BA1" w:rsidP="00D7536E" w:rsidRDefault="00973BA1" w14:paraId="1941622D" w14:textId="77777777">
            <w:pPr>
              <w:jc w:val="right"/>
              <w:rPr>
                <w:rFonts w:cstheme="minorHAnsi"/>
                <w:szCs w:val="18"/>
              </w:rPr>
            </w:pPr>
            <w:r w:rsidRPr="005A6028">
              <w:rPr>
                <w:rFonts w:cstheme="minorHAnsi"/>
                <w:szCs w:val="18"/>
              </w:rPr>
              <w:t>4,288%</w:t>
            </w:r>
          </w:p>
        </w:tc>
        <w:tc>
          <w:tcPr>
            <w:tcW w:w="839" w:type="dxa"/>
          </w:tcPr>
          <w:p w:rsidRPr="005A6028" w:rsidR="00973BA1" w:rsidP="00D7536E" w:rsidRDefault="00973BA1" w14:paraId="7C601EB4" w14:textId="77777777">
            <w:pPr>
              <w:jc w:val="right"/>
              <w:rPr>
                <w:rFonts w:cstheme="minorHAnsi"/>
                <w:szCs w:val="18"/>
              </w:rPr>
            </w:pPr>
            <w:r w:rsidRPr="005A6028">
              <w:rPr>
                <w:rFonts w:cstheme="minorHAnsi"/>
                <w:szCs w:val="18"/>
              </w:rPr>
              <w:t>4,303%</w:t>
            </w:r>
          </w:p>
        </w:tc>
        <w:tc>
          <w:tcPr>
            <w:tcW w:w="839" w:type="dxa"/>
          </w:tcPr>
          <w:p w:rsidRPr="005A6028" w:rsidR="00973BA1" w:rsidP="00D7536E" w:rsidRDefault="00973BA1" w14:paraId="0E86CEBD" w14:textId="77777777">
            <w:pPr>
              <w:jc w:val="right"/>
              <w:rPr>
                <w:rFonts w:cstheme="minorHAnsi"/>
                <w:szCs w:val="18"/>
              </w:rPr>
            </w:pPr>
            <w:r w:rsidRPr="005A6028">
              <w:rPr>
                <w:rFonts w:cstheme="minorHAnsi"/>
                <w:szCs w:val="18"/>
              </w:rPr>
              <w:t>4,318%</w:t>
            </w:r>
          </w:p>
        </w:tc>
        <w:tc>
          <w:tcPr>
            <w:tcW w:w="839" w:type="dxa"/>
          </w:tcPr>
          <w:p w:rsidRPr="005A6028" w:rsidR="00973BA1" w:rsidP="00D7536E" w:rsidRDefault="00973BA1" w14:paraId="64B5D923" w14:textId="77777777">
            <w:pPr>
              <w:jc w:val="right"/>
              <w:rPr>
                <w:rFonts w:cstheme="minorHAnsi"/>
                <w:szCs w:val="18"/>
              </w:rPr>
            </w:pPr>
            <w:r w:rsidRPr="005A6028">
              <w:rPr>
                <w:rFonts w:cstheme="minorHAnsi"/>
                <w:szCs w:val="18"/>
              </w:rPr>
              <w:t>4,333%</w:t>
            </w:r>
          </w:p>
        </w:tc>
        <w:tc>
          <w:tcPr>
            <w:tcW w:w="839" w:type="dxa"/>
          </w:tcPr>
          <w:p w:rsidRPr="005A6028" w:rsidR="00973BA1" w:rsidP="00D7536E" w:rsidRDefault="00973BA1" w14:paraId="2F580190" w14:textId="77777777">
            <w:pPr>
              <w:jc w:val="right"/>
              <w:rPr>
                <w:rFonts w:cstheme="minorHAnsi"/>
                <w:szCs w:val="18"/>
              </w:rPr>
            </w:pPr>
            <w:r w:rsidRPr="005A6028">
              <w:rPr>
                <w:rFonts w:cstheme="minorHAnsi"/>
                <w:szCs w:val="18"/>
              </w:rPr>
              <w:t>4,348%</w:t>
            </w:r>
          </w:p>
        </w:tc>
        <w:tc>
          <w:tcPr>
            <w:tcW w:w="839" w:type="dxa"/>
          </w:tcPr>
          <w:p w:rsidRPr="005A6028" w:rsidR="00973BA1" w:rsidP="00D7536E" w:rsidRDefault="00973BA1" w14:paraId="5E40AFBA" w14:textId="77777777">
            <w:pPr>
              <w:jc w:val="right"/>
              <w:rPr>
                <w:rFonts w:cstheme="minorHAnsi"/>
                <w:szCs w:val="18"/>
              </w:rPr>
            </w:pPr>
            <w:r w:rsidRPr="005A6028">
              <w:rPr>
                <w:rFonts w:cstheme="minorHAnsi"/>
                <w:szCs w:val="18"/>
              </w:rPr>
              <w:t>4,498%</w:t>
            </w:r>
          </w:p>
        </w:tc>
      </w:tr>
      <w:tr w:rsidRPr="005A6028" w:rsidR="00973BA1" w:rsidTr="00D7536E" w14:paraId="45DB0F82" w14:textId="77777777">
        <w:tc>
          <w:tcPr>
            <w:tcW w:w="2053" w:type="dxa"/>
          </w:tcPr>
          <w:p w:rsidRPr="005A6028" w:rsidR="00973BA1" w:rsidP="00D7536E" w:rsidRDefault="00973BA1" w14:paraId="591D7583" w14:textId="77777777">
            <w:pPr>
              <w:pStyle w:val="Lijstalinea"/>
              <w:numPr>
                <w:ilvl w:val="0"/>
                <w:numId w:val="1"/>
              </w:numPr>
              <w:rPr>
                <w:rFonts w:cstheme="minorHAnsi"/>
              </w:rPr>
            </w:pPr>
            <w:r w:rsidRPr="005A6028">
              <w:rPr>
                <w:rFonts w:cstheme="minorHAnsi"/>
              </w:rPr>
              <w:t>Dekking “uitzondering nabetaling op toetsingsinkomen”</w:t>
            </w:r>
          </w:p>
        </w:tc>
        <w:tc>
          <w:tcPr>
            <w:tcW w:w="839" w:type="dxa"/>
          </w:tcPr>
          <w:p w:rsidRPr="005A6028" w:rsidR="00973BA1" w:rsidP="00D7536E" w:rsidRDefault="00973BA1" w14:paraId="5A320139" w14:textId="77777777">
            <w:pPr>
              <w:jc w:val="right"/>
              <w:rPr>
                <w:rFonts w:cstheme="minorHAnsi"/>
                <w:szCs w:val="18"/>
              </w:rPr>
            </w:pPr>
          </w:p>
        </w:tc>
        <w:tc>
          <w:tcPr>
            <w:tcW w:w="839" w:type="dxa"/>
          </w:tcPr>
          <w:p w:rsidRPr="005A6028" w:rsidR="00973BA1" w:rsidP="00D7536E" w:rsidRDefault="00973BA1" w14:paraId="4B65D15B" w14:textId="77777777">
            <w:pPr>
              <w:jc w:val="right"/>
              <w:rPr>
                <w:rFonts w:cstheme="minorHAnsi"/>
                <w:szCs w:val="18"/>
              </w:rPr>
            </w:pPr>
            <w:r w:rsidRPr="005A6028">
              <w:rPr>
                <w:rFonts w:cstheme="minorHAnsi"/>
                <w:szCs w:val="18"/>
              </w:rPr>
              <w:t>+0,001%</w:t>
            </w:r>
          </w:p>
        </w:tc>
        <w:tc>
          <w:tcPr>
            <w:tcW w:w="839" w:type="dxa"/>
          </w:tcPr>
          <w:p w:rsidRPr="005A6028" w:rsidR="00973BA1" w:rsidP="00D7536E" w:rsidRDefault="00973BA1" w14:paraId="1C1D6E3F" w14:textId="77777777">
            <w:pPr>
              <w:jc w:val="right"/>
              <w:rPr>
                <w:rFonts w:cstheme="minorHAnsi"/>
                <w:szCs w:val="18"/>
              </w:rPr>
            </w:pPr>
            <w:r w:rsidRPr="005A6028">
              <w:rPr>
                <w:rFonts w:cstheme="minorHAnsi"/>
                <w:szCs w:val="18"/>
              </w:rPr>
              <w:t>+0,004%</w:t>
            </w:r>
          </w:p>
        </w:tc>
        <w:tc>
          <w:tcPr>
            <w:tcW w:w="839" w:type="dxa"/>
          </w:tcPr>
          <w:p w:rsidRPr="005A6028" w:rsidR="00973BA1" w:rsidP="00D7536E" w:rsidRDefault="00973BA1" w14:paraId="301B26BA" w14:textId="77777777">
            <w:pPr>
              <w:jc w:val="right"/>
              <w:rPr>
                <w:rFonts w:cstheme="minorHAnsi"/>
                <w:szCs w:val="18"/>
              </w:rPr>
            </w:pPr>
            <w:r w:rsidRPr="005A6028">
              <w:rPr>
                <w:rFonts w:cstheme="minorHAnsi"/>
                <w:szCs w:val="18"/>
              </w:rPr>
              <w:t>+0,005%</w:t>
            </w:r>
          </w:p>
        </w:tc>
        <w:tc>
          <w:tcPr>
            <w:tcW w:w="839" w:type="dxa"/>
          </w:tcPr>
          <w:p w:rsidRPr="005A6028" w:rsidR="00973BA1" w:rsidP="00D7536E" w:rsidRDefault="00973BA1" w14:paraId="1CA97E1F" w14:textId="77777777">
            <w:pPr>
              <w:jc w:val="right"/>
              <w:rPr>
                <w:rFonts w:cstheme="minorHAnsi"/>
                <w:szCs w:val="18"/>
              </w:rPr>
            </w:pPr>
            <w:r w:rsidRPr="005A6028">
              <w:rPr>
                <w:rFonts w:cstheme="minorHAnsi"/>
                <w:szCs w:val="18"/>
              </w:rPr>
              <w:t>+0,004%</w:t>
            </w:r>
          </w:p>
        </w:tc>
        <w:tc>
          <w:tcPr>
            <w:tcW w:w="839" w:type="dxa"/>
          </w:tcPr>
          <w:p w:rsidRPr="005A6028" w:rsidR="00973BA1" w:rsidP="00D7536E" w:rsidRDefault="00973BA1" w14:paraId="2D5828DB" w14:textId="77777777">
            <w:pPr>
              <w:jc w:val="right"/>
              <w:rPr>
                <w:rFonts w:cstheme="minorHAnsi"/>
                <w:szCs w:val="18"/>
              </w:rPr>
            </w:pPr>
            <w:r w:rsidRPr="005A6028">
              <w:rPr>
                <w:rFonts w:cstheme="minorHAnsi"/>
                <w:szCs w:val="18"/>
              </w:rPr>
              <w:t>+0,004%</w:t>
            </w:r>
          </w:p>
        </w:tc>
        <w:tc>
          <w:tcPr>
            <w:tcW w:w="839" w:type="dxa"/>
          </w:tcPr>
          <w:p w:rsidRPr="005A6028" w:rsidR="00973BA1" w:rsidP="00D7536E" w:rsidRDefault="00973BA1" w14:paraId="2A2418E0" w14:textId="77777777">
            <w:pPr>
              <w:jc w:val="right"/>
              <w:rPr>
                <w:rFonts w:cstheme="minorHAnsi"/>
                <w:szCs w:val="18"/>
              </w:rPr>
            </w:pPr>
            <w:r w:rsidRPr="005A6028">
              <w:rPr>
                <w:rFonts w:cstheme="minorHAnsi"/>
                <w:szCs w:val="18"/>
              </w:rPr>
              <w:t>+0,004%</w:t>
            </w:r>
          </w:p>
        </w:tc>
      </w:tr>
      <w:tr w:rsidRPr="005A6028" w:rsidR="00973BA1" w:rsidTr="00D7536E" w14:paraId="31FE9DCF" w14:textId="77777777">
        <w:tc>
          <w:tcPr>
            <w:tcW w:w="2053" w:type="dxa"/>
          </w:tcPr>
          <w:p w:rsidRPr="005A6028" w:rsidR="00973BA1" w:rsidP="00D7536E" w:rsidRDefault="00973BA1" w14:paraId="7FEEC8A9" w14:textId="77777777">
            <w:pPr>
              <w:pStyle w:val="Lijstalinea"/>
              <w:numPr>
                <w:ilvl w:val="0"/>
                <w:numId w:val="1"/>
              </w:numPr>
              <w:rPr>
                <w:rFonts w:cstheme="minorHAnsi"/>
              </w:rPr>
            </w:pPr>
            <w:r w:rsidRPr="005A6028">
              <w:rPr>
                <w:rFonts w:cstheme="minorHAnsi"/>
              </w:rPr>
              <w:t>Na huidige maatregel</w:t>
            </w:r>
          </w:p>
        </w:tc>
        <w:tc>
          <w:tcPr>
            <w:tcW w:w="839" w:type="dxa"/>
          </w:tcPr>
          <w:p w:rsidRPr="005A6028" w:rsidR="00973BA1" w:rsidP="00D7536E" w:rsidRDefault="00973BA1" w14:paraId="069504D1" w14:textId="77777777">
            <w:pPr>
              <w:jc w:val="right"/>
              <w:rPr>
                <w:rFonts w:cstheme="minorHAnsi"/>
                <w:szCs w:val="18"/>
              </w:rPr>
            </w:pPr>
            <w:r w:rsidRPr="005A6028">
              <w:rPr>
                <w:rFonts w:cstheme="minorHAnsi"/>
                <w:szCs w:val="18"/>
              </w:rPr>
              <w:t>4,273%</w:t>
            </w:r>
          </w:p>
        </w:tc>
        <w:tc>
          <w:tcPr>
            <w:tcW w:w="839" w:type="dxa"/>
          </w:tcPr>
          <w:p w:rsidRPr="005A6028" w:rsidR="00973BA1" w:rsidP="00D7536E" w:rsidRDefault="00973BA1" w14:paraId="1DE67E80" w14:textId="77777777">
            <w:pPr>
              <w:jc w:val="right"/>
              <w:rPr>
                <w:rFonts w:cstheme="minorHAnsi"/>
                <w:szCs w:val="18"/>
              </w:rPr>
            </w:pPr>
            <w:r w:rsidRPr="005A6028">
              <w:rPr>
                <w:rFonts w:cstheme="minorHAnsi"/>
                <w:szCs w:val="18"/>
              </w:rPr>
              <w:t>4,289%</w:t>
            </w:r>
          </w:p>
        </w:tc>
        <w:tc>
          <w:tcPr>
            <w:tcW w:w="839" w:type="dxa"/>
          </w:tcPr>
          <w:p w:rsidRPr="005A6028" w:rsidR="00973BA1" w:rsidP="00D7536E" w:rsidRDefault="00973BA1" w14:paraId="2E8FAD4C" w14:textId="77777777">
            <w:pPr>
              <w:jc w:val="right"/>
              <w:rPr>
                <w:rFonts w:cstheme="minorHAnsi"/>
                <w:szCs w:val="18"/>
              </w:rPr>
            </w:pPr>
            <w:r w:rsidRPr="005A6028">
              <w:rPr>
                <w:rFonts w:cstheme="minorHAnsi"/>
                <w:szCs w:val="18"/>
              </w:rPr>
              <w:t>4,307%</w:t>
            </w:r>
          </w:p>
        </w:tc>
        <w:tc>
          <w:tcPr>
            <w:tcW w:w="839" w:type="dxa"/>
          </w:tcPr>
          <w:p w:rsidRPr="005A6028" w:rsidR="00973BA1" w:rsidP="00D7536E" w:rsidRDefault="00973BA1" w14:paraId="58F80A4F" w14:textId="77777777">
            <w:pPr>
              <w:jc w:val="right"/>
              <w:rPr>
                <w:rFonts w:cstheme="minorHAnsi"/>
                <w:szCs w:val="18"/>
              </w:rPr>
            </w:pPr>
            <w:r w:rsidRPr="005A6028">
              <w:rPr>
                <w:rFonts w:cstheme="minorHAnsi"/>
                <w:szCs w:val="18"/>
              </w:rPr>
              <w:t>4,323%</w:t>
            </w:r>
          </w:p>
        </w:tc>
        <w:tc>
          <w:tcPr>
            <w:tcW w:w="839" w:type="dxa"/>
          </w:tcPr>
          <w:p w:rsidRPr="005A6028" w:rsidR="00973BA1" w:rsidP="00D7536E" w:rsidRDefault="00973BA1" w14:paraId="3EB06066" w14:textId="77777777">
            <w:pPr>
              <w:jc w:val="right"/>
              <w:rPr>
                <w:rFonts w:cstheme="minorHAnsi"/>
                <w:szCs w:val="18"/>
              </w:rPr>
            </w:pPr>
            <w:r w:rsidRPr="005A6028">
              <w:rPr>
                <w:rFonts w:cstheme="minorHAnsi"/>
                <w:szCs w:val="18"/>
              </w:rPr>
              <w:t>4,337%</w:t>
            </w:r>
          </w:p>
        </w:tc>
        <w:tc>
          <w:tcPr>
            <w:tcW w:w="839" w:type="dxa"/>
          </w:tcPr>
          <w:p w:rsidRPr="005A6028" w:rsidR="00973BA1" w:rsidP="00D7536E" w:rsidRDefault="00973BA1" w14:paraId="0F6F11E2" w14:textId="77777777">
            <w:pPr>
              <w:jc w:val="right"/>
              <w:rPr>
                <w:rFonts w:cstheme="minorHAnsi"/>
                <w:szCs w:val="18"/>
              </w:rPr>
            </w:pPr>
            <w:r w:rsidRPr="005A6028">
              <w:rPr>
                <w:rFonts w:cstheme="minorHAnsi"/>
                <w:szCs w:val="18"/>
              </w:rPr>
              <w:t>4,352%</w:t>
            </w:r>
          </w:p>
        </w:tc>
        <w:tc>
          <w:tcPr>
            <w:tcW w:w="839" w:type="dxa"/>
          </w:tcPr>
          <w:p w:rsidRPr="005A6028" w:rsidR="00973BA1" w:rsidP="00D7536E" w:rsidRDefault="00973BA1" w14:paraId="330DC300" w14:textId="77777777">
            <w:pPr>
              <w:jc w:val="right"/>
              <w:rPr>
                <w:rFonts w:cstheme="minorHAnsi"/>
                <w:szCs w:val="18"/>
              </w:rPr>
            </w:pPr>
            <w:r w:rsidRPr="005A6028">
              <w:rPr>
                <w:rFonts w:cstheme="minorHAnsi"/>
                <w:szCs w:val="18"/>
              </w:rPr>
              <w:t>4,502%</w:t>
            </w:r>
          </w:p>
        </w:tc>
      </w:tr>
      <w:tr w:rsidRPr="005A6028" w:rsidR="00973BA1" w:rsidTr="00D7536E" w14:paraId="55E274FA" w14:textId="77777777">
        <w:tc>
          <w:tcPr>
            <w:tcW w:w="2053" w:type="dxa"/>
          </w:tcPr>
          <w:p w:rsidRPr="005A6028" w:rsidR="00973BA1" w:rsidP="00D7536E" w:rsidRDefault="00973BA1" w14:paraId="0FF8DAA1" w14:textId="77777777">
            <w:pPr>
              <w:pStyle w:val="Lijstalinea"/>
              <w:ind w:left="360"/>
              <w:rPr>
                <w:rFonts w:cstheme="minorHAnsi"/>
              </w:rPr>
            </w:pPr>
          </w:p>
        </w:tc>
        <w:tc>
          <w:tcPr>
            <w:tcW w:w="839" w:type="dxa"/>
          </w:tcPr>
          <w:p w:rsidRPr="005A6028" w:rsidR="00973BA1" w:rsidP="00D7536E" w:rsidRDefault="00973BA1" w14:paraId="58E81074" w14:textId="77777777">
            <w:pPr>
              <w:jc w:val="right"/>
              <w:rPr>
                <w:rFonts w:cstheme="minorHAnsi"/>
                <w:szCs w:val="18"/>
              </w:rPr>
            </w:pPr>
          </w:p>
        </w:tc>
        <w:tc>
          <w:tcPr>
            <w:tcW w:w="839" w:type="dxa"/>
          </w:tcPr>
          <w:p w:rsidRPr="005A6028" w:rsidR="00973BA1" w:rsidP="00D7536E" w:rsidRDefault="00973BA1" w14:paraId="59CC144C" w14:textId="77777777">
            <w:pPr>
              <w:jc w:val="right"/>
              <w:rPr>
                <w:rFonts w:cstheme="minorHAnsi"/>
                <w:szCs w:val="18"/>
              </w:rPr>
            </w:pPr>
          </w:p>
        </w:tc>
        <w:tc>
          <w:tcPr>
            <w:tcW w:w="839" w:type="dxa"/>
          </w:tcPr>
          <w:p w:rsidRPr="005A6028" w:rsidR="00973BA1" w:rsidP="00D7536E" w:rsidRDefault="00973BA1" w14:paraId="05337F81" w14:textId="77777777">
            <w:pPr>
              <w:jc w:val="right"/>
              <w:rPr>
                <w:rFonts w:cstheme="minorHAnsi"/>
                <w:szCs w:val="18"/>
              </w:rPr>
            </w:pPr>
          </w:p>
        </w:tc>
        <w:tc>
          <w:tcPr>
            <w:tcW w:w="839" w:type="dxa"/>
          </w:tcPr>
          <w:p w:rsidRPr="005A6028" w:rsidR="00973BA1" w:rsidP="00D7536E" w:rsidRDefault="00973BA1" w14:paraId="23AF2DD0" w14:textId="77777777">
            <w:pPr>
              <w:jc w:val="right"/>
              <w:rPr>
                <w:rFonts w:cstheme="minorHAnsi"/>
                <w:szCs w:val="18"/>
              </w:rPr>
            </w:pPr>
          </w:p>
        </w:tc>
        <w:tc>
          <w:tcPr>
            <w:tcW w:w="839" w:type="dxa"/>
          </w:tcPr>
          <w:p w:rsidRPr="005A6028" w:rsidR="00973BA1" w:rsidP="00D7536E" w:rsidRDefault="00973BA1" w14:paraId="127D5603" w14:textId="77777777">
            <w:pPr>
              <w:jc w:val="right"/>
              <w:rPr>
                <w:rFonts w:cstheme="minorHAnsi"/>
                <w:szCs w:val="18"/>
              </w:rPr>
            </w:pPr>
          </w:p>
        </w:tc>
        <w:tc>
          <w:tcPr>
            <w:tcW w:w="839" w:type="dxa"/>
          </w:tcPr>
          <w:p w:rsidRPr="005A6028" w:rsidR="00973BA1" w:rsidP="00D7536E" w:rsidRDefault="00973BA1" w14:paraId="6D597592" w14:textId="77777777">
            <w:pPr>
              <w:jc w:val="right"/>
              <w:rPr>
                <w:rFonts w:cstheme="minorHAnsi"/>
                <w:szCs w:val="18"/>
              </w:rPr>
            </w:pPr>
          </w:p>
        </w:tc>
        <w:tc>
          <w:tcPr>
            <w:tcW w:w="839" w:type="dxa"/>
          </w:tcPr>
          <w:p w:rsidRPr="005A6028" w:rsidR="00973BA1" w:rsidP="00D7536E" w:rsidRDefault="00973BA1" w14:paraId="1C0062FE" w14:textId="77777777">
            <w:pPr>
              <w:jc w:val="right"/>
              <w:rPr>
                <w:rFonts w:cstheme="minorHAnsi"/>
                <w:szCs w:val="18"/>
              </w:rPr>
            </w:pPr>
          </w:p>
        </w:tc>
      </w:tr>
      <w:tr w:rsidRPr="005A6028" w:rsidR="00973BA1" w:rsidTr="00D7536E" w14:paraId="071AC72A" w14:textId="77777777">
        <w:tc>
          <w:tcPr>
            <w:tcW w:w="2053" w:type="dxa"/>
          </w:tcPr>
          <w:p w:rsidRPr="005A6028" w:rsidR="00973BA1" w:rsidP="00D7536E" w:rsidRDefault="00973BA1" w14:paraId="6BAE7854" w14:textId="77777777">
            <w:pPr>
              <w:rPr>
                <w:rFonts w:cstheme="minorHAnsi"/>
                <w:szCs w:val="18"/>
              </w:rPr>
            </w:pPr>
            <w:r w:rsidRPr="005A6028">
              <w:rPr>
                <w:rFonts w:cstheme="minorHAnsi"/>
                <w:szCs w:val="18"/>
              </w:rPr>
              <w:t>Afbouwpercentage</w:t>
            </w:r>
          </w:p>
        </w:tc>
        <w:tc>
          <w:tcPr>
            <w:tcW w:w="839" w:type="dxa"/>
          </w:tcPr>
          <w:p w:rsidRPr="005A6028" w:rsidR="00973BA1" w:rsidP="00D7536E" w:rsidRDefault="00973BA1" w14:paraId="1F4B22BB" w14:textId="77777777">
            <w:pPr>
              <w:jc w:val="right"/>
              <w:rPr>
                <w:rFonts w:cstheme="minorHAnsi"/>
                <w:szCs w:val="18"/>
              </w:rPr>
            </w:pPr>
          </w:p>
        </w:tc>
        <w:tc>
          <w:tcPr>
            <w:tcW w:w="839" w:type="dxa"/>
          </w:tcPr>
          <w:p w:rsidRPr="005A6028" w:rsidR="00973BA1" w:rsidP="00D7536E" w:rsidRDefault="00973BA1" w14:paraId="20802F49" w14:textId="77777777">
            <w:pPr>
              <w:jc w:val="right"/>
              <w:rPr>
                <w:rFonts w:cstheme="minorHAnsi"/>
                <w:szCs w:val="18"/>
              </w:rPr>
            </w:pPr>
          </w:p>
        </w:tc>
        <w:tc>
          <w:tcPr>
            <w:tcW w:w="839" w:type="dxa"/>
          </w:tcPr>
          <w:p w:rsidRPr="005A6028" w:rsidR="00973BA1" w:rsidP="00D7536E" w:rsidRDefault="00973BA1" w14:paraId="70A2C4B4" w14:textId="77777777">
            <w:pPr>
              <w:jc w:val="right"/>
              <w:rPr>
                <w:rFonts w:cstheme="minorHAnsi"/>
                <w:szCs w:val="18"/>
              </w:rPr>
            </w:pPr>
          </w:p>
        </w:tc>
        <w:tc>
          <w:tcPr>
            <w:tcW w:w="839" w:type="dxa"/>
          </w:tcPr>
          <w:p w:rsidRPr="005A6028" w:rsidR="00973BA1" w:rsidP="00D7536E" w:rsidRDefault="00973BA1" w14:paraId="2F612EA5" w14:textId="77777777">
            <w:pPr>
              <w:jc w:val="right"/>
              <w:rPr>
                <w:rFonts w:cstheme="minorHAnsi"/>
                <w:szCs w:val="18"/>
              </w:rPr>
            </w:pPr>
          </w:p>
        </w:tc>
        <w:tc>
          <w:tcPr>
            <w:tcW w:w="839" w:type="dxa"/>
          </w:tcPr>
          <w:p w:rsidRPr="005A6028" w:rsidR="00973BA1" w:rsidP="00D7536E" w:rsidRDefault="00973BA1" w14:paraId="3E473028" w14:textId="77777777">
            <w:pPr>
              <w:jc w:val="right"/>
              <w:rPr>
                <w:rFonts w:cstheme="minorHAnsi"/>
                <w:szCs w:val="18"/>
              </w:rPr>
            </w:pPr>
          </w:p>
        </w:tc>
        <w:tc>
          <w:tcPr>
            <w:tcW w:w="839" w:type="dxa"/>
          </w:tcPr>
          <w:p w:rsidRPr="005A6028" w:rsidR="00973BA1" w:rsidP="00D7536E" w:rsidRDefault="00973BA1" w14:paraId="4C0F3B8F" w14:textId="77777777">
            <w:pPr>
              <w:jc w:val="right"/>
              <w:rPr>
                <w:rFonts w:cstheme="minorHAnsi"/>
                <w:szCs w:val="18"/>
              </w:rPr>
            </w:pPr>
          </w:p>
        </w:tc>
        <w:tc>
          <w:tcPr>
            <w:tcW w:w="839" w:type="dxa"/>
          </w:tcPr>
          <w:p w:rsidRPr="005A6028" w:rsidR="00973BA1" w:rsidP="00D7536E" w:rsidRDefault="00973BA1" w14:paraId="7F6CAC4B" w14:textId="77777777">
            <w:pPr>
              <w:jc w:val="right"/>
              <w:rPr>
                <w:rFonts w:cstheme="minorHAnsi"/>
                <w:szCs w:val="18"/>
              </w:rPr>
            </w:pPr>
          </w:p>
        </w:tc>
      </w:tr>
      <w:tr w:rsidRPr="005A6028" w:rsidR="00973BA1" w:rsidTr="00D7536E" w14:paraId="0051206E" w14:textId="77777777">
        <w:tc>
          <w:tcPr>
            <w:tcW w:w="2053" w:type="dxa"/>
          </w:tcPr>
          <w:p w:rsidRPr="005A6028" w:rsidR="00973BA1" w:rsidP="00D7536E" w:rsidRDefault="00973BA1" w14:paraId="29574AEF" w14:textId="77777777">
            <w:pPr>
              <w:pStyle w:val="Lijstalinea"/>
              <w:numPr>
                <w:ilvl w:val="0"/>
                <w:numId w:val="1"/>
              </w:numPr>
              <w:rPr>
                <w:rFonts w:cstheme="minorHAnsi"/>
              </w:rPr>
            </w:pPr>
            <w:r w:rsidRPr="005A6028">
              <w:rPr>
                <w:rFonts w:cstheme="minorHAnsi"/>
              </w:rPr>
              <w:t xml:space="preserve">Na vorige maatregel </w:t>
            </w:r>
          </w:p>
        </w:tc>
        <w:tc>
          <w:tcPr>
            <w:tcW w:w="839" w:type="dxa"/>
          </w:tcPr>
          <w:p w:rsidRPr="005A6028" w:rsidR="00973BA1" w:rsidP="00D7536E" w:rsidRDefault="00973BA1" w14:paraId="14E280E7" w14:textId="77777777">
            <w:pPr>
              <w:jc w:val="right"/>
              <w:rPr>
                <w:rFonts w:cstheme="minorHAnsi"/>
                <w:szCs w:val="18"/>
              </w:rPr>
            </w:pPr>
            <w:r w:rsidRPr="005A6028">
              <w:rPr>
                <w:rFonts w:cstheme="minorHAnsi"/>
                <w:szCs w:val="18"/>
              </w:rPr>
              <w:t>13,70</w:t>
            </w:r>
            <w:r w:rsidRPr="005A6028">
              <w:rPr>
                <w:rFonts w:cstheme="minorHAnsi"/>
                <w:szCs w:val="18"/>
              </w:rPr>
              <w:lastRenderedPageBreak/>
              <w:t>%</w:t>
            </w:r>
          </w:p>
        </w:tc>
        <w:tc>
          <w:tcPr>
            <w:tcW w:w="839" w:type="dxa"/>
          </w:tcPr>
          <w:p w:rsidRPr="005A6028" w:rsidR="00973BA1" w:rsidP="00D7536E" w:rsidRDefault="00973BA1" w14:paraId="5077DBBC" w14:textId="77777777">
            <w:pPr>
              <w:jc w:val="right"/>
              <w:rPr>
                <w:rFonts w:cstheme="minorHAnsi"/>
                <w:szCs w:val="18"/>
              </w:rPr>
            </w:pPr>
            <w:r w:rsidRPr="005A6028">
              <w:rPr>
                <w:rFonts w:cstheme="minorHAnsi"/>
                <w:szCs w:val="18"/>
              </w:rPr>
              <w:lastRenderedPageBreak/>
              <w:t>13,73</w:t>
            </w:r>
            <w:r w:rsidRPr="005A6028">
              <w:rPr>
                <w:rFonts w:cstheme="minorHAnsi"/>
                <w:szCs w:val="18"/>
              </w:rPr>
              <w:lastRenderedPageBreak/>
              <w:t>%</w:t>
            </w:r>
          </w:p>
        </w:tc>
        <w:tc>
          <w:tcPr>
            <w:tcW w:w="839" w:type="dxa"/>
          </w:tcPr>
          <w:p w:rsidRPr="005A6028" w:rsidR="00973BA1" w:rsidP="00D7536E" w:rsidRDefault="00973BA1" w14:paraId="21358F85" w14:textId="77777777">
            <w:pPr>
              <w:jc w:val="right"/>
              <w:rPr>
                <w:rFonts w:cstheme="minorHAnsi"/>
                <w:szCs w:val="18"/>
              </w:rPr>
            </w:pPr>
            <w:r w:rsidRPr="005A6028">
              <w:rPr>
                <w:rFonts w:cstheme="minorHAnsi"/>
                <w:szCs w:val="18"/>
              </w:rPr>
              <w:lastRenderedPageBreak/>
              <w:t>13,76</w:t>
            </w:r>
            <w:r w:rsidRPr="005A6028">
              <w:rPr>
                <w:rFonts w:cstheme="minorHAnsi"/>
                <w:szCs w:val="18"/>
              </w:rPr>
              <w:lastRenderedPageBreak/>
              <w:t>%</w:t>
            </w:r>
          </w:p>
        </w:tc>
        <w:tc>
          <w:tcPr>
            <w:tcW w:w="839" w:type="dxa"/>
          </w:tcPr>
          <w:p w:rsidRPr="005A6028" w:rsidR="00973BA1" w:rsidP="00D7536E" w:rsidRDefault="00973BA1" w14:paraId="1ECF9B17" w14:textId="77777777">
            <w:pPr>
              <w:jc w:val="right"/>
              <w:rPr>
                <w:rFonts w:cstheme="minorHAnsi"/>
                <w:szCs w:val="18"/>
              </w:rPr>
            </w:pPr>
            <w:r w:rsidRPr="005A6028">
              <w:rPr>
                <w:rFonts w:cstheme="minorHAnsi"/>
                <w:szCs w:val="18"/>
              </w:rPr>
              <w:lastRenderedPageBreak/>
              <w:t>13,79</w:t>
            </w:r>
            <w:r w:rsidRPr="005A6028">
              <w:rPr>
                <w:rFonts w:cstheme="minorHAnsi"/>
                <w:szCs w:val="18"/>
              </w:rPr>
              <w:lastRenderedPageBreak/>
              <w:t>%</w:t>
            </w:r>
          </w:p>
        </w:tc>
        <w:tc>
          <w:tcPr>
            <w:tcW w:w="839" w:type="dxa"/>
          </w:tcPr>
          <w:p w:rsidRPr="005A6028" w:rsidR="00973BA1" w:rsidP="00D7536E" w:rsidRDefault="00973BA1" w14:paraId="1D7D768F" w14:textId="77777777">
            <w:pPr>
              <w:jc w:val="right"/>
              <w:rPr>
                <w:rFonts w:cstheme="minorHAnsi"/>
                <w:szCs w:val="18"/>
              </w:rPr>
            </w:pPr>
            <w:r w:rsidRPr="005A6028">
              <w:rPr>
                <w:rFonts w:cstheme="minorHAnsi"/>
                <w:szCs w:val="18"/>
              </w:rPr>
              <w:lastRenderedPageBreak/>
              <w:t>13,82</w:t>
            </w:r>
            <w:r w:rsidRPr="005A6028">
              <w:rPr>
                <w:rFonts w:cstheme="minorHAnsi"/>
                <w:szCs w:val="18"/>
              </w:rPr>
              <w:lastRenderedPageBreak/>
              <w:t>%</w:t>
            </w:r>
          </w:p>
        </w:tc>
        <w:tc>
          <w:tcPr>
            <w:tcW w:w="839" w:type="dxa"/>
          </w:tcPr>
          <w:p w:rsidRPr="005A6028" w:rsidR="00973BA1" w:rsidP="00D7536E" w:rsidRDefault="00973BA1" w14:paraId="7139FE13" w14:textId="77777777">
            <w:pPr>
              <w:jc w:val="right"/>
              <w:rPr>
                <w:rFonts w:cstheme="minorHAnsi"/>
                <w:szCs w:val="18"/>
              </w:rPr>
            </w:pPr>
            <w:r w:rsidRPr="005A6028">
              <w:rPr>
                <w:rFonts w:cstheme="minorHAnsi"/>
                <w:szCs w:val="18"/>
              </w:rPr>
              <w:lastRenderedPageBreak/>
              <w:t>13,85</w:t>
            </w:r>
            <w:r w:rsidRPr="005A6028">
              <w:rPr>
                <w:rFonts w:cstheme="minorHAnsi"/>
                <w:szCs w:val="18"/>
              </w:rPr>
              <w:lastRenderedPageBreak/>
              <w:t>%</w:t>
            </w:r>
          </w:p>
        </w:tc>
        <w:tc>
          <w:tcPr>
            <w:tcW w:w="839" w:type="dxa"/>
          </w:tcPr>
          <w:p w:rsidRPr="005A6028" w:rsidR="00973BA1" w:rsidP="00D7536E" w:rsidRDefault="00973BA1" w14:paraId="58D50C99" w14:textId="77777777">
            <w:pPr>
              <w:jc w:val="right"/>
              <w:rPr>
                <w:rFonts w:cstheme="minorHAnsi"/>
                <w:szCs w:val="18"/>
              </w:rPr>
            </w:pPr>
            <w:r w:rsidRPr="005A6028">
              <w:rPr>
                <w:rFonts w:cstheme="minorHAnsi"/>
                <w:szCs w:val="18"/>
              </w:rPr>
              <w:lastRenderedPageBreak/>
              <w:t>14,15</w:t>
            </w:r>
            <w:r w:rsidRPr="005A6028">
              <w:rPr>
                <w:rFonts w:cstheme="minorHAnsi"/>
                <w:szCs w:val="18"/>
              </w:rPr>
              <w:lastRenderedPageBreak/>
              <w:t>%</w:t>
            </w:r>
          </w:p>
        </w:tc>
      </w:tr>
      <w:tr w:rsidRPr="005A6028" w:rsidR="00973BA1" w:rsidTr="00D7536E" w14:paraId="6141C26B" w14:textId="77777777">
        <w:tc>
          <w:tcPr>
            <w:tcW w:w="2053" w:type="dxa"/>
          </w:tcPr>
          <w:p w:rsidRPr="005A6028" w:rsidR="00973BA1" w:rsidP="00D7536E" w:rsidRDefault="00973BA1" w14:paraId="4355BD14" w14:textId="77777777">
            <w:pPr>
              <w:pStyle w:val="Lijstalinea"/>
              <w:numPr>
                <w:ilvl w:val="0"/>
                <w:numId w:val="1"/>
              </w:numPr>
              <w:rPr>
                <w:rFonts w:cstheme="minorHAnsi"/>
              </w:rPr>
            </w:pPr>
            <w:r w:rsidRPr="005A6028">
              <w:rPr>
                <w:rFonts w:cstheme="minorHAnsi"/>
              </w:rPr>
              <w:lastRenderedPageBreak/>
              <w:t>Maatregel(en)</w:t>
            </w:r>
          </w:p>
        </w:tc>
        <w:tc>
          <w:tcPr>
            <w:tcW w:w="839" w:type="dxa"/>
          </w:tcPr>
          <w:p w:rsidRPr="005A6028" w:rsidR="00973BA1" w:rsidP="00D7536E" w:rsidRDefault="00973BA1" w14:paraId="4B438D0C" w14:textId="77777777">
            <w:pPr>
              <w:jc w:val="right"/>
              <w:rPr>
                <w:rFonts w:cstheme="minorHAnsi"/>
                <w:szCs w:val="18"/>
              </w:rPr>
            </w:pPr>
            <w:r w:rsidRPr="005A6028">
              <w:rPr>
                <w:rFonts w:cstheme="minorHAnsi"/>
                <w:szCs w:val="18"/>
              </w:rPr>
              <w:t>-</w:t>
            </w:r>
          </w:p>
        </w:tc>
        <w:tc>
          <w:tcPr>
            <w:tcW w:w="839" w:type="dxa"/>
          </w:tcPr>
          <w:p w:rsidRPr="005A6028" w:rsidR="00973BA1" w:rsidP="00D7536E" w:rsidRDefault="00973BA1" w14:paraId="7986D2FB" w14:textId="77777777">
            <w:pPr>
              <w:jc w:val="right"/>
              <w:rPr>
                <w:rFonts w:cstheme="minorHAnsi"/>
                <w:szCs w:val="18"/>
              </w:rPr>
            </w:pPr>
            <w:r w:rsidRPr="005A6028">
              <w:rPr>
                <w:rFonts w:cstheme="minorHAnsi"/>
                <w:szCs w:val="18"/>
              </w:rPr>
              <w:t>-</w:t>
            </w:r>
          </w:p>
        </w:tc>
        <w:tc>
          <w:tcPr>
            <w:tcW w:w="839" w:type="dxa"/>
          </w:tcPr>
          <w:p w:rsidRPr="005A6028" w:rsidR="00973BA1" w:rsidP="00D7536E" w:rsidRDefault="00973BA1" w14:paraId="4458EE48" w14:textId="77777777">
            <w:pPr>
              <w:jc w:val="right"/>
              <w:rPr>
                <w:rFonts w:cstheme="minorHAnsi"/>
                <w:szCs w:val="18"/>
              </w:rPr>
            </w:pPr>
            <w:r w:rsidRPr="005A6028">
              <w:rPr>
                <w:rFonts w:cstheme="minorHAnsi"/>
                <w:szCs w:val="18"/>
              </w:rPr>
              <w:t>-</w:t>
            </w:r>
          </w:p>
        </w:tc>
        <w:tc>
          <w:tcPr>
            <w:tcW w:w="839" w:type="dxa"/>
          </w:tcPr>
          <w:p w:rsidRPr="005A6028" w:rsidR="00973BA1" w:rsidP="00D7536E" w:rsidRDefault="00973BA1" w14:paraId="22BA06D1" w14:textId="77777777">
            <w:pPr>
              <w:jc w:val="right"/>
              <w:rPr>
                <w:rFonts w:cstheme="minorHAnsi"/>
                <w:szCs w:val="18"/>
              </w:rPr>
            </w:pPr>
            <w:r w:rsidRPr="005A6028">
              <w:rPr>
                <w:rFonts w:cstheme="minorHAnsi"/>
                <w:szCs w:val="18"/>
              </w:rPr>
              <w:t>-</w:t>
            </w:r>
          </w:p>
        </w:tc>
        <w:tc>
          <w:tcPr>
            <w:tcW w:w="839" w:type="dxa"/>
          </w:tcPr>
          <w:p w:rsidRPr="005A6028" w:rsidR="00973BA1" w:rsidP="00D7536E" w:rsidRDefault="00973BA1" w14:paraId="55A43E6A" w14:textId="77777777">
            <w:pPr>
              <w:jc w:val="right"/>
              <w:rPr>
                <w:rFonts w:cstheme="minorHAnsi"/>
                <w:szCs w:val="18"/>
              </w:rPr>
            </w:pPr>
            <w:r w:rsidRPr="005A6028">
              <w:rPr>
                <w:rFonts w:cstheme="minorHAnsi"/>
                <w:szCs w:val="18"/>
              </w:rPr>
              <w:t>-</w:t>
            </w:r>
          </w:p>
        </w:tc>
        <w:tc>
          <w:tcPr>
            <w:tcW w:w="839" w:type="dxa"/>
          </w:tcPr>
          <w:p w:rsidRPr="005A6028" w:rsidR="00973BA1" w:rsidP="00D7536E" w:rsidRDefault="00973BA1" w14:paraId="18FB5515" w14:textId="77777777">
            <w:pPr>
              <w:jc w:val="right"/>
              <w:rPr>
                <w:rFonts w:cstheme="minorHAnsi"/>
                <w:szCs w:val="18"/>
              </w:rPr>
            </w:pPr>
            <w:r w:rsidRPr="005A6028">
              <w:rPr>
                <w:rFonts w:cstheme="minorHAnsi"/>
                <w:szCs w:val="18"/>
              </w:rPr>
              <w:t>-</w:t>
            </w:r>
          </w:p>
        </w:tc>
        <w:tc>
          <w:tcPr>
            <w:tcW w:w="839" w:type="dxa"/>
          </w:tcPr>
          <w:p w:rsidRPr="005A6028" w:rsidR="00973BA1" w:rsidP="00D7536E" w:rsidRDefault="00973BA1" w14:paraId="7CFBC1AB" w14:textId="77777777">
            <w:pPr>
              <w:jc w:val="right"/>
              <w:rPr>
                <w:rFonts w:cstheme="minorHAnsi"/>
                <w:szCs w:val="18"/>
              </w:rPr>
            </w:pPr>
          </w:p>
        </w:tc>
      </w:tr>
      <w:tr w:rsidRPr="005A6028" w:rsidR="00973BA1" w:rsidTr="00D7536E" w14:paraId="6E314454" w14:textId="77777777">
        <w:tc>
          <w:tcPr>
            <w:tcW w:w="2053" w:type="dxa"/>
          </w:tcPr>
          <w:p w:rsidRPr="005A6028" w:rsidR="00973BA1" w:rsidP="00D7536E" w:rsidRDefault="00973BA1" w14:paraId="32CC621B" w14:textId="77777777">
            <w:pPr>
              <w:pStyle w:val="Lijstalinea"/>
              <w:numPr>
                <w:ilvl w:val="0"/>
                <w:numId w:val="1"/>
              </w:numPr>
              <w:rPr>
                <w:rFonts w:cstheme="minorHAnsi"/>
              </w:rPr>
            </w:pPr>
            <w:r w:rsidRPr="005A6028">
              <w:rPr>
                <w:rFonts w:cstheme="minorHAnsi"/>
              </w:rPr>
              <w:t>Na huidige maatregel(en)</w:t>
            </w:r>
          </w:p>
        </w:tc>
        <w:tc>
          <w:tcPr>
            <w:tcW w:w="839" w:type="dxa"/>
          </w:tcPr>
          <w:p w:rsidRPr="005A6028" w:rsidR="00973BA1" w:rsidP="00D7536E" w:rsidRDefault="00973BA1" w14:paraId="65DC7A7A" w14:textId="77777777">
            <w:pPr>
              <w:jc w:val="right"/>
              <w:rPr>
                <w:rFonts w:cstheme="minorHAnsi"/>
                <w:szCs w:val="18"/>
              </w:rPr>
            </w:pPr>
            <w:r w:rsidRPr="005A6028">
              <w:rPr>
                <w:rFonts w:cstheme="minorHAnsi"/>
                <w:szCs w:val="18"/>
              </w:rPr>
              <w:t>13,70%</w:t>
            </w:r>
          </w:p>
        </w:tc>
        <w:tc>
          <w:tcPr>
            <w:tcW w:w="839" w:type="dxa"/>
          </w:tcPr>
          <w:p w:rsidRPr="005A6028" w:rsidR="00973BA1" w:rsidP="00D7536E" w:rsidRDefault="00973BA1" w14:paraId="56537DE6" w14:textId="77777777">
            <w:pPr>
              <w:jc w:val="right"/>
              <w:rPr>
                <w:rFonts w:cstheme="minorHAnsi"/>
                <w:szCs w:val="18"/>
              </w:rPr>
            </w:pPr>
            <w:r w:rsidRPr="005A6028">
              <w:rPr>
                <w:rFonts w:cstheme="minorHAnsi"/>
                <w:szCs w:val="18"/>
              </w:rPr>
              <w:t>13,73%</w:t>
            </w:r>
          </w:p>
        </w:tc>
        <w:tc>
          <w:tcPr>
            <w:tcW w:w="839" w:type="dxa"/>
          </w:tcPr>
          <w:p w:rsidRPr="005A6028" w:rsidR="00973BA1" w:rsidP="00D7536E" w:rsidRDefault="00973BA1" w14:paraId="5C11C9C1" w14:textId="77777777">
            <w:pPr>
              <w:jc w:val="right"/>
              <w:rPr>
                <w:rFonts w:cstheme="minorHAnsi"/>
                <w:szCs w:val="18"/>
              </w:rPr>
            </w:pPr>
            <w:r w:rsidRPr="005A6028">
              <w:rPr>
                <w:rFonts w:cstheme="minorHAnsi"/>
                <w:szCs w:val="18"/>
              </w:rPr>
              <w:t>13,76%</w:t>
            </w:r>
          </w:p>
        </w:tc>
        <w:tc>
          <w:tcPr>
            <w:tcW w:w="839" w:type="dxa"/>
          </w:tcPr>
          <w:p w:rsidRPr="005A6028" w:rsidR="00973BA1" w:rsidP="00D7536E" w:rsidRDefault="00973BA1" w14:paraId="3175CBDA" w14:textId="77777777">
            <w:pPr>
              <w:jc w:val="right"/>
              <w:rPr>
                <w:rFonts w:cstheme="minorHAnsi"/>
                <w:szCs w:val="18"/>
              </w:rPr>
            </w:pPr>
            <w:r w:rsidRPr="005A6028">
              <w:rPr>
                <w:rFonts w:cstheme="minorHAnsi"/>
                <w:szCs w:val="18"/>
              </w:rPr>
              <w:t>13,79%</w:t>
            </w:r>
          </w:p>
        </w:tc>
        <w:tc>
          <w:tcPr>
            <w:tcW w:w="839" w:type="dxa"/>
          </w:tcPr>
          <w:p w:rsidRPr="005A6028" w:rsidR="00973BA1" w:rsidP="00D7536E" w:rsidRDefault="00973BA1" w14:paraId="0F1A42C4" w14:textId="77777777">
            <w:pPr>
              <w:jc w:val="right"/>
              <w:rPr>
                <w:rFonts w:cstheme="minorHAnsi"/>
                <w:szCs w:val="18"/>
              </w:rPr>
            </w:pPr>
            <w:r w:rsidRPr="005A6028">
              <w:rPr>
                <w:rFonts w:cstheme="minorHAnsi"/>
                <w:szCs w:val="18"/>
              </w:rPr>
              <w:t>13,82%</w:t>
            </w:r>
          </w:p>
        </w:tc>
        <w:tc>
          <w:tcPr>
            <w:tcW w:w="839" w:type="dxa"/>
          </w:tcPr>
          <w:p w:rsidRPr="005A6028" w:rsidR="00973BA1" w:rsidP="00D7536E" w:rsidRDefault="00973BA1" w14:paraId="7D800123" w14:textId="77777777">
            <w:pPr>
              <w:jc w:val="right"/>
              <w:rPr>
                <w:rFonts w:cstheme="minorHAnsi"/>
                <w:szCs w:val="18"/>
              </w:rPr>
            </w:pPr>
            <w:r w:rsidRPr="005A6028">
              <w:rPr>
                <w:rFonts w:cstheme="minorHAnsi"/>
                <w:szCs w:val="18"/>
              </w:rPr>
              <w:t>13,85%</w:t>
            </w:r>
          </w:p>
        </w:tc>
        <w:tc>
          <w:tcPr>
            <w:tcW w:w="839" w:type="dxa"/>
          </w:tcPr>
          <w:p w:rsidRPr="005A6028" w:rsidR="00973BA1" w:rsidP="00D7536E" w:rsidRDefault="00973BA1" w14:paraId="32B894CD" w14:textId="77777777">
            <w:pPr>
              <w:jc w:val="right"/>
              <w:rPr>
                <w:rFonts w:cstheme="minorHAnsi"/>
                <w:szCs w:val="18"/>
              </w:rPr>
            </w:pPr>
            <w:r w:rsidRPr="005A6028">
              <w:rPr>
                <w:rFonts w:cstheme="minorHAnsi"/>
                <w:szCs w:val="18"/>
              </w:rPr>
              <w:t>14,15%</w:t>
            </w:r>
          </w:p>
        </w:tc>
      </w:tr>
      <w:tr w:rsidRPr="005A6028" w:rsidR="00973BA1" w:rsidTr="00D7536E" w14:paraId="7C0961A3" w14:textId="77777777">
        <w:tc>
          <w:tcPr>
            <w:tcW w:w="2053" w:type="dxa"/>
          </w:tcPr>
          <w:p w:rsidRPr="005A6028" w:rsidR="00973BA1" w:rsidP="00D7536E" w:rsidRDefault="00973BA1" w14:paraId="73172BC5" w14:textId="77777777">
            <w:pPr>
              <w:pStyle w:val="Lijstalinea"/>
              <w:ind w:left="360"/>
              <w:rPr>
                <w:rFonts w:cstheme="minorHAnsi"/>
              </w:rPr>
            </w:pPr>
          </w:p>
        </w:tc>
        <w:tc>
          <w:tcPr>
            <w:tcW w:w="839" w:type="dxa"/>
          </w:tcPr>
          <w:p w:rsidRPr="005A6028" w:rsidR="00973BA1" w:rsidP="00D7536E" w:rsidRDefault="00973BA1" w14:paraId="5AF71C13" w14:textId="77777777">
            <w:pPr>
              <w:jc w:val="right"/>
              <w:rPr>
                <w:rFonts w:cstheme="minorHAnsi"/>
                <w:szCs w:val="18"/>
              </w:rPr>
            </w:pPr>
          </w:p>
        </w:tc>
        <w:tc>
          <w:tcPr>
            <w:tcW w:w="839" w:type="dxa"/>
          </w:tcPr>
          <w:p w:rsidRPr="005A6028" w:rsidR="00973BA1" w:rsidP="00D7536E" w:rsidRDefault="00973BA1" w14:paraId="54FCFA50" w14:textId="77777777">
            <w:pPr>
              <w:jc w:val="right"/>
              <w:rPr>
                <w:rFonts w:cstheme="minorHAnsi"/>
                <w:szCs w:val="18"/>
              </w:rPr>
            </w:pPr>
          </w:p>
        </w:tc>
        <w:tc>
          <w:tcPr>
            <w:tcW w:w="839" w:type="dxa"/>
          </w:tcPr>
          <w:p w:rsidRPr="005A6028" w:rsidR="00973BA1" w:rsidP="00D7536E" w:rsidRDefault="00973BA1" w14:paraId="081BC11B" w14:textId="77777777">
            <w:pPr>
              <w:jc w:val="right"/>
              <w:rPr>
                <w:rFonts w:cstheme="minorHAnsi"/>
                <w:szCs w:val="18"/>
              </w:rPr>
            </w:pPr>
          </w:p>
        </w:tc>
        <w:tc>
          <w:tcPr>
            <w:tcW w:w="839" w:type="dxa"/>
          </w:tcPr>
          <w:p w:rsidRPr="005A6028" w:rsidR="00973BA1" w:rsidP="00D7536E" w:rsidRDefault="00973BA1" w14:paraId="2BCBEDD2" w14:textId="77777777">
            <w:pPr>
              <w:jc w:val="right"/>
              <w:rPr>
                <w:rFonts w:cstheme="minorHAnsi"/>
                <w:szCs w:val="18"/>
              </w:rPr>
            </w:pPr>
          </w:p>
        </w:tc>
        <w:tc>
          <w:tcPr>
            <w:tcW w:w="839" w:type="dxa"/>
          </w:tcPr>
          <w:p w:rsidRPr="005A6028" w:rsidR="00973BA1" w:rsidP="00D7536E" w:rsidRDefault="00973BA1" w14:paraId="496F4FEE" w14:textId="77777777">
            <w:pPr>
              <w:jc w:val="right"/>
              <w:rPr>
                <w:rFonts w:cstheme="minorHAnsi"/>
                <w:szCs w:val="18"/>
              </w:rPr>
            </w:pPr>
          </w:p>
        </w:tc>
        <w:tc>
          <w:tcPr>
            <w:tcW w:w="839" w:type="dxa"/>
          </w:tcPr>
          <w:p w:rsidRPr="005A6028" w:rsidR="00973BA1" w:rsidP="00D7536E" w:rsidRDefault="00973BA1" w14:paraId="4E5A319B" w14:textId="77777777">
            <w:pPr>
              <w:jc w:val="right"/>
              <w:rPr>
                <w:rFonts w:cstheme="minorHAnsi"/>
                <w:szCs w:val="18"/>
              </w:rPr>
            </w:pPr>
          </w:p>
        </w:tc>
        <w:tc>
          <w:tcPr>
            <w:tcW w:w="839" w:type="dxa"/>
          </w:tcPr>
          <w:p w:rsidRPr="005A6028" w:rsidR="00973BA1" w:rsidP="00D7536E" w:rsidRDefault="00973BA1" w14:paraId="752DE078" w14:textId="77777777">
            <w:pPr>
              <w:jc w:val="right"/>
              <w:rPr>
                <w:rFonts w:cstheme="minorHAnsi"/>
                <w:szCs w:val="18"/>
              </w:rPr>
            </w:pPr>
          </w:p>
        </w:tc>
      </w:tr>
      <w:tr w:rsidRPr="005A6028" w:rsidR="00973BA1" w:rsidTr="00D7536E" w14:paraId="545A2716" w14:textId="77777777">
        <w:tc>
          <w:tcPr>
            <w:tcW w:w="2053" w:type="dxa"/>
          </w:tcPr>
          <w:p w:rsidRPr="005A6028" w:rsidR="00973BA1" w:rsidP="00D7536E" w:rsidRDefault="00973BA1" w14:paraId="0EF3A8C6" w14:textId="77777777">
            <w:pPr>
              <w:pStyle w:val="Lijstalinea"/>
              <w:ind w:left="360"/>
              <w:rPr>
                <w:rFonts w:cstheme="minorHAnsi"/>
              </w:rPr>
            </w:pPr>
          </w:p>
        </w:tc>
        <w:tc>
          <w:tcPr>
            <w:tcW w:w="839" w:type="dxa"/>
          </w:tcPr>
          <w:p w:rsidRPr="005A6028" w:rsidR="00973BA1" w:rsidP="00D7536E" w:rsidRDefault="00973BA1" w14:paraId="349E5F77" w14:textId="77777777">
            <w:pPr>
              <w:jc w:val="right"/>
              <w:rPr>
                <w:rFonts w:cstheme="minorHAnsi"/>
                <w:szCs w:val="18"/>
              </w:rPr>
            </w:pPr>
          </w:p>
        </w:tc>
        <w:tc>
          <w:tcPr>
            <w:tcW w:w="839" w:type="dxa"/>
          </w:tcPr>
          <w:p w:rsidRPr="005A6028" w:rsidR="00973BA1" w:rsidP="00D7536E" w:rsidRDefault="00973BA1" w14:paraId="3AC1202A" w14:textId="77777777">
            <w:pPr>
              <w:jc w:val="right"/>
              <w:rPr>
                <w:rFonts w:cstheme="minorHAnsi"/>
                <w:szCs w:val="18"/>
              </w:rPr>
            </w:pPr>
          </w:p>
        </w:tc>
        <w:tc>
          <w:tcPr>
            <w:tcW w:w="839" w:type="dxa"/>
          </w:tcPr>
          <w:p w:rsidRPr="005A6028" w:rsidR="00973BA1" w:rsidP="00D7536E" w:rsidRDefault="00973BA1" w14:paraId="1DFBAD1F" w14:textId="77777777">
            <w:pPr>
              <w:jc w:val="right"/>
              <w:rPr>
                <w:rFonts w:cstheme="minorHAnsi"/>
                <w:szCs w:val="18"/>
              </w:rPr>
            </w:pPr>
          </w:p>
        </w:tc>
        <w:tc>
          <w:tcPr>
            <w:tcW w:w="839" w:type="dxa"/>
          </w:tcPr>
          <w:p w:rsidRPr="005A6028" w:rsidR="00973BA1" w:rsidP="00D7536E" w:rsidRDefault="00973BA1" w14:paraId="5B2D4B23" w14:textId="77777777">
            <w:pPr>
              <w:jc w:val="right"/>
              <w:rPr>
                <w:rFonts w:cstheme="minorHAnsi"/>
                <w:szCs w:val="18"/>
              </w:rPr>
            </w:pPr>
          </w:p>
        </w:tc>
        <w:tc>
          <w:tcPr>
            <w:tcW w:w="839" w:type="dxa"/>
          </w:tcPr>
          <w:p w:rsidRPr="005A6028" w:rsidR="00973BA1" w:rsidP="00D7536E" w:rsidRDefault="00973BA1" w14:paraId="73A8657D" w14:textId="77777777">
            <w:pPr>
              <w:jc w:val="right"/>
              <w:rPr>
                <w:rFonts w:cstheme="minorHAnsi"/>
                <w:szCs w:val="18"/>
              </w:rPr>
            </w:pPr>
          </w:p>
        </w:tc>
        <w:tc>
          <w:tcPr>
            <w:tcW w:w="839" w:type="dxa"/>
          </w:tcPr>
          <w:p w:rsidRPr="005A6028" w:rsidR="00973BA1" w:rsidP="00D7536E" w:rsidRDefault="00973BA1" w14:paraId="1E4A5C35" w14:textId="77777777">
            <w:pPr>
              <w:jc w:val="right"/>
              <w:rPr>
                <w:rFonts w:cstheme="minorHAnsi"/>
                <w:szCs w:val="18"/>
              </w:rPr>
            </w:pPr>
          </w:p>
        </w:tc>
        <w:tc>
          <w:tcPr>
            <w:tcW w:w="839" w:type="dxa"/>
          </w:tcPr>
          <w:p w:rsidRPr="005A6028" w:rsidR="00973BA1" w:rsidP="00D7536E" w:rsidRDefault="00973BA1" w14:paraId="25C01108" w14:textId="77777777">
            <w:pPr>
              <w:jc w:val="right"/>
              <w:rPr>
                <w:rFonts w:cstheme="minorHAnsi"/>
                <w:szCs w:val="18"/>
              </w:rPr>
            </w:pPr>
          </w:p>
        </w:tc>
      </w:tr>
    </w:tbl>
    <w:p w:rsidRPr="005A6028" w:rsidR="00973BA1" w:rsidP="00973BA1" w:rsidRDefault="00973BA1" w14:paraId="219A6643" w14:textId="77777777">
      <w:pPr>
        <w:rPr>
          <w:rFonts w:cstheme="minorHAnsi"/>
          <w:szCs w:val="18"/>
        </w:rPr>
      </w:pPr>
      <w:r w:rsidRPr="005A6028">
        <w:rPr>
          <w:rFonts w:cstheme="minorHAnsi"/>
          <w:szCs w:val="18"/>
        </w:rPr>
        <w:t xml:space="preserve">Het onderhavige besluit leidt op zichzelf naar huidig inzicht vanaf 2026 tot een verwaarloosbare afname van het aantal rechthebbenden op zorgtoeslag. </w:t>
      </w:r>
    </w:p>
    <w:p w:rsidRPr="005A6028" w:rsidR="00973BA1" w:rsidP="00973BA1" w:rsidRDefault="00973BA1" w14:paraId="3B51E810" w14:textId="77777777">
      <w:pPr>
        <w:rPr>
          <w:rFonts w:cstheme="minorHAnsi"/>
          <w:b/>
          <w:bCs/>
          <w:szCs w:val="18"/>
        </w:rPr>
      </w:pPr>
      <w:r w:rsidRPr="005A6028">
        <w:rPr>
          <w:rFonts w:cstheme="minorHAnsi"/>
          <w:b/>
          <w:bCs/>
          <w:szCs w:val="18"/>
        </w:rPr>
        <w:t>4. Budgettaire gevolgen</w:t>
      </w:r>
    </w:p>
    <w:p w:rsidRPr="005A6028" w:rsidR="00973BA1" w:rsidP="00973BA1" w:rsidRDefault="00973BA1" w14:paraId="504091D7" w14:textId="77777777">
      <w:pPr>
        <w:rPr>
          <w:rFonts w:cstheme="minorHAnsi"/>
          <w:szCs w:val="18"/>
        </w:rPr>
      </w:pPr>
      <w:r w:rsidRPr="005A6028">
        <w:rPr>
          <w:rFonts w:cstheme="minorHAnsi"/>
          <w:szCs w:val="18"/>
        </w:rPr>
        <w:t>Het onderhavige besluit heeft naar verwachting een neerwaarts beslag vanaf 2026. In onderstaande tabel staan de budgettaire kosten van het onderhavige besluit als ook de kosten van de maatregel waarvoor deze AMvB dekking levert</w:t>
      </w:r>
    </w:p>
    <w:p w:rsidRPr="005A6028" w:rsidR="00973BA1" w:rsidP="00973BA1" w:rsidRDefault="00973BA1" w14:paraId="5827D1C0" w14:textId="77777777">
      <w:pPr>
        <w:rPr>
          <w:rFonts w:cstheme="minorHAnsi"/>
          <w:szCs w:val="18"/>
        </w:rPr>
      </w:pPr>
      <w:r w:rsidRPr="005A6028">
        <w:rPr>
          <w:rFonts w:cstheme="minorHAnsi"/>
          <w:szCs w:val="18"/>
        </w:rPr>
        <w:t>Tabel 3: Kosten maatregel in miljoenen euro’s (+=hogere uitgaven)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35"/>
        <w:gridCol w:w="964"/>
        <w:gridCol w:w="964"/>
        <w:gridCol w:w="964"/>
        <w:gridCol w:w="964"/>
        <w:gridCol w:w="964"/>
        <w:gridCol w:w="964"/>
      </w:tblGrid>
      <w:tr w:rsidRPr="005A6028" w:rsidR="00973BA1" w:rsidTr="00D7536E" w14:paraId="7B5D59DF" w14:textId="77777777">
        <w:tc>
          <w:tcPr>
            <w:tcW w:w="2835" w:type="dxa"/>
          </w:tcPr>
          <w:p w:rsidRPr="005A6028" w:rsidR="00973BA1" w:rsidP="00D7536E" w:rsidRDefault="00973BA1" w14:paraId="0AA69B21" w14:textId="77777777">
            <w:pPr>
              <w:rPr>
                <w:rFonts w:cstheme="minorHAnsi"/>
                <w:szCs w:val="18"/>
              </w:rPr>
            </w:pPr>
          </w:p>
        </w:tc>
        <w:tc>
          <w:tcPr>
            <w:tcW w:w="964" w:type="dxa"/>
            <w:vAlign w:val="bottom"/>
          </w:tcPr>
          <w:p w:rsidRPr="005A6028" w:rsidR="00973BA1" w:rsidP="00D7536E" w:rsidRDefault="00973BA1" w14:paraId="3499F570" w14:textId="77777777">
            <w:pPr>
              <w:jc w:val="right"/>
              <w:rPr>
                <w:rFonts w:cstheme="minorHAnsi"/>
                <w:szCs w:val="18"/>
              </w:rPr>
            </w:pPr>
            <w:r w:rsidRPr="005A6028">
              <w:rPr>
                <w:rFonts w:cstheme="minorHAnsi"/>
                <w:color w:val="000000"/>
                <w:szCs w:val="18"/>
              </w:rPr>
              <w:t>2026</w:t>
            </w:r>
          </w:p>
        </w:tc>
        <w:tc>
          <w:tcPr>
            <w:tcW w:w="964" w:type="dxa"/>
            <w:vAlign w:val="bottom"/>
          </w:tcPr>
          <w:p w:rsidRPr="005A6028" w:rsidR="00973BA1" w:rsidP="00D7536E" w:rsidRDefault="00973BA1" w14:paraId="1169A939" w14:textId="77777777">
            <w:pPr>
              <w:jc w:val="right"/>
              <w:rPr>
                <w:rFonts w:cstheme="minorHAnsi"/>
                <w:szCs w:val="18"/>
              </w:rPr>
            </w:pPr>
            <w:r w:rsidRPr="005A6028">
              <w:rPr>
                <w:rFonts w:cstheme="minorHAnsi"/>
                <w:color w:val="000000"/>
                <w:szCs w:val="18"/>
              </w:rPr>
              <w:t>2027</w:t>
            </w:r>
          </w:p>
        </w:tc>
        <w:tc>
          <w:tcPr>
            <w:tcW w:w="964" w:type="dxa"/>
            <w:vAlign w:val="bottom"/>
          </w:tcPr>
          <w:p w:rsidRPr="005A6028" w:rsidR="00973BA1" w:rsidP="00D7536E" w:rsidRDefault="00973BA1" w14:paraId="1D8DB9E3" w14:textId="77777777">
            <w:pPr>
              <w:jc w:val="right"/>
              <w:rPr>
                <w:rFonts w:cstheme="minorHAnsi"/>
                <w:szCs w:val="18"/>
              </w:rPr>
            </w:pPr>
            <w:r w:rsidRPr="005A6028">
              <w:rPr>
                <w:rFonts w:cstheme="minorHAnsi"/>
                <w:color w:val="000000"/>
                <w:szCs w:val="18"/>
              </w:rPr>
              <w:t>2028</w:t>
            </w:r>
          </w:p>
        </w:tc>
        <w:tc>
          <w:tcPr>
            <w:tcW w:w="964" w:type="dxa"/>
            <w:vAlign w:val="bottom"/>
          </w:tcPr>
          <w:p w:rsidRPr="005A6028" w:rsidR="00973BA1" w:rsidP="00D7536E" w:rsidRDefault="00973BA1" w14:paraId="61210C8F" w14:textId="77777777">
            <w:pPr>
              <w:jc w:val="right"/>
              <w:rPr>
                <w:rFonts w:cstheme="minorHAnsi"/>
                <w:szCs w:val="18"/>
              </w:rPr>
            </w:pPr>
            <w:r w:rsidRPr="005A6028">
              <w:rPr>
                <w:rFonts w:cstheme="minorHAnsi"/>
                <w:color w:val="000000"/>
                <w:szCs w:val="18"/>
              </w:rPr>
              <w:t>2029</w:t>
            </w:r>
          </w:p>
        </w:tc>
        <w:tc>
          <w:tcPr>
            <w:tcW w:w="964" w:type="dxa"/>
            <w:vAlign w:val="bottom"/>
          </w:tcPr>
          <w:p w:rsidRPr="005A6028" w:rsidR="00973BA1" w:rsidP="00D7536E" w:rsidRDefault="00973BA1" w14:paraId="4BEBB4A6" w14:textId="77777777">
            <w:pPr>
              <w:jc w:val="right"/>
              <w:rPr>
                <w:rFonts w:cstheme="minorHAnsi"/>
                <w:szCs w:val="18"/>
              </w:rPr>
            </w:pPr>
            <w:r w:rsidRPr="005A6028">
              <w:rPr>
                <w:rFonts w:cstheme="minorHAnsi"/>
                <w:color w:val="000000"/>
                <w:szCs w:val="18"/>
              </w:rPr>
              <w:t>2030</w:t>
            </w:r>
          </w:p>
        </w:tc>
        <w:tc>
          <w:tcPr>
            <w:tcW w:w="964" w:type="dxa"/>
            <w:vAlign w:val="bottom"/>
          </w:tcPr>
          <w:p w:rsidRPr="005A6028" w:rsidR="00973BA1" w:rsidP="00D7536E" w:rsidRDefault="00973BA1" w14:paraId="2C7E10F5" w14:textId="77777777">
            <w:pPr>
              <w:jc w:val="right"/>
              <w:rPr>
                <w:rFonts w:cstheme="minorHAnsi"/>
                <w:szCs w:val="18"/>
              </w:rPr>
            </w:pPr>
            <w:r w:rsidRPr="005A6028">
              <w:rPr>
                <w:rFonts w:cstheme="minorHAnsi"/>
                <w:color w:val="000000"/>
                <w:szCs w:val="18"/>
              </w:rPr>
              <w:t>Struc</w:t>
            </w:r>
          </w:p>
        </w:tc>
      </w:tr>
      <w:tr w:rsidRPr="005A6028" w:rsidR="00973BA1" w:rsidTr="00D7536E" w14:paraId="4534816D" w14:textId="77777777">
        <w:tc>
          <w:tcPr>
            <w:tcW w:w="2835" w:type="dxa"/>
          </w:tcPr>
          <w:p w:rsidRPr="005A6028" w:rsidR="00973BA1" w:rsidP="00D7536E" w:rsidRDefault="00973BA1" w14:paraId="474DBC2B" w14:textId="77777777">
            <w:pPr>
              <w:rPr>
                <w:rFonts w:cstheme="minorHAnsi"/>
                <w:szCs w:val="18"/>
              </w:rPr>
            </w:pPr>
            <w:r w:rsidRPr="005A6028">
              <w:rPr>
                <w:rFonts w:cstheme="minorHAnsi"/>
                <w:szCs w:val="18"/>
              </w:rPr>
              <w:t>Dekking “uitzondering nabetaling op toetsingsinkomen”</w:t>
            </w:r>
          </w:p>
        </w:tc>
        <w:tc>
          <w:tcPr>
            <w:tcW w:w="964" w:type="dxa"/>
            <w:vAlign w:val="bottom"/>
          </w:tcPr>
          <w:p w:rsidRPr="005A6028" w:rsidR="00973BA1" w:rsidP="00D7536E" w:rsidRDefault="00973BA1" w14:paraId="0C3896B7" w14:textId="77777777">
            <w:pPr>
              <w:jc w:val="right"/>
              <w:rPr>
                <w:rFonts w:cstheme="minorHAnsi"/>
                <w:szCs w:val="18"/>
              </w:rPr>
            </w:pPr>
            <w:r w:rsidRPr="005A6028">
              <w:rPr>
                <w:rFonts w:cstheme="minorHAnsi"/>
                <w:color w:val="000000"/>
                <w:szCs w:val="18"/>
              </w:rPr>
              <w:t>-1,5</w:t>
            </w:r>
          </w:p>
        </w:tc>
        <w:tc>
          <w:tcPr>
            <w:tcW w:w="964" w:type="dxa"/>
            <w:vAlign w:val="bottom"/>
          </w:tcPr>
          <w:p w:rsidRPr="005A6028" w:rsidR="00973BA1" w:rsidP="00D7536E" w:rsidRDefault="00973BA1" w14:paraId="71FA9CD4" w14:textId="77777777">
            <w:pPr>
              <w:jc w:val="right"/>
              <w:rPr>
                <w:rFonts w:cstheme="minorHAnsi"/>
                <w:szCs w:val="18"/>
              </w:rPr>
            </w:pPr>
            <w:r w:rsidRPr="005A6028">
              <w:rPr>
                <w:rFonts w:cstheme="minorHAnsi"/>
                <w:color w:val="000000"/>
                <w:szCs w:val="18"/>
              </w:rPr>
              <w:t>-6,3</w:t>
            </w:r>
          </w:p>
        </w:tc>
        <w:tc>
          <w:tcPr>
            <w:tcW w:w="964" w:type="dxa"/>
            <w:vAlign w:val="bottom"/>
          </w:tcPr>
          <w:p w:rsidRPr="005A6028" w:rsidR="00973BA1" w:rsidP="00D7536E" w:rsidRDefault="00973BA1" w14:paraId="365F739E" w14:textId="77777777">
            <w:pPr>
              <w:jc w:val="right"/>
              <w:rPr>
                <w:rFonts w:cstheme="minorHAnsi"/>
                <w:szCs w:val="18"/>
              </w:rPr>
            </w:pPr>
            <w:r w:rsidRPr="005A6028">
              <w:rPr>
                <w:rFonts w:cstheme="minorHAnsi"/>
                <w:color w:val="000000"/>
                <w:szCs w:val="18"/>
              </w:rPr>
              <w:t>-8,2</w:t>
            </w:r>
          </w:p>
        </w:tc>
        <w:tc>
          <w:tcPr>
            <w:tcW w:w="964" w:type="dxa"/>
            <w:vAlign w:val="bottom"/>
          </w:tcPr>
          <w:p w:rsidRPr="005A6028" w:rsidR="00973BA1" w:rsidP="00D7536E" w:rsidRDefault="00973BA1" w14:paraId="06E33EF5" w14:textId="77777777">
            <w:pPr>
              <w:jc w:val="right"/>
              <w:rPr>
                <w:rFonts w:cstheme="minorHAnsi"/>
                <w:szCs w:val="18"/>
              </w:rPr>
            </w:pPr>
            <w:r w:rsidRPr="005A6028">
              <w:rPr>
                <w:rFonts w:cstheme="minorHAnsi"/>
                <w:color w:val="000000"/>
                <w:szCs w:val="18"/>
              </w:rPr>
              <w:t>-6,9</w:t>
            </w:r>
          </w:p>
        </w:tc>
        <w:tc>
          <w:tcPr>
            <w:tcW w:w="964" w:type="dxa"/>
            <w:vAlign w:val="bottom"/>
          </w:tcPr>
          <w:p w:rsidRPr="005A6028" w:rsidR="00973BA1" w:rsidP="00D7536E" w:rsidRDefault="00973BA1" w14:paraId="56F2E637" w14:textId="77777777">
            <w:pPr>
              <w:jc w:val="right"/>
              <w:rPr>
                <w:rFonts w:cstheme="minorHAnsi"/>
                <w:szCs w:val="18"/>
              </w:rPr>
            </w:pPr>
            <w:r w:rsidRPr="005A6028">
              <w:rPr>
                <w:rFonts w:cstheme="minorHAnsi"/>
                <w:color w:val="000000"/>
                <w:szCs w:val="18"/>
              </w:rPr>
              <w:t>-7,1</w:t>
            </w:r>
          </w:p>
        </w:tc>
        <w:tc>
          <w:tcPr>
            <w:tcW w:w="964" w:type="dxa"/>
            <w:vAlign w:val="bottom"/>
          </w:tcPr>
          <w:p w:rsidRPr="005A6028" w:rsidR="00973BA1" w:rsidP="00D7536E" w:rsidRDefault="00973BA1" w14:paraId="3F76A213" w14:textId="77777777">
            <w:pPr>
              <w:jc w:val="right"/>
              <w:rPr>
                <w:rFonts w:cstheme="minorHAnsi"/>
                <w:szCs w:val="18"/>
              </w:rPr>
            </w:pPr>
            <w:r w:rsidRPr="005A6028">
              <w:rPr>
                <w:rFonts w:cstheme="minorHAnsi"/>
                <w:color w:val="000000"/>
                <w:szCs w:val="18"/>
              </w:rPr>
              <w:t>-7,3</w:t>
            </w:r>
          </w:p>
        </w:tc>
      </w:tr>
      <w:tr w:rsidRPr="005A6028" w:rsidR="00973BA1" w:rsidTr="00D7536E" w14:paraId="5C1A0C71" w14:textId="77777777">
        <w:tc>
          <w:tcPr>
            <w:tcW w:w="2835" w:type="dxa"/>
          </w:tcPr>
          <w:p w:rsidRPr="005A6028" w:rsidR="00973BA1" w:rsidP="00D7536E" w:rsidRDefault="00973BA1" w14:paraId="0A561A3A" w14:textId="77777777">
            <w:pPr>
              <w:rPr>
                <w:rFonts w:cstheme="minorHAnsi"/>
                <w:szCs w:val="18"/>
              </w:rPr>
            </w:pPr>
            <w:r w:rsidRPr="005A6028">
              <w:rPr>
                <w:rFonts w:cstheme="minorHAnsi"/>
                <w:szCs w:val="18"/>
              </w:rPr>
              <w:t>Kosten VWS-deel “uitzondering nabetaling op toetsingsinkomen”</w:t>
            </w:r>
          </w:p>
        </w:tc>
        <w:tc>
          <w:tcPr>
            <w:tcW w:w="964" w:type="dxa"/>
            <w:vAlign w:val="bottom"/>
          </w:tcPr>
          <w:p w:rsidRPr="005A6028" w:rsidR="00973BA1" w:rsidP="00D7536E" w:rsidRDefault="00973BA1" w14:paraId="2438DE91" w14:textId="77777777">
            <w:pPr>
              <w:jc w:val="right"/>
              <w:rPr>
                <w:rFonts w:cstheme="minorHAnsi"/>
                <w:szCs w:val="18"/>
              </w:rPr>
            </w:pPr>
            <w:r w:rsidRPr="005A6028">
              <w:rPr>
                <w:rFonts w:cs="Calibri"/>
                <w:color w:val="000000"/>
                <w:szCs w:val="18"/>
              </w:rPr>
              <w:t>0,9</w:t>
            </w:r>
          </w:p>
        </w:tc>
        <w:tc>
          <w:tcPr>
            <w:tcW w:w="964" w:type="dxa"/>
            <w:vAlign w:val="bottom"/>
          </w:tcPr>
          <w:p w:rsidRPr="005A6028" w:rsidR="00973BA1" w:rsidP="00D7536E" w:rsidRDefault="00973BA1" w14:paraId="34BF1CB2" w14:textId="77777777">
            <w:pPr>
              <w:jc w:val="right"/>
              <w:rPr>
                <w:rFonts w:cstheme="minorHAnsi"/>
                <w:szCs w:val="18"/>
              </w:rPr>
            </w:pPr>
            <w:r w:rsidRPr="005A6028">
              <w:rPr>
                <w:rFonts w:cs="Calibri"/>
                <w:color w:val="000000"/>
                <w:szCs w:val="18"/>
              </w:rPr>
              <w:t>6,5</w:t>
            </w:r>
          </w:p>
        </w:tc>
        <w:tc>
          <w:tcPr>
            <w:tcW w:w="964" w:type="dxa"/>
            <w:vAlign w:val="bottom"/>
          </w:tcPr>
          <w:p w:rsidRPr="005A6028" w:rsidR="00973BA1" w:rsidP="00D7536E" w:rsidRDefault="00973BA1" w14:paraId="22BC9F19" w14:textId="77777777">
            <w:pPr>
              <w:jc w:val="right"/>
              <w:rPr>
                <w:rFonts w:cstheme="minorHAnsi"/>
                <w:szCs w:val="18"/>
              </w:rPr>
            </w:pPr>
            <w:r w:rsidRPr="005A6028">
              <w:rPr>
                <w:rFonts w:cs="Calibri"/>
                <w:color w:val="000000"/>
                <w:szCs w:val="18"/>
              </w:rPr>
              <w:t>7,5</w:t>
            </w:r>
          </w:p>
        </w:tc>
        <w:tc>
          <w:tcPr>
            <w:tcW w:w="964" w:type="dxa"/>
            <w:vAlign w:val="bottom"/>
          </w:tcPr>
          <w:p w:rsidRPr="005A6028" w:rsidR="00973BA1" w:rsidP="00D7536E" w:rsidRDefault="00973BA1" w14:paraId="39305208" w14:textId="77777777">
            <w:pPr>
              <w:jc w:val="right"/>
              <w:rPr>
                <w:rFonts w:cstheme="minorHAnsi"/>
                <w:szCs w:val="18"/>
              </w:rPr>
            </w:pPr>
            <w:r w:rsidRPr="005A6028">
              <w:rPr>
                <w:rFonts w:cs="Calibri"/>
                <w:color w:val="000000"/>
                <w:szCs w:val="18"/>
              </w:rPr>
              <w:t>7,0</w:t>
            </w:r>
          </w:p>
        </w:tc>
        <w:tc>
          <w:tcPr>
            <w:tcW w:w="964" w:type="dxa"/>
            <w:vAlign w:val="bottom"/>
          </w:tcPr>
          <w:p w:rsidRPr="005A6028" w:rsidR="00973BA1" w:rsidP="00D7536E" w:rsidRDefault="00973BA1" w14:paraId="0DC7CF7B" w14:textId="77777777">
            <w:pPr>
              <w:jc w:val="right"/>
              <w:rPr>
                <w:rFonts w:cstheme="minorHAnsi"/>
                <w:szCs w:val="18"/>
              </w:rPr>
            </w:pPr>
            <w:r w:rsidRPr="005A6028">
              <w:rPr>
                <w:rFonts w:cs="Calibri"/>
                <w:color w:val="000000"/>
                <w:szCs w:val="18"/>
              </w:rPr>
              <w:t>7,3</w:t>
            </w:r>
          </w:p>
        </w:tc>
        <w:tc>
          <w:tcPr>
            <w:tcW w:w="964" w:type="dxa"/>
            <w:vAlign w:val="bottom"/>
          </w:tcPr>
          <w:p w:rsidRPr="005A6028" w:rsidR="00973BA1" w:rsidP="00D7536E" w:rsidRDefault="00973BA1" w14:paraId="456F5B9A" w14:textId="77777777">
            <w:pPr>
              <w:jc w:val="right"/>
              <w:rPr>
                <w:rFonts w:cstheme="minorHAnsi"/>
                <w:szCs w:val="18"/>
              </w:rPr>
            </w:pPr>
            <w:r w:rsidRPr="005A6028">
              <w:rPr>
                <w:rFonts w:cs="Calibri"/>
                <w:color w:val="000000"/>
                <w:szCs w:val="18"/>
              </w:rPr>
              <w:t>7,8</w:t>
            </w:r>
          </w:p>
        </w:tc>
      </w:tr>
      <w:tr w:rsidRPr="005A6028" w:rsidR="00973BA1" w:rsidTr="00D7536E" w14:paraId="75317864" w14:textId="77777777">
        <w:tc>
          <w:tcPr>
            <w:tcW w:w="2835" w:type="dxa"/>
          </w:tcPr>
          <w:p w:rsidRPr="005A6028" w:rsidR="00973BA1" w:rsidP="00D7536E" w:rsidRDefault="00973BA1" w14:paraId="6E5C41A9" w14:textId="77777777">
            <w:pPr>
              <w:rPr>
                <w:rFonts w:cstheme="minorHAnsi"/>
                <w:szCs w:val="18"/>
              </w:rPr>
            </w:pPr>
          </w:p>
        </w:tc>
        <w:tc>
          <w:tcPr>
            <w:tcW w:w="964" w:type="dxa"/>
          </w:tcPr>
          <w:p w:rsidRPr="005A6028" w:rsidR="00973BA1" w:rsidP="00D7536E" w:rsidRDefault="00973BA1" w14:paraId="644FDED6" w14:textId="77777777">
            <w:pPr>
              <w:jc w:val="right"/>
              <w:rPr>
                <w:rFonts w:cstheme="minorHAnsi"/>
                <w:szCs w:val="18"/>
              </w:rPr>
            </w:pPr>
          </w:p>
        </w:tc>
        <w:tc>
          <w:tcPr>
            <w:tcW w:w="964" w:type="dxa"/>
          </w:tcPr>
          <w:p w:rsidRPr="005A6028" w:rsidR="00973BA1" w:rsidP="00D7536E" w:rsidRDefault="00973BA1" w14:paraId="6724AE0D" w14:textId="77777777">
            <w:pPr>
              <w:jc w:val="right"/>
              <w:rPr>
                <w:rFonts w:cstheme="minorHAnsi"/>
                <w:szCs w:val="18"/>
              </w:rPr>
            </w:pPr>
          </w:p>
        </w:tc>
        <w:tc>
          <w:tcPr>
            <w:tcW w:w="964" w:type="dxa"/>
          </w:tcPr>
          <w:p w:rsidRPr="005A6028" w:rsidR="00973BA1" w:rsidP="00D7536E" w:rsidRDefault="00973BA1" w14:paraId="053621A9" w14:textId="77777777">
            <w:pPr>
              <w:jc w:val="right"/>
              <w:rPr>
                <w:rFonts w:cstheme="minorHAnsi"/>
                <w:szCs w:val="18"/>
              </w:rPr>
            </w:pPr>
          </w:p>
        </w:tc>
        <w:tc>
          <w:tcPr>
            <w:tcW w:w="964" w:type="dxa"/>
          </w:tcPr>
          <w:p w:rsidRPr="005A6028" w:rsidR="00973BA1" w:rsidP="00D7536E" w:rsidRDefault="00973BA1" w14:paraId="08B60A51" w14:textId="77777777">
            <w:pPr>
              <w:jc w:val="right"/>
              <w:rPr>
                <w:rFonts w:cstheme="minorHAnsi"/>
                <w:szCs w:val="18"/>
              </w:rPr>
            </w:pPr>
          </w:p>
        </w:tc>
        <w:tc>
          <w:tcPr>
            <w:tcW w:w="964" w:type="dxa"/>
          </w:tcPr>
          <w:p w:rsidRPr="005A6028" w:rsidR="00973BA1" w:rsidP="00D7536E" w:rsidRDefault="00973BA1" w14:paraId="4AB68890" w14:textId="77777777">
            <w:pPr>
              <w:jc w:val="right"/>
              <w:rPr>
                <w:rFonts w:cstheme="minorHAnsi"/>
                <w:szCs w:val="18"/>
              </w:rPr>
            </w:pPr>
          </w:p>
        </w:tc>
        <w:tc>
          <w:tcPr>
            <w:tcW w:w="964" w:type="dxa"/>
          </w:tcPr>
          <w:p w:rsidRPr="005A6028" w:rsidR="00973BA1" w:rsidP="00D7536E" w:rsidRDefault="00973BA1" w14:paraId="57A1CC8F" w14:textId="77777777">
            <w:pPr>
              <w:jc w:val="right"/>
              <w:rPr>
                <w:rFonts w:cstheme="minorHAnsi"/>
                <w:szCs w:val="18"/>
              </w:rPr>
            </w:pPr>
          </w:p>
        </w:tc>
      </w:tr>
    </w:tbl>
    <w:p w:rsidRPr="005A6028" w:rsidR="00973BA1" w:rsidP="00973BA1" w:rsidRDefault="00973BA1" w14:paraId="05E48A7E" w14:textId="77777777">
      <w:pPr>
        <w:rPr>
          <w:rFonts w:cstheme="minorHAnsi"/>
          <w:szCs w:val="18"/>
        </w:rPr>
      </w:pPr>
    </w:p>
    <w:p w:rsidRPr="005A6028" w:rsidR="00973BA1" w:rsidP="00973BA1" w:rsidRDefault="00973BA1" w14:paraId="2BA1C87C" w14:textId="77777777">
      <w:pPr>
        <w:rPr>
          <w:rFonts w:cstheme="minorHAnsi"/>
          <w:b/>
          <w:bCs/>
          <w:szCs w:val="18"/>
        </w:rPr>
      </w:pPr>
      <w:r w:rsidRPr="005A6028">
        <w:rPr>
          <w:rFonts w:cstheme="minorHAnsi"/>
          <w:b/>
          <w:bCs/>
          <w:szCs w:val="18"/>
        </w:rPr>
        <w:t xml:space="preserve">5. Inkomenseffecten en effect op de marginale druk </w:t>
      </w:r>
    </w:p>
    <w:p w:rsidRPr="005A6028" w:rsidR="00973BA1" w:rsidP="00973BA1" w:rsidRDefault="00973BA1" w14:paraId="7895062C" w14:textId="77777777">
      <w:pPr>
        <w:rPr>
          <w:rFonts w:cstheme="minorHAnsi"/>
          <w:szCs w:val="18"/>
        </w:rPr>
      </w:pPr>
      <w:r w:rsidRPr="005A6028">
        <w:rPr>
          <w:rFonts w:cstheme="minorHAnsi"/>
          <w:szCs w:val="18"/>
        </w:rPr>
        <w:t>De zorgtoeslag zal voor alle huishoudens met recht op zorgtoeslag vanaf 2026 lager uitvallen dan zonder het onderhavige besluit het geval zou zijn geweest. Op jaarbasis levert dat de volgende verlaging op per huishouden.</w:t>
      </w:r>
    </w:p>
    <w:p w:rsidRPr="005A6028" w:rsidR="00973BA1" w:rsidP="00973BA1" w:rsidRDefault="00973BA1" w14:paraId="081AD0FB" w14:textId="77777777">
      <w:pPr>
        <w:rPr>
          <w:rFonts w:cstheme="minorHAnsi"/>
          <w:szCs w:val="18"/>
        </w:rPr>
      </w:pPr>
      <w:r w:rsidRPr="005A6028">
        <w:rPr>
          <w:rFonts w:cstheme="minorHAnsi"/>
          <w:szCs w:val="18"/>
        </w:rPr>
        <w:t>Tabel 4: Kosten maatregel per huishouden in de zorgtoeslag in euro’s (+=hogere zorgtoeslag)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35"/>
        <w:gridCol w:w="964"/>
        <w:gridCol w:w="964"/>
        <w:gridCol w:w="964"/>
        <w:gridCol w:w="964"/>
        <w:gridCol w:w="964"/>
        <w:gridCol w:w="964"/>
      </w:tblGrid>
      <w:tr w:rsidRPr="005A6028" w:rsidR="00973BA1" w:rsidTr="00D7536E" w14:paraId="541AD87F" w14:textId="77777777">
        <w:tc>
          <w:tcPr>
            <w:tcW w:w="2835" w:type="dxa"/>
          </w:tcPr>
          <w:p w:rsidRPr="005A6028" w:rsidR="00973BA1" w:rsidP="00D7536E" w:rsidRDefault="00973BA1" w14:paraId="07CFDE91" w14:textId="77777777">
            <w:pPr>
              <w:rPr>
                <w:rFonts w:cstheme="minorHAnsi"/>
                <w:szCs w:val="18"/>
              </w:rPr>
            </w:pPr>
          </w:p>
        </w:tc>
        <w:tc>
          <w:tcPr>
            <w:tcW w:w="964" w:type="dxa"/>
            <w:vAlign w:val="bottom"/>
          </w:tcPr>
          <w:p w:rsidRPr="005A6028" w:rsidR="00973BA1" w:rsidP="00D7536E" w:rsidRDefault="00973BA1" w14:paraId="4C9A08B0" w14:textId="77777777">
            <w:pPr>
              <w:jc w:val="right"/>
              <w:rPr>
                <w:rFonts w:cstheme="minorHAnsi"/>
                <w:szCs w:val="18"/>
              </w:rPr>
            </w:pPr>
            <w:r w:rsidRPr="005A6028">
              <w:rPr>
                <w:rFonts w:cstheme="minorHAnsi"/>
                <w:color w:val="000000"/>
                <w:szCs w:val="18"/>
              </w:rPr>
              <w:t>2026</w:t>
            </w:r>
          </w:p>
        </w:tc>
        <w:tc>
          <w:tcPr>
            <w:tcW w:w="964" w:type="dxa"/>
            <w:vAlign w:val="bottom"/>
          </w:tcPr>
          <w:p w:rsidRPr="005A6028" w:rsidR="00973BA1" w:rsidP="00D7536E" w:rsidRDefault="00973BA1" w14:paraId="4C4C21A0" w14:textId="77777777">
            <w:pPr>
              <w:jc w:val="right"/>
              <w:rPr>
                <w:rFonts w:cstheme="minorHAnsi"/>
                <w:szCs w:val="18"/>
              </w:rPr>
            </w:pPr>
            <w:r w:rsidRPr="005A6028">
              <w:rPr>
                <w:rFonts w:cstheme="minorHAnsi"/>
                <w:color w:val="000000"/>
                <w:szCs w:val="18"/>
              </w:rPr>
              <w:t>2027</w:t>
            </w:r>
          </w:p>
        </w:tc>
        <w:tc>
          <w:tcPr>
            <w:tcW w:w="964" w:type="dxa"/>
            <w:vAlign w:val="bottom"/>
          </w:tcPr>
          <w:p w:rsidRPr="005A6028" w:rsidR="00973BA1" w:rsidP="00D7536E" w:rsidRDefault="00973BA1" w14:paraId="1FB2E13A" w14:textId="77777777">
            <w:pPr>
              <w:jc w:val="right"/>
              <w:rPr>
                <w:rFonts w:cstheme="minorHAnsi"/>
                <w:szCs w:val="18"/>
              </w:rPr>
            </w:pPr>
            <w:r w:rsidRPr="005A6028">
              <w:rPr>
                <w:rFonts w:cstheme="minorHAnsi"/>
                <w:color w:val="000000"/>
                <w:szCs w:val="18"/>
              </w:rPr>
              <w:t>2028</w:t>
            </w:r>
          </w:p>
        </w:tc>
        <w:tc>
          <w:tcPr>
            <w:tcW w:w="964" w:type="dxa"/>
            <w:vAlign w:val="bottom"/>
          </w:tcPr>
          <w:p w:rsidRPr="005A6028" w:rsidR="00973BA1" w:rsidP="00D7536E" w:rsidRDefault="00973BA1" w14:paraId="2C772957" w14:textId="77777777">
            <w:pPr>
              <w:jc w:val="right"/>
              <w:rPr>
                <w:rFonts w:cstheme="minorHAnsi"/>
                <w:szCs w:val="18"/>
              </w:rPr>
            </w:pPr>
            <w:r w:rsidRPr="005A6028">
              <w:rPr>
                <w:rFonts w:cstheme="minorHAnsi"/>
                <w:color w:val="000000"/>
                <w:szCs w:val="18"/>
              </w:rPr>
              <w:t>2029</w:t>
            </w:r>
          </w:p>
        </w:tc>
        <w:tc>
          <w:tcPr>
            <w:tcW w:w="964" w:type="dxa"/>
            <w:vAlign w:val="bottom"/>
          </w:tcPr>
          <w:p w:rsidRPr="005A6028" w:rsidR="00973BA1" w:rsidP="00D7536E" w:rsidRDefault="00973BA1" w14:paraId="7279BC14" w14:textId="77777777">
            <w:pPr>
              <w:jc w:val="right"/>
              <w:rPr>
                <w:rFonts w:cstheme="minorHAnsi"/>
                <w:szCs w:val="18"/>
              </w:rPr>
            </w:pPr>
            <w:r w:rsidRPr="005A6028">
              <w:rPr>
                <w:rFonts w:cstheme="minorHAnsi"/>
                <w:color w:val="000000"/>
                <w:szCs w:val="18"/>
              </w:rPr>
              <w:t>2030</w:t>
            </w:r>
          </w:p>
        </w:tc>
        <w:tc>
          <w:tcPr>
            <w:tcW w:w="964" w:type="dxa"/>
            <w:vAlign w:val="bottom"/>
          </w:tcPr>
          <w:p w:rsidRPr="005A6028" w:rsidR="00973BA1" w:rsidP="00D7536E" w:rsidRDefault="00973BA1" w14:paraId="4331446D" w14:textId="77777777">
            <w:pPr>
              <w:jc w:val="right"/>
              <w:rPr>
                <w:rFonts w:cstheme="minorHAnsi"/>
                <w:szCs w:val="18"/>
              </w:rPr>
            </w:pPr>
            <w:r w:rsidRPr="005A6028">
              <w:rPr>
                <w:rFonts w:cstheme="minorHAnsi"/>
                <w:color w:val="000000"/>
                <w:szCs w:val="18"/>
              </w:rPr>
              <w:t>Struc</w:t>
            </w:r>
          </w:p>
        </w:tc>
      </w:tr>
      <w:tr w:rsidRPr="005A6028" w:rsidR="00973BA1" w:rsidTr="00D7536E" w14:paraId="3FCF3F87" w14:textId="77777777">
        <w:tc>
          <w:tcPr>
            <w:tcW w:w="2835" w:type="dxa"/>
          </w:tcPr>
          <w:p w:rsidRPr="005A6028" w:rsidR="00973BA1" w:rsidP="00D7536E" w:rsidRDefault="00973BA1" w14:paraId="24F0643E" w14:textId="77777777">
            <w:pPr>
              <w:rPr>
                <w:rFonts w:cstheme="minorHAnsi"/>
                <w:szCs w:val="18"/>
              </w:rPr>
            </w:pPr>
            <w:r w:rsidRPr="005A6028">
              <w:rPr>
                <w:rFonts w:cstheme="minorHAnsi"/>
                <w:szCs w:val="18"/>
              </w:rPr>
              <w:t>Dekking “uitzondering nabetaling op toetsingsinkomen”</w:t>
            </w:r>
          </w:p>
        </w:tc>
        <w:tc>
          <w:tcPr>
            <w:tcW w:w="964" w:type="dxa"/>
            <w:vAlign w:val="bottom"/>
          </w:tcPr>
          <w:p w:rsidRPr="005A6028" w:rsidR="00973BA1" w:rsidP="00D7536E" w:rsidRDefault="00973BA1" w14:paraId="35426BC7" w14:textId="77777777">
            <w:pPr>
              <w:jc w:val="right"/>
              <w:rPr>
                <w:rFonts w:cstheme="minorHAnsi"/>
                <w:szCs w:val="18"/>
              </w:rPr>
            </w:pPr>
            <w:r w:rsidRPr="005A6028">
              <w:rPr>
                <w:rFonts w:cs="Calibri"/>
                <w:color w:val="000000"/>
                <w:szCs w:val="18"/>
              </w:rPr>
              <w:t>-0,30</w:t>
            </w:r>
          </w:p>
        </w:tc>
        <w:tc>
          <w:tcPr>
            <w:tcW w:w="964" w:type="dxa"/>
            <w:vAlign w:val="bottom"/>
          </w:tcPr>
          <w:p w:rsidRPr="005A6028" w:rsidR="00973BA1" w:rsidP="00D7536E" w:rsidRDefault="00973BA1" w14:paraId="502D6F2F" w14:textId="77777777">
            <w:pPr>
              <w:jc w:val="right"/>
              <w:rPr>
                <w:rFonts w:cstheme="minorHAnsi"/>
                <w:szCs w:val="18"/>
              </w:rPr>
            </w:pPr>
            <w:r w:rsidRPr="005A6028">
              <w:rPr>
                <w:rFonts w:cs="Calibri"/>
                <w:color w:val="000000"/>
                <w:szCs w:val="18"/>
              </w:rPr>
              <w:t>-1,24</w:t>
            </w:r>
          </w:p>
        </w:tc>
        <w:tc>
          <w:tcPr>
            <w:tcW w:w="964" w:type="dxa"/>
            <w:vAlign w:val="bottom"/>
          </w:tcPr>
          <w:p w:rsidRPr="005A6028" w:rsidR="00973BA1" w:rsidP="00D7536E" w:rsidRDefault="00973BA1" w14:paraId="7A0F3942" w14:textId="77777777">
            <w:pPr>
              <w:jc w:val="right"/>
              <w:rPr>
                <w:rFonts w:cstheme="minorHAnsi"/>
                <w:szCs w:val="18"/>
              </w:rPr>
            </w:pPr>
            <w:r w:rsidRPr="005A6028">
              <w:rPr>
                <w:rFonts w:cs="Calibri"/>
                <w:color w:val="000000"/>
                <w:szCs w:val="18"/>
              </w:rPr>
              <w:t>-1,60</w:t>
            </w:r>
          </w:p>
        </w:tc>
        <w:tc>
          <w:tcPr>
            <w:tcW w:w="964" w:type="dxa"/>
            <w:vAlign w:val="bottom"/>
          </w:tcPr>
          <w:p w:rsidRPr="005A6028" w:rsidR="00973BA1" w:rsidP="00D7536E" w:rsidRDefault="00973BA1" w14:paraId="35149B5A" w14:textId="77777777">
            <w:pPr>
              <w:jc w:val="right"/>
              <w:rPr>
                <w:rFonts w:cstheme="minorHAnsi"/>
                <w:szCs w:val="18"/>
              </w:rPr>
            </w:pPr>
            <w:r w:rsidRPr="005A6028">
              <w:rPr>
                <w:rFonts w:cs="Calibri"/>
                <w:color w:val="000000"/>
                <w:szCs w:val="18"/>
              </w:rPr>
              <w:t>-1,32</w:t>
            </w:r>
          </w:p>
        </w:tc>
        <w:tc>
          <w:tcPr>
            <w:tcW w:w="964" w:type="dxa"/>
            <w:vAlign w:val="bottom"/>
          </w:tcPr>
          <w:p w:rsidRPr="005A6028" w:rsidR="00973BA1" w:rsidP="00D7536E" w:rsidRDefault="00973BA1" w14:paraId="7298A7A1" w14:textId="77777777">
            <w:pPr>
              <w:jc w:val="right"/>
              <w:rPr>
                <w:rFonts w:cstheme="minorHAnsi"/>
                <w:szCs w:val="18"/>
              </w:rPr>
            </w:pPr>
            <w:r w:rsidRPr="005A6028">
              <w:rPr>
                <w:rFonts w:cs="Calibri"/>
                <w:color w:val="000000"/>
                <w:szCs w:val="18"/>
              </w:rPr>
              <w:t>-1,37</w:t>
            </w:r>
          </w:p>
        </w:tc>
        <w:tc>
          <w:tcPr>
            <w:tcW w:w="964" w:type="dxa"/>
            <w:vAlign w:val="bottom"/>
          </w:tcPr>
          <w:p w:rsidRPr="005A6028" w:rsidR="00973BA1" w:rsidP="00D7536E" w:rsidRDefault="00973BA1" w14:paraId="6563C6D1" w14:textId="77777777">
            <w:pPr>
              <w:jc w:val="right"/>
              <w:rPr>
                <w:rFonts w:cstheme="minorHAnsi"/>
                <w:szCs w:val="18"/>
              </w:rPr>
            </w:pPr>
            <w:r w:rsidRPr="005A6028">
              <w:rPr>
                <w:rFonts w:cs="Calibri"/>
                <w:color w:val="000000"/>
                <w:szCs w:val="18"/>
              </w:rPr>
              <w:t>-1,41</w:t>
            </w:r>
          </w:p>
        </w:tc>
      </w:tr>
    </w:tbl>
    <w:p w:rsidRPr="005A6028" w:rsidR="00973BA1" w:rsidP="00973BA1" w:rsidRDefault="00973BA1" w14:paraId="0CC504B3" w14:textId="77777777">
      <w:pPr>
        <w:rPr>
          <w:rFonts w:cstheme="minorHAnsi"/>
          <w:szCs w:val="18"/>
        </w:rPr>
      </w:pPr>
    </w:p>
    <w:p w:rsidRPr="005A6028" w:rsidR="00973BA1" w:rsidP="00973BA1" w:rsidRDefault="00973BA1" w14:paraId="7D51F4A8" w14:textId="77777777">
      <w:pPr>
        <w:rPr>
          <w:rFonts w:cstheme="minorHAnsi"/>
          <w:szCs w:val="18"/>
        </w:rPr>
      </w:pPr>
      <w:r w:rsidRPr="005A6028">
        <w:rPr>
          <w:rFonts w:cstheme="minorHAnsi"/>
          <w:szCs w:val="18"/>
        </w:rPr>
        <w:t xml:space="preserve">De inkomenseffecten van het onderhavige besluit zijn nihil voor zowel alleenstaanden als meerpersoonshuishoudens met recht op zorgtoeslag. Dit komt doordat het bedrag waarmee de zorgtoeslag daalt niet significant is.  </w:t>
      </w:r>
    </w:p>
    <w:p w:rsidRPr="005A6028" w:rsidR="00973BA1" w:rsidP="00973BA1" w:rsidRDefault="00973BA1" w14:paraId="4C23C29F" w14:textId="77777777">
      <w:pPr>
        <w:rPr>
          <w:rFonts w:cstheme="minorHAnsi"/>
          <w:szCs w:val="18"/>
        </w:rPr>
      </w:pPr>
      <w:r w:rsidRPr="005A6028">
        <w:rPr>
          <w:rFonts w:cstheme="minorHAnsi"/>
          <w:szCs w:val="18"/>
        </w:rPr>
        <w:lastRenderedPageBreak/>
        <w:t xml:space="preserve">De marginale druk verandert voor de huishoudens met recht op zorgtoeslag niet door dit voorstel. De marginale druk is het deel van de stijging van het bruto-inkomen dat niet resulteert in een stijging van het besteedbaar inkomen. </w:t>
      </w:r>
    </w:p>
    <w:p w:rsidRPr="005A6028" w:rsidR="00973BA1" w:rsidP="00973BA1" w:rsidRDefault="00973BA1" w14:paraId="12EE35B1" w14:textId="77777777">
      <w:pPr>
        <w:rPr>
          <w:rFonts w:cstheme="minorHAnsi"/>
          <w:b/>
          <w:szCs w:val="18"/>
        </w:rPr>
      </w:pPr>
      <w:r w:rsidRPr="005A6028">
        <w:rPr>
          <w:rFonts w:cstheme="minorHAnsi"/>
          <w:b/>
          <w:szCs w:val="18"/>
        </w:rPr>
        <w:t>6. Gevolgen voor de regeldruk en uitvoerbaarheid</w:t>
      </w:r>
    </w:p>
    <w:p w:rsidRPr="005A6028" w:rsidR="00973BA1" w:rsidP="00973BA1" w:rsidRDefault="00973BA1" w14:paraId="578E784E" w14:textId="77777777">
      <w:pPr>
        <w:rPr>
          <w:rFonts w:cstheme="minorHAnsi"/>
          <w:szCs w:val="18"/>
        </w:rPr>
      </w:pPr>
      <w:r w:rsidRPr="005A6028">
        <w:rPr>
          <w:rFonts w:cstheme="minorHAnsi"/>
          <w:szCs w:val="18"/>
        </w:rPr>
        <w:t>Bij het vaststellen van de hoogte van de zorgtoeslag houdt de Dienst Toeslagen automatisch rekening met de nieuwe percentages. Dit vergt geen actie van burgers en/of bedrijven. Onderhavig besluit brengt dan ook geen wijzigingen aan in de handelingen die een burger moet verrichten om zorgtoeslag te ontvangen.</w:t>
      </w:r>
    </w:p>
    <w:p w:rsidRPr="005A6028" w:rsidR="00973BA1" w:rsidP="00973BA1" w:rsidRDefault="00973BA1" w14:paraId="0FAA1A3C" w14:textId="77777777">
      <w:pPr>
        <w:rPr>
          <w:rFonts w:cstheme="minorHAnsi"/>
          <w:szCs w:val="18"/>
        </w:rPr>
      </w:pPr>
      <w:r w:rsidRPr="005A6028">
        <w:rPr>
          <w:rFonts w:cstheme="minorHAnsi"/>
          <w:szCs w:val="18"/>
        </w:rPr>
        <w:t xml:space="preserve">Het onderhavige besluit leidt vanaf 2026 tot een verwaarloosbare afname van het aantal rechthebbenden op zorgtoeslag. Dit komt doordat de wijziging van de normpercentages dusdanig klein is. Hierdoor zal ook de verandering van de administratieve lasten verwaarloosbaar klein zijn. </w:t>
      </w:r>
    </w:p>
    <w:p w:rsidRPr="005A6028" w:rsidR="00973BA1" w:rsidP="00973BA1" w:rsidRDefault="00973BA1" w14:paraId="0BBD37BB" w14:textId="77777777">
      <w:pPr>
        <w:rPr>
          <w:rFonts w:cstheme="minorHAnsi"/>
          <w:szCs w:val="18"/>
        </w:rPr>
      </w:pPr>
      <w:r w:rsidRPr="005A6028">
        <w:rPr>
          <w:rFonts w:cstheme="minorHAnsi"/>
          <w:szCs w:val="18"/>
        </w:rPr>
        <w:t xml:space="preserve">Het ontwerp van dit besluit is voor advies voorgelegd aan het Adviescollege Toetsing Regeldruk (hierna: ATR). Het ATR heeft het dossier niet geselecteerd voor een formeel advies, omdat het niet of nauwelijks gevolgen voor de regeldruk heeft. </w:t>
      </w:r>
    </w:p>
    <w:p w:rsidRPr="005A6028" w:rsidR="00973BA1" w:rsidP="00973BA1" w:rsidRDefault="00973BA1" w14:paraId="750FC2CB" w14:textId="77777777">
      <w:pPr>
        <w:rPr>
          <w:rFonts w:cstheme="minorHAnsi"/>
          <w:szCs w:val="18"/>
        </w:rPr>
      </w:pPr>
    </w:p>
    <w:p w:rsidRPr="005A6028" w:rsidR="00973BA1" w:rsidP="00973BA1" w:rsidRDefault="00973BA1" w14:paraId="78B0D8FC" w14:textId="77777777">
      <w:pPr>
        <w:rPr>
          <w:rFonts w:cstheme="minorHAnsi"/>
          <w:szCs w:val="18"/>
        </w:rPr>
      </w:pPr>
      <w:r w:rsidRPr="005A6028">
        <w:rPr>
          <w:rFonts w:cstheme="minorHAnsi"/>
          <w:szCs w:val="18"/>
        </w:rPr>
        <w:t>De Dienst Toeslagen voert de zorgtoeslag uit. De wijzigingen van de percentages passen in de reguliere (jaarlijkse) aanpassing van de normpremie voor de toekenning van de zorgtoeslag. Die wijzigingen zijn dan ook uitvoerbaar.</w:t>
      </w:r>
    </w:p>
    <w:p w:rsidRPr="005A6028" w:rsidR="00973BA1" w:rsidP="00973BA1" w:rsidRDefault="00973BA1" w14:paraId="33812379" w14:textId="77777777">
      <w:pPr>
        <w:rPr>
          <w:rFonts w:cstheme="minorHAnsi"/>
          <w:b/>
          <w:szCs w:val="18"/>
        </w:rPr>
      </w:pPr>
      <w:r w:rsidRPr="005A6028">
        <w:rPr>
          <w:rFonts w:cstheme="minorHAnsi"/>
          <w:b/>
          <w:szCs w:val="18"/>
        </w:rPr>
        <w:t>7. Voorhang</w:t>
      </w:r>
    </w:p>
    <w:p w:rsidRPr="005A6028" w:rsidR="00973BA1" w:rsidP="00973BA1" w:rsidRDefault="00973BA1" w14:paraId="7C3AB065" w14:textId="77777777">
      <w:pPr>
        <w:rPr>
          <w:rFonts w:cstheme="minorHAnsi"/>
          <w:szCs w:val="18"/>
        </w:rPr>
      </w:pPr>
      <w:r w:rsidRPr="005A6028">
        <w:rPr>
          <w:rFonts w:cstheme="minorHAnsi"/>
          <w:color w:val="211D1F"/>
          <w:szCs w:val="18"/>
        </w:rPr>
        <w:t>Het concept van dit besluit is op grond van artikel 2, zevende lid, van de Wzt, voorgehangen bij de beide kamers der Staten-Generaal.</w:t>
      </w:r>
      <w:r w:rsidRPr="005A6028">
        <w:rPr>
          <w:rStyle w:val="Voetnootmarkering"/>
          <w:rFonts w:cstheme="minorHAnsi"/>
          <w:szCs w:val="18"/>
        </w:rPr>
        <w:footnoteReference w:id="2"/>
      </w:r>
      <w:r w:rsidRPr="005A6028">
        <w:rPr>
          <w:rFonts w:cstheme="minorHAnsi"/>
          <w:color w:val="211D1F"/>
          <w:szCs w:val="18"/>
        </w:rPr>
        <w:t xml:space="preserve"> </w:t>
      </w:r>
      <w:r w:rsidRPr="005A6028">
        <w:rPr>
          <w:rFonts w:cstheme="minorHAnsi"/>
          <w:szCs w:val="18"/>
        </w:rPr>
        <w:t>[PM resultaten voorhang]</w:t>
      </w:r>
    </w:p>
    <w:p w:rsidRPr="005A6028" w:rsidR="00973BA1" w:rsidP="00973BA1" w:rsidRDefault="00973BA1" w14:paraId="728E11EB" w14:textId="77777777">
      <w:pPr>
        <w:rPr>
          <w:rFonts w:cstheme="minorHAnsi"/>
          <w:szCs w:val="18"/>
        </w:rPr>
      </w:pPr>
    </w:p>
    <w:p w:rsidRPr="005A6028" w:rsidR="00973BA1" w:rsidP="00973BA1" w:rsidRDefault="00973BA1" w14:paraId="4F524EB2" w14:textId="77777777">
      <w:pPr>
        <w:rPr>
          <w:rFonts w:cstheme="minorHAnsi"/>
          <w:b/>
          <w:szCs w:val="18"/>
        </w:rPr>
      </w:pPr>
      <w:r w:rsidRPr="005A6028">
        <w:rPr>
          <w:rFonts w:cstheme="minorHAnsi"/>
          <w:b/>
          <w:szCs w:val="18"/>
        </w:rPr>
        <w:t>II Artikelsgewijs</w:t>
      </w:r>
    </w:p>
    <w:p w:rsidRPr="005A6028" w:rsidR="00973BA1" w:rsidP="00973BA1" w:rsidRDefault="00973BA1" w14:paraId="23A1D2EA" w14:textId="77777777">
      <w:pPr>
        <w:rPr>
          <w:rFonts w:cstheme="minorHAnsi"/>
          <w:i/>
          <w:szCs w:val="18"/>
        </w:rPr>
      </w:pPr>
      <w:r w:rsidRPr="005A6028">
        <w:rPr>
          <w:rFonts w:cstheme="minorHAnsi"/>
          <w:i/>
          <w:szCs w:val="18"/>
        </w:rPr>
        <w:t>Artikel I</w:t>
      </w:r>
    </w:p>
    <w:p w:rsidRPr="005A6028" w:rsidR="00973BA1" w:rsidP="00973BA1" w:rsidRDefault="00973BA1" w14:paraId="12252318" w14:textId="77777777">
      <w:pPr>
        <w:rPr>
          <w:rFonts w:cstheme="minorHAnsi"/>
          <w:szCs w:val="18"/>
        </w:rPr>
      </w:pPr>
      <w:r w:rsidRPr="005A6028">
        <w:rPr>
          <w:rFonts w:cstheme="minorHAnsi"/>
          <w:szCs w:val="18"/>
        </w:rPr>
        <w:t xml:space="preserve">De in de tabel bij het desbetreffende berekeningsjaar vermelde percentages gelden voor dat berekeningsjaar als de percentages, bedoeld in artikel 2, derde lid, van de Wzt. </w:t>
      </w:r>
      <w:r w:rsidRPr="005A6028">
        <w:rPr>
          <w:rFonts w:cstheme="minorHAnsi"/>
          <w:szCs w:val="18"/>
        </w:rPr>
        <w:br/>
        <w:t xml:space="preserve">Met ingang van de eerste dag van een berekeningsjaar worden de in artikel 2, derde lid, van de Wzt genoemde percentages vervangen door in de tabel bij dat berekeningsjaar behorende percentages. </w:t>
      </w:r>
    </w:p>
    <w:p w:rsidRPr="005A6028" w:rsidR="00973BA1" w:rsidP="00973BA1" w:rsidRDefault="00973BA1" w14:paraId="35BFF928" w14:textId="77777777">
      <w:pPr>
        <w:spacing w:after="0"/>
        <w:rPr>
          <w:rFonts w:cstheme="minorHAnsi"/>
          <w:szCs w:val="18"/>
        </w:rPr>
      </w:pPr>
    </w:p>
    <w:p w:rsidRPr="005A6028" w:rsidR="00973BA1" w:rsidP="00973BA1" w:rsidRDefault="00973BA1" w14:paraId="20C6382B" w14:textId="77777777">
      <w:pPr>
        <w:spacing w:after="0"/>
        <w:rPr>
          <w:rFonts w:cstheme="minorHAnsi"/>
          <w:szCs w:val="18"/>
        </w:rPr>
      </w:pPr>
      <w:r w:rsidRPr="005A6028">
        <w:rPr>
          <w:rFonts w:cstheme="minorHAnsi"/>
          <w:szCs w:val="18"/>
        </w:rPr>
        <w:t>De Minister van Volksgezondheid, Welzijn en Sport,</w:t>
      </w:r>
    </w:p>
    <w:p w:rsidRPr="005A6028" w:rsidR="00973BA1" w:rsidP="00973BA1" w:rsidRDefault="00973BA1" w14:paraId="1AF25C93" w14:textId="77777777">
      <w:pPr>
        <w:rPr>
          <w:rFonts w:cstheme="minorHAnsi"/>
          <w:szCs w:val="18"/>
        </w:rPr>
      </w:pPr>
    </w:p>
    <w:p w:rsidRPr="00CE5686" w:rsidR="005C34E7" w:rsidP="000562EB" w:rsidRDefault="005C34E7" w14:paraId="1510FA2A" w14:textId="77777777">
      <w:pPr>
        <w:pStyle w:val="Huisstijl-Ondertekeningvervolg"/>
        <w:rPr>
          <w:i w:val="0"/>
          <w:szCs w:val="18"/>
        </w:rPr>
      </w:pPr>
    </w:p>
    <w:p w:rsidRPr="00613B18" w:rsidR="005C34E7" w:rsidP="000562EB" w:rsidRDefault="005C34E7" w14:paraId="4759CB30" w14:textId="77777777">
      <w:pPr>
        <w:pStyle w:val="Huisstijl-Ondertekeningvervolg"/>
        <w:rPr>
          <w:i w:val="0"/>
          <w:szCs w:val="18"/>
        </w:rPr>
      </w:pPr>
    </w:p>
    <w:p w:rsidRPr="00CE5686" w:rsidR="0095347F" w:rsidRDefault="0095347F" w14:paraId="2EA51AE1" w14:textId="77777777">
      <w:pPr>
        <w:rPr>
          <w:szCs w:val="18"/>
        </w:rPr>
      </w:pPr>
    </w:p>
    <w:sectPr w:rsidRPr="00CE5686" w:rsidR="0095347F" w:rsidSect="00973BA1">
      <w:pgSz w:w="11906" w:h="16838"/>
      <w:pgMar w:top="1383" w:right="1771"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BEE27" w14:textId="77777777" w:rsidR="006900FB" w:rsidRDefault="006900FB" w:rsidP="00973BA1">
      <w:pPr>
        <w:spacing w:after="0" w:line="240" w:lineRule="auto"/>
      </w:pPr>
      <w:r>
        <w:separator/>
      </w:r>
    </w:p>
  </w:endnote>
  <w:endnote w:type="continuationSeparator" w:id="0">
    <w:p w14:paraId="5EE16A47" w14:textId="77777777" w:rsidR="006900FB" w:rsidRDefault="006900FB" w:rsidP="0097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BB74" w14:textId="77777777" w:rsidR="006900FB" w:rsidRDefault="006900FB" w:rsidP="00973BA1">
      <w:pPr>
        <w:spacing w:after="0" w:line="240" w:lineRule="auto"/>
      </w:pPr>
      <w:r>
        <w:separator/>
      </w:r>
    </w:p>
  </w:footnote>
  <w:footnote w:type="continuationSeparator" w:id="0">
    <w:p w14:paraId="348C814B" w14:textId="77777777" w:rsidR="006900FB" w:rsidRDefault="006900FB" w:rsidP="00973BA1">
      <w:pPr>
        <w:spacing w:after="0" w:line="240" w:lineRule="auto"/>
      </w:pPr>
      <w:r>
        <w:continuationSeparator/>
      </w:r>
    </w:p>
  </w:footnote>
  <w:footnote w:id="1">
    <w:p w14:paraId="120F307C" w14:textId="77777777" w:rsidR="00973BA1" w:rsidRPr="002D688C" w:rsidRDefault="00973BA1" w:rsidP="00973BA1">
      <w:pPr>
        <w:pStyle w:val="Voetnoottekst"/>
        <w:spacing w:line="240" w:lineRule="auto"/>
        <w:rPr>
          <w:szCs w:val="16"/>
        </w:rPr>
      </w:pPr>
      <w:r w:rsidRPr="002D688C">
        <w:rPr>
          <w:rStyle w:val="Voetnootmarkering"/>
          <w:szCs w:val="16"/>
        </w:rPr>
        <w:footnoteRef/>
      </w:r>
      <w:r w:rsidRPr="002D688C">
        <w:rPr>
          <w:szCs w:val="16"/>
        </w:rPr>
        <w:t xml:space="preserve"> Zorgverzekeringen voor verzekerden jonger dan achttien jaar, zijn premievrij en er geldt voor die verzekerden geen verplicht eigen risico.</w:t>
      </w:r>
    </w:p>
  </w:footnote>
  <w:footnote w:id="2">
    <w:p w14:paraId="6BC3B29A" w14:textId="77777777" w:rsidR="00973BA1" w:rsidRPr="00DB2B59" w:rsidRDefault="00973BA1" w:rsidP="00973BA1">
      <w:pPr>
        <w:pStyle w:val="Voetnoottekst"/>
        <w:rPr>
          <w:sz w:val="14"/>
          <w:szCs w:val="14"/>
        </w:rPr>
      </w:pPr>
      <w:r w:rsidRPr="00DB2B59">
        <w:rPr>
          <w:rStyle w:val="Voetnootmarkering"/>
          <w:sz w:val="14"/>
          <w:szCs w:val="14"/>
        </w:rPr>
        <w:footnoteRef/>
      </w:r>
      <w:r w:rsidRPr="00DB2B59">
        <w:rPr>
          <w:sz w:val="14"/>
          <w:szCs w:val="14"/>
        </w:rPr>
        <w:t xml:space="preserve"> Zie Kamerstukken II 202</w:t>
      </w:r>
      <w:r>
        <w:rPr>
          <w:sz w:val="14"/>
          <w:szCs w:val="14"/>
        </w:rPr>
        <w:t>5</w:t>
      </w:r>
      <w:r w:rsidRPr="00DB2B59">
        <w:rPr>
          <w:sz w:val="14"/>
          <w:szCs w:val="14"/>
        </w:rPr>
        <w:t>/2</w:t>
      </w:r>
      <w:r>
        <w:rPr>
          <w:sz w:val="14"/>
          <w:szCs w:val="14"/>
        </w:rPr>
        <w:t>6</w:t>
      </w:r>
      <w:r w:rsidRPr="00DB2B59">
        <w:rPr>
          <w:sz w:val="14"/>
          <w:szCs w:val="14"/>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651D4"/>
    <w:multiLevelType w:val="hybridMultilevel"/>
    <w:tmpl w:val="33FA5CF0"/>
    <w:lvl w:ilvl="0" w:tplc="762E3AD8">
      <w:numFmt w:val="bullet"/>
      <w:lvlText w:val="-"/>
      <w:lvlJc w:val="left"/>
      <w:pPr>
        <w:ind w:left="360" w:hanging="360"/>
      </w:pPr>
      <w:rPr>
        <w:rFonts w:ascii="Verdana" w:eastAsia="Times New Roman" w:hAnsi="Verdana" w:hint="default"/>
      </w:rPr>
    </w:lvl>
    <w:lvl w:ilvl="1" w:tplc="F7983906" w:tentative="1">
      <w:start w:val="1"/>
      <w:numFmt w:val="bullet"/>
      <w:lvlText w:val="o"/>
      <w:lvlJc w:val="left"/>
      <w:pPr>
        <w:ind w:left="1080" w:hanging="360"/>
      </w:pPr>
      <w:rPr>
        <w:rFonts w:ascii="Courier New" w:hAnsi="Courier New" w:cs="Courier New" w:hint="default"/>
      </w:rPr>
    </w:lvl>
    <w:lvl w:ilvl="2" w:tplc="2176094C" w:tentative="1">
      <w:start w:val="1"/>
      <w:numFmt w:val="bullet"/>
      <w:lvlText w:val=""/>
      <w:lvlJc w:val="left"/>
      <w:pPr>
        <w:ind w:left="1800" w:hanging="360"/>
      </w:pPr>
      <w:rPr>
        <w:rFonts w:ascii="Wingdings" w:hAnsi="Wingdings" w:cs="Wingdings" w:hint="default"/>
      </w:rPr>
    </w:lvl>
    <w:lvl w:ilvl="3" w:tplc="E578E336" w:tentative="1">
      <w:start w:val="1"/>
      <w:numFmt w:val="bullet"/>
      <w:lvlText w:val=""/>
      <w:lvlJc w:val="left"/>
      <w:pPr>
        <w:ind w:left="2520" w:hanging="360"/>
      </w:pPr>
      <w:rPr>
        <w:rFonts w:ascii="Symbol" w:hAnsi="Symbol" w:cs="Symbol" w:hint="default"/>
      </w:rPr>
    </w:lvl>
    <w:lvl w:ilvl="4" w:tplc="49E2C8C0" w:tentative="1">
      <w:start w:val="1"/>
      <w:numFmt w:val="bullet"/>
      <w:lvlText w:val="o"/>
      <w:lvlJc w:val="left"/>
      <w:pPr>
        <w:ind w:left="3240" w:hanging="360"/>
      </w:pPr>
      <w:rPr>
        <w:rFonts w:ascii="Courier New" w:hAnsi="Courier New" w:cs="Courier New" w:hint="default"/>
      </w:rPr>
    </w:lvl>
    <w:lvl w:ilvl="5" w:tplc="1358828E" w:tentative="1">
      <w:start w:val="1"/>
      <w:numFmt w:val="bullet"/>
      <w:lvlText w:val=""/>
      <w:lvlJc w:val="left"/>
      <w:pPr>
        <w:ind w:left="3960" w:hanging="360"/>
      </w:pPr>
      <w:rPr>
        <w:rFonts w:ascii="Wingdings" w:hAnsi="Wingdings" w:cs="Wingdings" w:hint="default"/>
      </w:rPr>
    </w:lvl>
    <w:lvl w:ilvl="6" w:tplc="1FAC818A" w:tentative="1">
      <w:start w:val="1"/>
      <w:numFmt w:val="bullet"/>
      <w:lvlText w:val=""/>
      <w:lvlJc w:val="left"/>
      <w:pPr>
        <w:ind w:left="4680" w:hanging="360"/>
      </w:pPr>
      <w:rPr>
        <w:rFonts w:ascii="Symbol" w:hAnsi="Symbol" w:cs="Symbol" w:hint="default"/>
      </w:rPr>
    </w:lvl>
    <w:lvl w:ilvl="7" w:tplc="E8163472" w:tentative="1">
      <w:start w:val="1"/>
      <w:numFmt w:val="bullet"/>
      <w:lvlText w:val="o"/>
      <w:lvlJc w:val="left"/>
      <w:pPr>
        <w:ind w:left="5400" w:hanging="360"/>
      </w:pPr>
      <w:rPr>
        <w:rFonts w:ascii="Courier New" w:hAnsi="Courier New" w:cs="Courier New" w:hint="default"/>
      </w:rPr>
    </w:lvl>
    <w:lvl w:ilvl="8" w:tplc="79FAFF08" w:tentative="1">
      <w:start w:val="1"/>
      <w:numFmt w:val="bullet"/>
      <w:lvlText w:val=""/>
      <w:lvlJc w:val="left"/>
      <w:pPr>
        <w:ind w:left="6120" w:hanging="360"/>
      </w:pPr>
      <w:rPr>
        <w:rFonts w:ascii="Wingdings" w:hAnsi="Wingdings" w:cs="Wingdings" w:hint="default"/>
      </w:rPr>
    </w:lvl>
  </w:abstractNum>
  <w:num w:numId="1" w16cid:durableId="102821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1E"/>
    <w:rsid w:val="000562EB"/>
    <w:rsid w:val="0008102E"/>
    <w:rsid w:val="000C7263"/>
    <w:rsid w:val="00115FBC"/>
    <w:rsid w:val="00166481"/>
    <w:rsid w:val="001B7656"/>
    <w:rsid w:val="002529C5"/>
    <w:rsid w:val="00255587"/>
    <w:rsid w:val="00264DF2"/>
    <w:rsid w:val="00352353"/>
    <w:rsid w:val="003F0A62"/>
    <w:rsid w:val="004013B7"/>
    <w:rsid w:val="004145BD"/>
    <w:rsid w:val="00452EA1"/>
    <w:rsid w:val="00460291"/>
    <w:rsid w:val="004A18B9"/>
    <w:rsid w:val="004D3030"/>
    <w:rsid w:val="004D6A90"/>
    <w:rsid w:val="00570DF5"/>
    <w:rsid w:val="005C34E7"/>
    <w:rsid w:val="00613B18"/>
    <w:rsid w:val="00621EC4"/>
    <w:rsid w:val="00631F25"/>
    <w:rsid w:val="0065148C"/>
    <w:rsid w:val="00673E22"/>
    <w:rsid w:val="006775B6"/>
    <w:rsid w:val="00677640"/>
    <w:rsid w:val="006900FB"/>
    <w:rsid w:val="006A7591"/>
    <w:rsid w:val="006B4731"/>
    <w:rsid w:val="006C40B3"/>
    <w:rsid w:val="006F5DA7"/>
    <w:rsid w:val="0070316A"/>
    <w:rsid w:val="00740917"/>
    <w:rsid w:val="008252BF"/>
    <w:rsid w:val="00877F2F"/>
    <w:rsid w:val="008D2742"/>
    <w:rsid w:val="0095347F"/>
    <w:rsid w:val="00973BA1"/>
    <w:rsid w:val="009E0C87"/>
    <w:rsid w:val="00A17C6E"/>
    <w:rsid w:val="00A8334F"/>
    <w:rsid w:val="00B06401"/>
    <w:rsid w:val="00B14E6F"/>
    <w:rsid w:val="00B748BD"/>
    <w:rsid w:val="00B86C20"/>
    <w:rsid w:val="00BF13FD"/>
    <w:rsid w:val="00C04415"/>
    <w:rsid w:val="00CA4AD4"/>
    <w:rsid w:val="00CD56AA"/>
    <w:rsid w:val="00CE5686"/>
    <w:rsid w:val="00D634B2"/>
    <w:rsid w:val="00D977F6"/>
    <w:rsid w:val="00DB0AA7"/>
    <w:rsid w:val="00E048CB"/>
    <w:rsid w:val="00E0549E"/>
    <w:rsid w:val="00E2501E"/>
    <w:rsid w:val="00E270A9"/>
    <w:rsid w:val="00E6153F"/>
    <w:rsid w:val="00E763BC"/>
    <w:rsid w:val="00E85F07"/>
    <w:rsid w:val="00EC48EB"/>
    <w:rsid w:val="00ED252E"/>
    <w:rsid w:val="00ED65D8"/>
    <w:rsid w:val="00F22CDC"/>
    <w:rsid w:val="00F42580"/>
    <w:rsid w:val="00FC74C3"/>
    <w:rsid w:val="00FD60FB"/>
    <w:rsid w:val="00FF21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73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501E"/>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E25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2501E"/>
    <w:rPr>
      <w:rFonts w:ascii="Verdana" w:hAnsi="Verdana"/>
      <w:sz w:val="18"/>
    </w:rPr>
  </w:style>
  <w:style w:type="paragraph" w:customStyle="1" w:styleId="Huisstijl-Ondertekening">
    <w:name w:val="Huisstijl - Ondertekening"/>
    <w:basedOn w:val="Standaard"/>
    <w:next w:val="Huisstijl-Ondertekeningvervolg"/>
    <w:rsid w:val="00E2501E"/>
    <w:pPr>
      <w:widowControl w:val="0"/>
      <w:suppressAutoHyphens/>
      <w:autoSpaceDN w:val="0"/>
      <w:spacing w:after="0" w:line="240" w:lineRule="exact"/>
      <w:textAlignment w:val="baseline"/>
    </w:pPr>
    <w:rPr>
      <w:rFonts w:eastAsia="DejaVu Sans" w:cs="Lohit Hindi"/>
      <w:kern w:val="3"/>
      <w:szCs w:val="24"/>
      <w:lang w:eastAsia="zh-CN" w:bidi="hi-IN"/>
    </w:rPr>
  </w:style>
  <w:style w:type="paragraph" w:customStyle="1" w:styleId="Huisstijl-Ondertekeningvervolg">
    <w:name w:val="Huisstijl - Ondertekening vervolg"/>
    <w:basedOn w:val="Huisstijl-Ondertekening"/>
    <w:rsid w:val="00E2501E"/>
    <w:rPr>
      <w:i/>
    </w:rPr>
  </w:style>
  <w:style w:type="paragraph" w:customStyle="1" w:styleId="Huisstijl-Kopjenota">
    <w:name w:val="Huisstijl - Kopje nota"/>
    <w:basedOn w:val="Huisstijl-Ondertekeningvervolg"/>
    <w:qFormat/>
    <w:rsid w:val="00E2501E"/>
    <w:rPr>
      <w:b/>
      <w:i w:val="0"/>
      <w:szCs w:val="18"/>
    </w:rPr>
  </w:style>
  <w:style w:type="paragraph" w:styleId="Voettekst">
    <w:name w:val="footer"/>
    <w:basedOn w:val="Standaard"/>
    <w:link w:val="VoettekstChar"/>
    <w:uiPriority w:val="99"/>
    <w:unhideWhenUsed/>
    <w:rsid w:val="00E25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501E"/>
    <w:rPr>
      <w:rFonts w:ascii="Verdana" w:hAnsi="Verdana"/>
      <w:sz w:val="18"/>
    </w:rPr>
  </w:style>
  <w:style w:type="paragraph" w:customStyle="1" w:styleId="Caption1">
    <w:name w:val="Caption1"/>
    <w:basedOn w:val="Standaard"/>
    <w:rsid w:val="00B06401"/>
    <w:pPr>
      <w:widowControl w:val="0"/>
      <w:suppressLineNumbers/>
      <w:suppressAutoHyphens/>
      <w:autoSpaceDN w:val="0"/>
      <w:spacing w:before="120" w:after="120" w:line="240" w:lineRule="exact"/>
      <w:textAlignment w:val="baseline"/>
    </w:pPr>
    <w:rPr>
      <w:rFonts w:eastAsia="DejaVu Sans" w:cs="Lohit Hindi"/>
      <w:i/>
      <w:iCs/>
      <w:kern w:val="3"/>
      <w:sz w:val="24"/>
      <w:szCs w:val="24"/>
      <w:lang w:eastAsia="zh-CN" w:bidi="hi-IN"/>
    </w:rPr>
  </w:style>
  <w:style w:type="paragraph" w:styleId="Voetnoottekst">
    <w:name w:val="footnote text"/>
    <w:basedOn w:val="Standaard"/>
    <w:link w:val="VoetnoottekstChar"/>
    <w:semiHidden/>
    <w:rsid w:val="00973BA1"/>
    <w:pPr>
      <w:spacing w:after="0" w:line="240" w:lineRule="atLeast"/>
    </w:pPr>
    <w:rPr>
      <w:rFonts w:eastAsia="Times New Roman" w:cs="Times New Roman"/>
      <w:sz w:val="16"/>
      <w:szCs w:val="20"/>
      <w:lang w:eastAsia="nl-NL"/>
    </w:rPr>
  </w:style>
  <w:style w:type="character" w:customStyle="1" w:styleId="VoetnoottekstChar">
    <w:name w:val="Voetnoottekst Char"/>
    <w:basedOn w:val="Standaardalinea-lettertype"/>
    <w:link w:val="Voetnoottekst"/>
    <w:semiHidden/>
    <w:rsid w:val="00973BA1"/>
    <w:rPr>
      <w:rFonts w:ascii="Verdana" w:eastAsia="Times New Roman" w:hAnsi="Verdana" w:cs="Times New Roman"/>
      <w:sz w:val="16"/>
      <w:szCs w:val="20"/>
      <w:lang w:eastAsia="nl-NL"/>
    </w:rPr>
  </w:style>
  <w:style w:type="character" w:styleId="Voetnootmarkering">
    <w:name w:val="footnote reference"/>
    <w:basedOn w:val="Standaardalinea-lettertype"/>
    <w:rsid w:val="00973BA1"/>
    <w:rPr>
      <w:vertAlign w:val="superscript"/>
    </w:rPr>
  </w:style>
  <w:style w:type="paragraph" w:styleId="Lijstalinea">
    <w:name w:val="List Paragraph"/>
    <w:basedOn w:val="Standaard"/>
    <w:uiPriority w:val="34"/>
    <w:qFormat/>
    <w:rsid w:val="00973BA1"/>
    <w:pPr>
      <w:spacing w:after="0" w:line="240" w:lineRule="atLeast"/>
      <w:ind w:left="720"/>
      <w:contextualSpacing/>
    </w:pPr>
    <w:rPr>
      <w:rFonts w:eastAsia="Times New Roman" w:cs="Verdana"/>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1580</ap:Words>
  <ap:Characters>8695</ap:Characters>
  <ap:DocSecurity>0</ap:DocSecurity>
  <ap:Lines>72</ap:Lines>
  <ap:Paragraphs>20</ap:Paragraphs>
  <ap:ScaleCrop>false</ap:ScaleCrop>
  <ap:LinksUpToDate>false</ap:LinksUpToDate>
  <ap:CharactersWithSpaces>10255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2025-09-22T09:45:00.0000000Z</dcterms:created>
  <dcterms:modified xsi:type="dcterms:W3CDTF">2025-09-22T09:45:00.0000000Z</dcterms:modified>
  <dc:creator/>
  <dc:description>------------------------</dc:description>
  <dc:subject/>
  <dc:title/>
  <keywords/>
  <version/>
  <category/>
</coreProperties>
</file>