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22DB" w:rsidR="00D322DB" w:rsidRDefault="00D322DB" w14:paraId="5CED2C8C" w14:textId="77777777">
      <w:pPr>
        <w:rPr>
          <w:b/>
          <w:bCs/>
        </w:rPr>
      </w:pPr>
      <w:r w:rsidRPr="00D322DB">
        <w:rPr>
          <w:rFonts w:ascii="Verdana" w:hAnsi="Verdana"/>
          <w:b/>
          <w:bCs/>
          <w:sz w:val="20"/>
          <w:szCs w:val="20"/>
        </w:rPr>
        <w:t>31 793</w:t>
      </w:r>
      <w:r w:rsidRPr="00D322DB">
        <w:rPr>
          <w:rFonts w:ascii="Verdana" w:hAnsi="Verdana"/>
          <w:b/>
          <w:bCs/>
          <w:sz w:val="20"/>
          <w:szCs w:val="20"/>
        </w:rPr>
        <w:tab/>
      </w:r>
      <w:r w:rsidRPr="00D322DB">
        <w:rPr>
          <w:b/>
          <w:bCs/>
        </w:rPr>
        <w:t xml:space="preserve">Internationale klimaatafspraken </w:t>
      </w:r>
    </w:p>
    <w:p w:rsidRPr="00D322DB" w:rsidR="00D322DB" w:rsidRDefault="00D322DB" w14:paraId="11D2E528" w14:textId="77777777">
      <w:pPr>
        <w:rPr>
          <w:b/>
          <w:bCs/>
        </w:rPr>
      </w:pPr>
    </w:p>
    <w:p w:rsidRPr="000B6057" w:rsidR="002D7FD0" w:rsidP="00D322DB" w:rsidRDefault="00D322DB" w14:paraId="59B4D099" w14:textId="60AFAACB">
      <w:pPr>
        <w:ind w:left="1410" w:hanging="1410"/>
        <w:rPr>
          <w:rFonts w:ascii="Verdana" w:hAnsi="Verdana"/>
          <w:sz w:val="20"/>
          <w:szCs w:val="20"/>
        </w:rPr>
      </w:pPr>
      <w:r w:rsidRPr="00D322DB">
        <w:rPr>
          <w:b/>
          <w:bCs/>
        </w:rPr>
        <w:t>Nr. 283</w:t>
      </w:r>
      <w:r w:rsidRPr="00D322DB">
        <w:rPr>
          <w:b/>
          <w:bCs/>
        </w:rPr>
        <w:tab/>
      </w:r>
      <w:r w:rsidRPr="00D322DB" w:rsidR="001E0ACB">
        <w:rPr>
          <w:rFonts w:ascii="Verdana" w:hAnsi="Verdana"/>
          <w:b/>
          <w:bCs/>
          <w:sz w:val="20"/>
          <w:szCs w:val="20"/>
        </w:rPr>
        <w:t xml:space="preserve">VERSLAG VAN DE RAPPORTEURS </w:t>
      </w:r>
      <w:r w:rsidRPr="00D322DB">
        <w:rPr>
          <w:rFonts w:ascii="Verdana" w:hAnsi="Verdana"/>
          <w:b/>
          <w:bCs/>
          <w:sz w:val="20"/>
          <w:szCs w:val="20"/>
        </w:rPr>
        <w:br/>
      </w:r>
      <w:r w:rsidRPr="0C8DEFEE" w:rsidR="0081679F">
        <w:rPr>
          <w:rFonts w:ascii="Verdana" w:hAnsi="Verdana"/>
          <w:sz w:val="20"/>
          <w:szCs w:val="20"/>
        </w:rPr>
        <w:t>Vastgesteld</w:t>
      </w:r>
      <w:r w:rsidRPr="0C8DEFEE" w:rsidR="47CC0373">
        <w:rPr>
          <w:rFonts w:ascii="Verdana" w:hAnsi="Verdana"/>
          <w:sz w:val="20"/>
          <w:szCs w:val="20"/>
        </w:rPr>
        <w:t xml:space="preserve"> 22 september 2025</w:t>
      </w:r>
    </w:p>
    <w:p w:rsidR="001E0ACB" w:rsidRDefault="001E0ACB" w14:paraId="2AD50596" w14:textId="77777777">
      <w:pPr>
        <w:rPr>
          <w:rFonts w:ascii="Verdana" w:hAnsi="Verdana"/>
          <w:b/>
          <w:bCs/>
          <w:sz w:val="20"/>
          <w:szCs w:val="20"/>
        </w:rPr>
      </w:pPr>
    </w:p>
    <w:p w:rsidRPr="001E0ACB" w:rsidR="002D7FD0" w:rsidRDefault="002D7FD0" w14:paraId="296C49E5" w14:textId="06861C87">
      <w:pPr>
        <w:rPr>
          <w:rFonts w:ascii="Verdana" w:hAnsi="Verdana"/>
          <w:b/>
          <w:bCs/>
          <w:sz w:val="20"/>
          <w:szCs w:val="20"/>
        </w:rPr>
      </w:pPr>
      <w:r w:rsidRPr="00FF1AD7">
        <w:rPr>
          <w:rFonts w:ascii="Verdana" w:hAnsi="Verdana"/>
          <w:b/>
          <w:bCs/>
          <w:sz w:val="20"/>
          <w:szCs w:val="20"/>
        </w:rPr>
        <w:t xml:space="preserve">Inleiding </w:t>
      </w:r>
    </w:p>
    <w:p w:rsidRPr="000B6057" w:rsidR="002D7FD0" w:rsidP="00E57840" w:rsidRDefault="002D7FD0" w14:paraId="65760B4A" w14:textId="513EC6E3">
      <w:pPr>
        <w:spacing w:line="276" w:lineRule="auto"/>
        <w:rPr>
          <w:rFonts w:ascii="Verdana" w:hAnsi="Verdana"/>
          <w:sz w:val="20"/>
          <w:szCs w:val="20"/>
        </w:rPr>
      </w:pPr>
      <w:r w:rsidRPr="000B6057">
        <w:rPr>
          <w:rFonts w:ascii="Verdana" w:hAnsi="Verdana"/>
          <w:sz w:val="20"/>
          <w:szCs w:val="20"/>
        </w:rPr>
        <w:t>Hierbij bieden wij ons eindverslag aan als rapporteurs</w:t>
      </w:r>
      <w:r w:rsidR="00145984">
        <w:rPr>
          <w:rStyle w:val="Voetnootmarkering"/>
          <w:rFonts w:ascii="Verdana" w:hAnsi="Verdana"/>
          <w:sz w:val="20"/>
          <w:szCs w:val="20"/>
        </w:rPr>
        <w:footnoteReference w:id="1"/>
      </w:r>
      <w:r w:rsidRPr="000B6057">
        <w:rPr>
          <w:rFonts w:ascii="Verdana" w:hAnsi="Verdana"/>
          <w:sz w:val="20"/>
          <w:szCs w:val="20"/>
        </w:rPr>
        <w:t xml:space="preserve"> van de commissie Buitenlandse Handel en Ontwikkelingshulp op het thema Internationale Klimaatstrat</w:t>
      </w:r>
      <w:r w:rsidRPr="000B6057" w:rsidR="000B6057">
        <w:rPr>
          <w:rFonts w:ascii="Verdana" w:hAnsi="Verdana"/>
          <w:sz w:val="20"/>
          <w:szCs w:val="20"/>
        </w:rPr>
        <w:t>egie</w:t>
      </w:r>
      <w:r w:rsidR="00127734">
        <w:rPr>
          <w:rFonts w:ascii="Verdana" w:hAnsi="Verdana"/>
          <w:sz w:val="20"/>
          <w:szCs w:val="20"/>
        </w:rPr>
        <w:t xml:space="preserve">. </w:t>
      </w:r>
      <w:r w:rsidR="00E13713">
        <w:rPr>
          <w:rFonts w:ascii="Verdana" w:hAnsi="Verdana"/>
          <w:sz w:val="20"/>
          <w:szCs w:val="20"/>
        </w:rPr>
        <w:br/>
      </w:r>
      <w:r w:rsidR="00E13713">
        <w:rPr>
          <w:rFonts w:ascii="Verdana" w:hAnsi="Verdana"/>
          <w:sz w:val="20"/>
          <w:szCs w:val="20"/>
        </w:rPr>
        <w:br/>
      </w:r>
      <w:r w:rsidRPr="000B6057">
        <w:rPr>
          <w:rFonts w:ascii="Verdana" w:hAnsi="Verdana"/>
          <w:sz w:val="20"/>
          <w:szCs w:val="20"/>
        </w:rPr>
        <w:t xml:space="preserve">Het </w:t>
      </w:r>
      <w:proofErr w:type="spellStart"/>
      <w:r w:rsidRPr="000B6057">
        <w:rPr>
          <w:rFonts w:ascii="Verdana" w:hAnsi="Verdana"/>
          <w:sz w:val="20"/>
          <w:szCs w:val="20"/>
        </w:rPr>
        <w:t>rappor</w:t>
      </w:r>
      <w:r w:rsidR="00FF1AD7">
        <w:rPr>
          <w:rFonts w:ascii="Verdana" w:hAnsi="Verdana"/>
          <w:sz w:val="20"/>
          <w:szCs w:val="20"/>
        </w:rPr>
        <w:t>teur</w:t>
      </w:r>
      <w:r w:rsidRPr="000B6057">
        <w:rPr>
          <w:rFonts w:ascii="Verdana" w:hAnsi="Verdana"/>
          <w:sz w:val="20"/>
          <w:szCs w:val="20"/>
        </w:rPr>
        <w:t>schap</w:t>
      </w:r>
      <w:proofErr w:type="spellEnd"/>
      <w:r w:rsidRPr="000B6057">
        <w:rPr>
          <w:rFonts w:ascii="Verdana" w:hAnsi="Verdana"/>
          <w:sz w:val="20"/>
          <w:szCs w:val="20"/>
        </w:rPr>
        <w:t xml:space="preserve"> is in </w:t>
      </w:r>
      <w:r w:rsidR="00127734">
        <w:rPr>
          <w:rFonts w:ascii="Verdana" w:hAnsi="Verdana"/>
          <w:sz w:val="20"/>
          <w:szCs w:val="20"/>
        </w:rPr>
        <w:t>februari 2024</w:t>
      </w:r>
      <w:r w:rsidRPr="000B6057">
        <w:rPr>
          <w:rFonts w:ascii="Verdana" w:hAnsi="Verdana"/>
          <w:sz w:val="20"/>
          <w:szCs w:val="20"/>
        </w:rPr>
        <w:t xml:space="preserve"> ingesteld en heeft </w:t>
      </w:r>
      <w:r w:rsidR="00127734">
        <w:rPr>
          <w:rFonts w:ascii="Verdana" w:hAnsi="Verdana"/>
          <w:sz w:val="20"/>
          <w:szCs w:val="20"/>
        </w:rPr>
        <w:t xml:space="preserve">twee doelen: </w:t>
      </w:r>
      <w:r w:rsidRPr="00127734" w:rsidR="00127734">
        <w:rPr>
          <w:rFonts w:ascii="Verdana" w:hAnsi="Verdana"/>
          <w:sz w:val="20"/>
          <w:szCs w:val="20"/>
        </w:rPr>
        <w:t>1) het volgen van de concrete uitvoering van de internationale klimaatstrategie, met daarbij bijzondere aandacht voor de inzet op het terrein van klimaatfinanciering (streefcijfer € 1.8 miljard in 2025) en de effectiviteit daarvan, en 2) het vertalen van inzichten uit het AIV-advies en de periodieke rapportages van de IOB naar de huidige internationale klimaatstrategie van het kabinet</w:t>
      </w:r>
      <w:r w:rsidRPr="000B6057">
        <w:rPr>
          <w:rFonts w:ascii="Verdana" w:hAnsi="Verdana"/>
          <w:sz w:val="20"/>
          <w:szCs w:val="20"/>
        </w:rPr>
        <w:t xml:space="preserve">. </w:t>
      </w:r>
      <w:r w:rsidR="00042DBE">
        <w:rPr>
          <w:rFonts w:ascii="Verdana" w:hAnsi="Verdana"/>
          <w:sz w:val="20"/>
          <w:szCs w:val="20"/>
        </w:rPr>
        <w:br/>
      </w:r>
      <w:r w:rsidR="00042DBE">
        <w:rPr>
          <w:rFonts w:ascii="Verdana" w:hAnsi="Verdana"/>
          <w:sz w:val="20"/>
          <w:szCs w:val="20"/>
        </w:rPr>
        <w:br/>
      </w:r>
      <w:r w:rsidRPr="000B6057" w:rsidR="00127734">
        <w:rPr>
          <w:rFonts w:ascii="Verdana" w:hAnsi="Verdana"/>
          <w:sz w:val="20"/>
          <w:szCs w:val="20"/>
        </w:rPr>
        <w:t xml:space="preserve">In dit eindverslag </w:t>
      </w:r>
      <w:r w:rsidR="00EB6D5D">
        <w:rPr>
          <w:rFonts w:ascii="Verdana" w:hAnsi="Verdana"/>
          <w:sz w:val="20"/>
          <w:szCs w:val="20"/>
        </w:rPr>
        <w:t xml:space="preserve">brengen wij op hoofdlijnen verslag uit van de gesprekken die wij hebben gevoerd </w:t>
      </w:r>
      <w:r w:rsidRPr="000B6057" w:rsidR="00127734">
        <w:rPr>
          <w:rFonts w:ascii="Verdana" w:hAnsi="Verdana"/>
          <w:sz w:val="20"/>
          <w:szCs w:val="20"/>
        </w:rPr>
        <w:t>na het tussentijds verslag</w:t>
      </w:r>
      <w:r w:rsidR="00127734">
        <w:rPr>
          <w:rFonts w:ascii="Verdana" w:hAnsi="Verdana"/>
          <w:sz w:val="20"/>
          <w:szCs w:val="20"/>
        </w:rPr>
        <w:t xml:space="preserve"> van 4 november 202</w:t>
      </w:r>
      <w:r w:rsidR="005746FD">
        <w:rPr>
          <w:rFonts w:ascii="Verdana" w:hAnsi="Verdana"/>
          <w:sz w:val="20"/>
          <w:szCs w:val="20"/>
        </w:rPr>
        <w:t>4</w:t>
      </w:r>
      <w:r w:rsidR="00E13713">
        <w:rPr>
          <w:rStyle w:val="Voetnootmarkering"/>
          <w:rFonts w:ascii="Verdana" w:hAnsi="Verdana"/>
          <w:sz w:val="20"/>
          <w:szCs w:val="20"/>
        </w:rPr>
        <w:footnoteReference w:id="2"/>
      </w:r>
      <w:r w:rsidRPr="000B6057" w:rsidR="00127734">
        <w:rPr>
          <w:rFonts w:ascii="Verdana" w:hAnsi="Verdana"/>
          <w:sz w:val="20"/>
          <w:szCs w:val="20"/>
        </w:rPr>
        <w:t xml:space="preserve">, </w:t>
      </w:r>
      <w:r w:rsidRPr="000B6057" w:rsidR="72D604CB">
        <w:rPr>
          <w:rFonts w:ascii="Verdana" w:hAnsi="Verdana"/>
          <w:sz w:val="20"/>
          <w:szCs w:val="20"/>
        </w:rPr>
        <w:t>en geven</w:t>
      </w:r>
      <w:r w:rsidRPr="000B6057" w:rsidR="00042DBE">
        <w:rPr>
          <w:rFonts w:ascii="Verdana" w:hAnsi="Verdana"/>
          <w:sz w:val="20"/>
          <w:szCs w:val="20"/>
        </w:rPr>
        <w:t xml:space="preserve"> </w:t>
      </w:r>
      <w:r w:rsidR="00BD6973">
        <w:rPr>
          <w:rFonts w:ascii="Verdana" w:hAnsi="Verdana"/>
          <w:sz w:val="20"/>
          <w:szCs w:val="20"/>
        </w:rPr>
        <w:t>wij een aanbeveling</w:t>
      </w:r>
      <w:r w:rsidR="00127734">
        <w:rPr>
          <w:rFonts w:ascii="Verdana" w:hAnsi="Verdana"/>
          <w:sz w:val="20"/>
          <w:szCs w:val="20"/>
        </w:rPr>
        <w:t xml:space="preserve"> aan de commissie in nieuwe samenstelling. </w:t>
      </w:r>
      <w:r w:rsidRPr="000B6057" w:rsidR="00127734">
        <w:rPr>
          <w:rFonts w:ascii="Verdana" w:hAnsi="Verdana"/>
          <w:sz w:val="20"/>
          <w:szCs w:val="20"/>
        </w:rPr>
        <w:t xml:space="preserve"> </w:t>
      </w:r>
    </w:p>
    <w:p w:rsidR="00AC293B" w:rsidP="00B97BA1" w:rsidRDefault="002B4870" w14:paraId="5E73CEEF" w14:textId="10AC02EF">
      <w:pPr>
        <w:pStyle w:val="Lijstalinea"/>
        <w:numPr>
          <w:ilvl w:val="0"/>
          <w:numId w:val="6"/>
        </w:numPr>
        <w:rPr>
          <w:rFonts w:ascii="Verdana" w:hAnsi="Verdana"/>
          <w:b/>
          <w:bCs/>
          <w:sz w:val="20"/>
          <w:szCs w:val="20"/>
        </w:rPr>
      </w:pPr>
      <w:r w:rsidRPr="00AC293B">
        <w:rPr>
          <w:rFonts w:ascii="Verdana" w:hAnsi="Verdana"/>
          <w:b/>
          <w:bCs/>
          <w:sz w:val="20"/>
          <w:szCs w:val="20"/>
        </w:rPr>
        <w:t xml:space="preserve">Activiteiten rapporteurs </w:t>
      </w:r>
      <w:r w:rsidRPr="00AC293B" w:rsidR="002D7FD0">
        <w:rPr>
          <w:rFonts w:ascii="Verdana" w:hAnsi="Verdana"/>
          <w:b/>
          <w:bCs/>
          <w:sz w:val="20"/>
          <w:szCs w:val="20"/>
        </w:rPr>
        <w:t xml:space="preserve"> </w:t>
      </w:r>
    </w:p>
    <w:p w:rsidRPr="00B97BA1" w:rsidR="00B97BA1" w:rsidP="00B97BA1" w:rsidRDefault="00B97BA1" w14:paraId="42B257D1" w14:textId="77777777">
      <w:pPr>
        <w:pStyle w:val="Lijstalinea"/>
        <w:rPr>
          <w:rFonts w:ascii="Verdana" w:hAnsi="Verdana"/>
          <w:b/>
          <w:bCs/>
          <w:sz w:val="20"/>
          <w:szCs w:val="20"/>
        </w:rPr>
      </w:pPr>
    </w:p>
    <w:p w:rsidRPr="002B4870" w:rsidR="00127734" w:rsidP="002D7FD0" w:rsidRDefault="00127734" w14:paraId="521D0793" w14:textId="11A718EB">
      <w:pPr>
        <w:rPr>
          <w:rFonts w:ascii="Verdana" w:hAnsi="Verdana"/>
          <w:b/>
          <w:bCs/>
          <w:i/>
          <w:iCs/>
          <w:sz w:val="20"/>
          <w:szCs w:val="20"/>
        </w:rPr>
      </w:pPr>
      <w:r w:rsidRPr="002B4870">
        <w:rPr>
          <w:rFonts w:ascii="Verdana" w:hAnsi="Verdana"/>
          <w:b/>
          <w:bCs/>
          <w:i/>
          <w:iCs/>
          <w:sz w:val="20"/>
          <w:szCs w:val="20"/>
        </w:rPr>
        <w:t>Gesprek met Prof. dr. </w:t>
      </w:r>
      <w:proofErr w:type="spellStart"/>
      <w:r w:rsidRPr="002B4870">
        <w:rPr>
          <w:rFonts w:ascii="Verdana" w:hAnsi="Verdana"/>
          <w:b/>
          <w:bCs/>
          <w:i/>
          <w:iCs/>
          <w:sz w:val="20"/>
          <w:szCs w:val="20"/>
        </w:rPr>
        <w:t>Vollebergh</w:t>
      </w:r>
      <w:proofErr w:type="spellEnd"/>
      <w:r w:rsidRPr="002B4870">
        <w:rPr>
          <w:rFonts w:ascii="Verdana" w:hAnsi="Verdana"/>
          <w:b/>
          <w:bCs/>
          <w:i/>
          <w:iCs/>
          <w:sz w:val="20"/>
          <w:szCs w:val="20"/>
        </w:rPr>
        <w:t xml:space="preserve"> over wetenschappelijke </w:t>
      </w:r>
      <w:proofErr w:type="spellStart"/>
      <w:r w:rsidRPr="002B4870">
        <w:rPr>
          <w:rFonts w:ascii="Verdana" w:hAnsi="Verdana"/>
          <w:b/>
          <w:bCs/>
          <w:i/>
          <w:iCs/>
          <w:sz w:val="20"/>
          <w:szCs w:val="20"/>
        </w:rPr>
        <w:t>factsheet</w:t>
      </w:r>
      <w:proofErr w:type="spellEnd"/>
      <w:r w:rsidRPr="002B4870">
        <w:rPr>
          <w:rFonts w:ascii="Verdana" w:hAnsi="Verdana"/>
          <w:b/>
          <w:bCs/>
          <w:i/>
          <w:iCs/>
          <w:sz w:val="20"/>
          <w:szCs w:val="20"/>
        </w:rPr>
        <w:t xml:space="preserve"> internationale klimaatfinanciering </w:t>
      </w:r>
    </w:p>
    <w:p w:rsidR="00127734" w:rsidP="002D7FD0" w:rsidRDefault="00127734" w14:paraId="377504F0" w14:textId="337BCBE8">
      <w:pPr>
        <w:rPr>
          <w:rFonts w:ascii="Verdana" w:hAnsi="Verdana"/>
          <w:sz w:val="20"/>
          <w:szCs w:val="20"/>
        </w:rPr>
      </w:pPr>
      <w:r>
        <w:rPr>
          <w:rFonts w:ascii="Verdana" w:hAnsi="Verdana"/>
          <w:sz w:val="20"/>
          <w:szCs w:val="20"/>
        </w:rPr>
        <w:t xml:space="preserve">In het kader van dit </w:t>
      </w:r>
      <w:proofErr w:type="spellStart"/>
      <w:r>
        <w:rPr>
          <w:rFonts w:ascii="Verdana" w:hAnsi="Verdana"/>
          <w:sz w:val="20"/>
          <w:szCs w:val="20"/>
        </w:rPr>
        <w:t>rapporteurschap</w:t>
      </w:r>
      <w:proofErr w:type="spellEnd"/>
      <w:r>
        <w:rPr>
          <w:rFonts w:ascii="Verdana" w:hAnsi="Verdana"/>
          <w:sz w:val="20"/>
          <w:szCs w:val="20"/>
        </w:rPr>
        <w:t xml:space="preserve"> </w:t>
      </w:r>
      <w:r w:rsidR="002B4870">
        <w:rPr>
          <w:rFonts w:ascii="Verdana" w:hAnsi="Verdana"/>
          <w:sz w:val="20"/>
          <w:szCs w:val="20"/>
        </w:rPr>
        <w:t xml:space="preserve">heeft prof dr. </w:t>
      </w:r>
      <w:proofErr w:type="spellStart"/>
      <w:r w:rsidR="002B4870">
        <w:rPr>
          <w:rFonts w:ascii="Verdana" w:hAnsi="Verdana"/>
          <w:sz w:val="20"/>
          <w:szCs w:val="20"/>
        </w:rPr>
        <w:t>Vollebergh</w:t>
      </w:r>
      <w:proofErr w:type="spellEnd"/>
      <w:r w:rsidR="002B4870">
        <w:rPr>
          <w:rFonts w:ascii="Verdana" w:hAnsi="Verdana"/>
          <w:sz w:val="20"/>
          <w:szCs w:val="20"/>
        </w:rPr>
        <w:t xml:space="preserve"> een wetenschappelijk </w:t>
      </w:r>
      <w:proofErr w:type="spellStart"/>
      <w:r w:rsidR="002B4870">
        <w:rPr>
          <w:rFonts w:ascii="Verdana" w:hAnsi="Verdana"/>
          <w:sz w:val="20"/>
          <w:szCs w:val="20"/>
        </w:rPr>
        <w:t>factsheet</w:t>
      </w:r>
      <w:proofErr w:type="spellEnd"/>
      <w:r w:rsidR="00617EE2">
        <w:rPr>
          <w:rFonts w:ascii="Verdana" w:hAnsi="Verdana"/>
          <w:sz w:val="20"/>
          <w:szCs w:val="20"/>
        </w:rPr>
        <w:t xml:space="preserve"> over internationale klimaatfinanciering</w:t>
      </w:r>
      <w:r w:rsidR="00BF79D5">
        <w:rPr>
          <w:rFonts w:ascii="Verdana" w:hAnsi="Verdana"/>
          <w:sz w:val="20"/>
          <w:szCs w:val="20"/>
        </w:rPr>
        <w:t xml:space="preserve"> opgesteld</w:t>
      </w:r>
      <w:r w:rsidR="002B4870">
        <w:rPr>
          <w:rFonts w:ascii="Verdana" w:hAnsi="Verdana"/>
          <w:sz w:val="20"/>
          <w:szCs w:val="20"/>
        </w:rPr>
        <w:t>, dat op verzoek van de vorige commissie BHO is opgesteld</w:t>
      </w:r>
      <w:r w:rsidR="00042DBE">
        <w:rPr>
          <w:rFonts w:ascii="Verdana" w:hAnsi="Verdana"/>
          <w:sz w:val="20"/>
          <w:szCs w:val="20"/>
        </w:rPr>
        <w:t>,</w:t>
      </w:r>
      <w:r w:rsidR="002B4870">
        <w:rPr>
          <w:rFonts w:ascii="Verdana" w:hAnsi="Verdana"/>
          <w:sz w:val="20"/>
          <w:szCs w:val="20"/>
        </w:rPr>
        <w:t xml:space="preserve"> geactualiseerd.</w:t>
      </w:r>
      <w:r w:rsidR="005746FD">
        <w:rPr>
          <w:rStyle w:val="Voetnootmarkering"/>
          <w:rFonts w:ascii="Verdana" w:hAnsi="Verdana"/>
          <w:sz w:val="20"/>
          <w:szCs w:val="20"/>
        </w:rPr>
        <w:footnoteReference w:id="3"/>
      </w:r>
      <w:r w:rsidR="002B4870">
        <w:rPr>
          <w:rFonts w:ascii="Verdana" w:hAnsi="Verdana"/>
          <w:sz w:val="20"/>
          <w:szCs w:val="20"/>
        </w:rPr>
        <w:t xml:space="preserve"> Op </w:t>
      </w:r>
      <w:r w:rsidR="00042DBE">
        <w:rPr>
          <w:rFonts w:ascii="Verdana" w:hAnsi="Verdana"/>
          <w:sz w:val="20"/>
          <w:szCs w:val="20"/>
        </w:rPr>
        <w:t>17 februari jl.</w:t>
      </w:r>
      <w:r w:rsidR="002B4870">
        <w:rPr>
          <w:rFonts w:ascii="Verdana" w:hAnsi="Verdana"/>
          <w:sz w:val="20"/>
          <w:szCs w:val="20"/>
        </w:rPr>
        <w:t xml:space="preserve"> gingen wij</w:t>
      </w:r>
      <w:r w:rsidR="00E95844">
        <w:rPr>
          <w:rFonts w:ascii="Verdana" w:hAnsi="Verdana"/>
          <w:sz w:val="20"/>
          <w:szCs w:val="20"/>
        </w:rPr>
        <w:t xml:space="preserve"> hierover met hem</w:t>
      </w:r>
      <w:r w:rsidR="002B4870">
        <w:rPr>
          <w:rFonts w:ascii="Verdana" w:hAnsi="Verdana"/>
          <w:sz w:val="20"/>
          <w:szCs w:val="20"/>
        </w:rPr>
        <w:t xml:space="preserve"> in gesprek.</w:t>
      </w:r>
      <w:r w:rsidR="00042DBE">
        <w:rPr>
          <w:rFonts w:ascii="Verdana" w:hAnsi="Verdana"/>
          <w:sz w:val="20"/>
          <w:szCs w:val="20"/>
        </w:rPr>
        <w:t xml:space="preserve"> Het </w:t>
      </w:r>
      <w:proofErr w:type="spellStart"/>
      <w:r w:rsidR="00042DBE">
        <w:rPr>
          <w:rFonts w:ascii="Verdana" w:hAnsi="Verdana"/>
          <w:sz w:val="20"/>
          <w:szCs w:val="20"/>
        </w:rPr>
        <w:t>factsheet</w:t>
      </w:r>
      <w:proofErr w:type="spellEnd"/>
      <w:r w:rsidR="00042DBE">
        <w:rPr>
          <w:rFonts w:ascii="Verdana" w:hAnsi="Verdana"/>
          <w:sz w:val="20"/>
          <w:szCs w:val="20"/>
        </w:rPr>
        <w:t xml:space="preserve"> geeft </w:t>
      </w:r>
      <w:r w:rsidR="00B80E42">
        <w:rPr>
          <w:rFonts w:ascii="Verdana" w:hAnsi="Verdana"/>
          <w:sz w:val="20"/>
          <w:szCs w:val="20"/>
        </w:rPr>
        <w:t xml:space="preserve">inzicht </w:t>
      </w:r>
      <w:r w:rsidR="00DE20C0">
        <w:rPr>
          <w:rFonts w:ascii="Verdana" w:hAnsi="Verdana"/>
          <w:sz w:val="20"/>
          <w:szCs w:val="20"/>
        </w:rPr>
        <w:t xml:space="preserve">hoe </w:t>
      </w:r>
      <w:r w:rsidRPr="00861271" w:rsidR="006B4811">
        <w:rPr>
          <w:rFonts w:ascii="Verdana" w:hAnsi="Verdana"/>
          <w:sz w:val="20"/>
          <w:szCs w:val="20"/>
        </w:rPr>
        <w:t>zes donorlanden (</w:t>
      </w:r>
      <w:r w:rsidR="00373DF2">
        <w:rPr>
          <w:rFonts w:ascii="Verdana" w:hAnsi="Verdana"/>
          <w:sz w:val="20"/>
          <w:szCs w:val="20"/>
        </w:rPr>
        <w:t xml:space="preserve">Nederland, </w:t>
      </w:r>
      <w:r w:rsidRPr="00861271" w:rsidR="006B4811">
        <w:rPr>
          <w:rFonts w:ascii="Verdana" w:hAnsi="Verdana"/>
          <w:sz w:val="20"/>
          <w:szCs w:val="20"/>
        </w:rPr>
        <w:t>Duitsland, Frankrijk,</w:t>
      </w:r>
      <w:r w:rsidR="00373DF2">
        <w:rPr>
          <w:rFonts w:ascii="Verdana" w:hAnsi="Verdana"/>
          <w:sz w:val="20"/>
          <w:szCs w:val="20"/>
        </w:rPr>
        <w:t xml:space="preserve"> </w:t>
      </w:r>
      <w:r w:rsidRPr="00861271" w:rsidR="006B4811">
        <w:rPr>
          <w:rFonts w:ascii="Verdana" w:hAnsi="Verdana"/>
          <w:sz w:val="20"/>
          <w:szCs w:val="20"/>
        </w:rPr>
        <w:t>Verenigd Koninkrijk, Zweden en Zwitserland) hun internationale klimaatfinanciering vormgeven</w:t>
      </w:r>
      <w:r w:rsidR="00DE20C0">
        <w:rPr>
          <w:rFonts w:ascii="Verdana" w:hAnsi="Verdana"/>
          <w:sz w:val="20"/>
          <w:szCs w:val="20"/>
        </w:rPr>
        <w:t>, welke verschillen en overeenkomsten er zijn op het terrein van publieke en private inzet van middelen</w:t>
      </w:r>
      <w:r w:rsidR="00C63CF9">
        <w:rPr>
          <w:rFonts w:ascii="Verdana" w:hAnsi="Verdana"/>
          <w:sz w:val="20"/>
          <w:szCs w:val="20"/>
        </w:rPr>
        <w:t xml:space="preserve"> en hoe beleidscoherentie daarbij in beeld is. </w:t>
      </w:r>
    </w:p>
    <w:p w:rsidR="000968CF" w:rsidP="0062198C" w:rsidRDefault="009704C9" w14:paraId="7BD2872A" w14:textId="52BA457C">
      <w:pPr>
        <w:rPr>
          <w:rFonts w:ascii="Verdana" w:hAnsi="Verdana"/>
          <w:sz w:val="20"/>
          <w:szCs w:val="20"/>
        </w:rPr>
      </w:pPr>
      <w:r w:rsidRPr="2B2C3811">
        <w:rPr>
          <w:rFonts w:ascii="Verdana" w:hAnsi="Verdana"/>
          <w:sz w:val="20"/>
          <w:szCs w:val="20"/>
        </w:rPr>
        <w:t xml:space="preserve">De heer </w:t>
      </w:r>
      <w:proofErr w:type="spellStart"/>
      <w:r w:rsidRPr="2B2C3811">
        <w:rPr>
          <w:rFonts w:ascii="Verdana" w:hAnsi="Verdana"/>
          <w:sz w:val="20"/>
          <w:szCs w:val="20"/>
        </w:rPr>
        <w:t>Vollebergh</w:t>
      </w:r>
      <w:proofErr w:type="spellEnd"/>
      <w:r w:rsidRPr="2B2C3811">
        <w:rPr>
          <w:rFonts w:ascii="Verdana" w:hAnsi="Verdana"/>
          <w:sz w:val="20"/>
          <w:szCs w:val="20"/>
        </w:rPr>
        <w:t xml:space="preserve"> benadrukte dat de analyse </w:t>
      </w:r>
      <w:r w:rsidRPr="2B2C3811" w:rsidR="00850C33">
        <w:rPr>
          <w:rFonts w:ascii="Verdana" w:hAnsi="Verdana"/>
          <w:sz w:val="20"/>
          <w:szCs w:val="20"/>
        </w:rPr>
        <w:t>aanzienlijk</w:t>
      </w:r>
      <w:r w:rsidRPr="2B2C3811">
        <w:rPr>
          <w:rFonts w:ascii="Verdana" w:hAnsi="Verdana"/>
          <w:sz w:val="20"/>
          <w:szCs w:val="20"/>
        </w:rPr>
        <w:t xml:space="preserve"> wordt bemoeilijkt door de grote verschillen in </w:t>
      </w:r>
      <w:r w:rsidRPr="2B2C3811" w:rsidR="00811748">
        <w:rPr>
          <w:rFonts w:ascii="Verdana" w:hAnsi="Verdana"/>
          <w:sz w:val="20"/>
          <w:szCs w:val="20"/>
        </w:rPr>
        <w:t>de manier waarop l</w:t>
      </w:r>
      <w:r w:rsidRPr="2B2C3811">
        <w:rPr>
          <w:rFonts w:ascii="Verdana" w:hAnsi="Verdana"/>
          <w:sz w:val="20"/>
          <w:szCs w:val="20"/>
        </w:rPr>
        <w:t>anden rapporteren</w:t>
      </w:r>
      <w:r w:rsidRPr="2B2C3811" w:rsidR="007F2E75">
        <w:rPr>
          <w:rFonts w:ascii="Verdana" w:hAnsi="Verdana"/>
          <w:sz w:val="20"/>
          <w:szCs w:val="20"/>
        </w:rPr>
        <w:t xml:space="preserve">. Ondanks de stijgende bedragen blijft het </w:t>
      </w:r>
      <w:r w:rsidRPr="2B2C3811" w:rsidR="00635036">
        <w:rPr>
          <w:rFonts w:ascii="Verdana" w:hAnsi="Verdana"/>
          <w:sz w:val="20"/>
          <w:szCs w:val="20"/>
        </w:rPr>
        <w:t xml:space="preserve">hierdoor </w:t>
      </w:r>
      <w:r w:rsidRPr="2B2C3811" w:rsidR="007F2E75">
        <w:rPr>
          <w:rFonts w:ascii="Verdana" w:hAnsi="Verdana"/>
          <w:sz w:val="20"/>
          <w:szCs w:val="20"/>
        </w:rPr>
        <w:t>lastig om precies vast te stellen hoeveel klimaatfinanciering er daadwerkelijk wordt verstrekt</w:t>
      </w:r>
      <w:r w:rsidRPr="2B2C3811" w:rsidR="00A54F73">
        <w:rPr>
          <w:rFonts w:ascii="Verdana" w:hAnsi="Verdana"/>
          <w:sz w:val="20"/>
          <w:szCs w:val="20"/>
        </w:rPr>
        <w:t xml:space="preserve"> </w:t>
      </w:r>
      <w:r w:rsidRPr="2B2C3811" w:rsidR="007F2E75">
        <w:rPr>
          <w:rFonts w:ascii="Verdana" w:hAnsi="Verdana"/>
          <w:sz w:val="20"/>
          <w:szCs w:val="20"/>
        </w:rPr>
        <w:t>en of het de beoogde impact heeft.</w:t>
      </w:r>
      <w:r w:rsidRPr="2B2C3811" w:rsidR="00CF4F4A">
        <w:rPr>
          <w:rFonts w:ascii="Verdana" w:hAnsi="Verdana"/>
          <w:sz w:val="20"/>
          <w:szCs w:val="20"/>
        </w:rPr>
        <w:t xml:space="preserve"> Ook blijven er principiële onhelderheden bestaan over de vraag of klimaatfinanciering daadwerkelijk ‘nieuw en additioneel’ </w:t>
      </w:r>
      <w:r w:rsidRPr="2B2C3811" w:rsidR="00400137">
        <w:rPr>
          <w:rFonts w:ascii="Verdana" w:hAnsi="Verdana"/>
          <w:sz w:val="20"/>
          <w:szCs w:val="20"/>
        </w:rPr>
        <w:t xml:space="preserve">ten opzichte </w:t>
      </w:r>
      <w:r w:rsidRPr="2B2C3811" w:rsidR="0094597C">
        <w:rPr>
          <w:rFonts w:ascii="Verdana" w:hAnsi="Verdana"/>
          <w:sz w:val="20"/>
          <w:szCs w:val="20"/>
        </w:rPr>
        <w:t xml:space="preserve">van </w:t>
      </w:r>
      <w:r w:rsidRPr="2B2C3811" w:rsidR="006A6C81">
        <w:rPr>
          <w:rFonts w:ascii="Verdana" w:hAnsi="Verdana"/>
          <w:sz w:val="20"/>
          <w:szCs w:val="20"/>
        </w:rPr>
        <w:t>het</w:t>
      </w:r>
      <w:r w:rsidRPr="2B2C3811" w:rsidR="00B542BD">
        <w:rPr>
          <w:rFonts w:ascii="Verdana" w:hAnsi="Verdana"/>
          <w:sz w:val="20"/>
          <w:szCs w:val="20"/>
        </w:rPr>
        <w:t xml:space="preserve"> bestaande ontwikkelingsbudget (ODA)</w:t>
      </w:r>
      <w:r w:rsidRPr="2B2C3811" w:rsidR="00CF4F4A">
        <w:rPr>
          <w:rFonts w:ascii="Verdana" w:hAnsi="Verdana"/>
          <w:sz w:val="20"/>
          <w:szCs w:val="20"/>
        </w:rPr>
        <w:t xml:space="preserve">, aldus de heer </w:t>
      </w:r>
      <w:proofErr w:type="spellStart"/>
      <w:r w:rsidRPr="2B2C3811" w:rsidR="00CF4F4A">
        <w:rPr>
          <w:rFonts w:ascii="Verdana" w:hAnsi="Verdana"/>
          <w:sz w:val="20"/>
          <w:szCs w:val="20"/>
        </w:rPr>
        <w:t>Vollebergh</w:t>
      </w:r>
      <w:proofErr w:type="spellEnd"/>
      <w:r w:rsidRPr="2B2C3811" w:rsidR="00CF4F4A">
        <w:rPr>
          <w:rFonts w:ascii="Verdana" w:hAnsi="Verdana"/>
          <w:sz w:val="20"/>
          <w:szCs w:val="20"/>
        </w:rPr>
        <w:t xml:space="preserve">. </w:t>
      </w:r>
      <w:r w:rsidRPr="2B2C3811" w:rsidR="00810AF8">
        <w:rPr>
          <w:rFonts w:ascii="Verdana" w:hAnsi="Verdana"/>
          <w:sz w:val="20"/>
          <w:szCs w:val="20"/>
        </w:rPr>
        <w:t>Dit onderstreept het belang van de inspanningen binnen de OECD-</w:t>
      </w:r>
      <w:r w:rsidRPr="2B2C3811" w:rsidR="00810AF8">
        <w:rPr>
          <w:rFonts w:ascii="Verdana" w:hAnsi="Verdana"/>
          <w:sz w:val="20"/>
          <w:szCs w:val="20"/>
        </w:rPr>
        <w:lastRenderedPageBreak/>
        <w:t xml:space="preserve">DAC, EU en UNFCC om tot beter vergelijkbare cijfers te komen. </w:t>
      </w:r>
      <w:r w:rsidRPr="2B2C3811" w:rsidR="00641586">
        <w:rPr>
          <w:rFonts w:ascii="Verdana" w:hAnsi="Verdana"/>
          <w:sz w:val="20"/>
          <w:szCs w:val="20"/>
        </w:rPr>
        <w:t xml:space="preserve">Op basis van </w:t>
      </w:r>
      <w:r w:rsidRPr="2B2C3811" w:rsidR="0062198C">
        <w:rPr>
          <w:rFonts w:ascii="Verdana" w:hAnsi="Verdana"/>
          <w:sz w:val="20"/>
          <w:szCs w:val="20"/>
        </w:rPr>
        <w:t xml:space="preserve">de beschikbare gegevens presteert Nederland wat betreft beloften en </w:t>
      </w:r>
      <w:proofErr w:type="spellStart"/>
      <w:r w:rsidRPr="2B2C3811" w:rsidR="0062198C">
        <w:rPr>
          <w:rFonts w:ascii="Verdana" w:hAnsi="Verdana"/>
          <w:sz w:val="20"/>
          <w:szCs w:val="20"/>
        </w:rPr>
        <w:t>commitment</w:t>
      </w:r>
      <w:r w:rsidRPr="2B2C3811" w:rsidR="00D60193">
        <w:rPr>
          <w:rFonts w:ascii="Verdana" w:hAnsi="Verdana"/>
          <w:sz w:val="20"/>
          <w:szCs w:val="20"/>
        </w:rPr>
        <w:t>s</w:t>
      </w:r>
      <w:proofErr w:type="spellEnd"/>
      <w:r w:rsidRPr="2B2C3811" w:rsidR="0062198C">
        <w:rPr>
          <w:rFonts w:ascii="Verdana" w:hAnsi="Verdana"/>
          <w:sz w:val="20"/>
          <w:szCs w:val="20"/>
        </w:rPr>
        <w:t xml:space="preserve"> goed, en lijken deze goed op elkaar aan te sluiten. </w:t>
      </w:r>
      <w:proofErr w:type="spellStart"/>
      <w:r w:rsidRPr="2B2C3811" w:rsidR="00641586">
        <w:rPr>
          <w:rFonts w:ascii="Verdana" w:hAnsi="Verdana"/>
          <w:sz w:val="20"/>
          <w:szCs w:val="20"/>
        </w:rPr>
        <w:t>Vollebergh</w:t>
      </w:r>
      <w:proofErr w:type="spellEnd"/>
      <w:r w:rsidRPr="2B2C3811" w:rsidR="00641586">
        <w:rPr>
          <w:rFonts w:ascii="Verdana" w:hAnsi="Verdana"/>
          <w:sz w:val="20"/>
          <w:szCs w:val="20"/>
        </w:rPr>
        <w:t xml:space="preserve"> prees daarnaast </w:t>
      </w:r>
      <w:r w:rsidRPr="2B2C3811" w:rsidR="0062198C">
        <w:rPr>
          <w:rFonts w:ascii="Verdana" w:hAnsi="Verdana"/>
          <w:sz w:val="20"/>
          <w:szCs w:val="20"/>
        </w:rPr>
        <w:t xml:space="preserve">de manier waarop Nederland rapporteert, wat als een voorbeeld kan worden gesteld voor andere landen. </w:t>
      </w:r>
    </w:p>
    <w:p w:rsidR="2B2C3811" w:rsidP="2B2C3811" w:rsidRDefault="2B2C3811" w14:paraId="6B85C813" w14:textId="044AA9DB">
      <w:pPr>
        <w:rPr>
          <w:rFonts w:ascii="Verdana" w:hAnsi="Verdana"/>
          <w:sz w:val="20"/>
          <w:szCs w:val="20"/>
        </w:rPr>
      </w:pPr>
    </w:p>
    <w:p w:rsidR="2B2C3811" w:rsidP="2B2C3811" w:rsidRDefault="2B2C3811" w14:paraId="3E53F0B6" w14:textId="0AC2F320">
      <w:pPr>
        <w:rPr>
          <w:rFonts w:ascii="Verdana" w:hAnsi="Verdana"/>
          <w:sz w:val="20"/>
          <w:szCs w:val="20"/>
        </w:rPr>
      </w:pPr>
    </w:p>
    <w:p w:rsidR="00127734" w:rsidP="002D7FD0" w:rsidRDefault="00127734" w14:paraId="5B2D18B9" w14:textId="3929B2D1">
      <w:pPr>
        <w:rPr>
          <w:rFonts w:ascii="Verdana" w:hAnsi="Verdana"/>
          <w:b/>
          <w:bCs/>
          <w:i/>
          <w:iCs/>
          <w:sz w:val="20"/>
          <w:szCs w:val="20"/>
        </w:rPr>
      </w:pPr>
      <w:r w:rsidRPr="002B4870">
        <w:rPr>
          <w:rFonts w:ascii="Verdana" w:hAnsi="Verdana"/>
          <w:b/>
          <w:bCs/>
          <w:i/>
          <w:iCs/>
          <w:sz w:val="20"/>
          <w:szCs w:val="20"/>
        </w:rPr>
        <w:t>Gesprek met experts op het gebied van internationale klimaatfinanciering</w:t>
      </w:r>
    </w:p>
    <w:p w:rsidRPr="00B6221E" w:rsidR="00B6221E" w:rsidP="00B6221E" w:rsidRDefault="00B6221E" w14:paraId="54F1318C" w14:textId="77777777">
      <w:pPr>
        <w:rPr>
          <w:rFonts w:ascii="Verdana" w:hAnsi="Verdana"/>
          <w:sz w:val="20"/>
          <w:szCs w:val="20"/>
        </w:rPr>
      </w:pPr>
      <w:r w:rsidRPr="00B6221E">
        <w:rPr>
          <w:rFonts w:ascii="Verdana" w:hAnsi="Verdana"/>
          <w:sz w:val="20"/>
          <w:szCs w:val="20"/>
        </w:rPr>
        <w:t xml:space="preserve">Op 11 september 2025 spraken wij met twee experts op het gebied van internationale klimaatfinanciering: dr. Pauw (TU Eindhoven, Clingendael) en dr. </w:t>
      </w:r>
      <w:proofErr w:type="spellStart"/>
      <w:r w:rsidRPr="00B6221E">
        <w:rPr>
          <w:rFonts w:ascii="Verdana" w:hAnsi="Verdana"/>
          <w:sz w:val="20"/>
          <w:szCs w:val="20"/>
        </w:rPr>
        <w:t>Rossati</w:t>
      </w:r>
      <w:proofErr w:type="spellEnd"/>
      <w:r w:rsidRPr="00B6221E">
        <w:rPr>
          <w:rFonts w:ascii="Verdana" w:hAnsi="Verdana"/>
          <w:sz w:val="20"/>
          <w:szCs w:val="20"/>
        </w:rPr>
        <w:t xml:space="preserve"> (Vrije Universiteit Amsterdam).</w:t>
      </w:r>
    </w:p>
    <w:p w:rsidRPr="00B6221E" w:rsidR="00B6221E" w:rsidP="00B6221E" w:rsidRDefault="00B6221E" w14:paraId="44069962" w14:textId="654F3700">
      <w:pPr>
        <w:rPr>
          <w:rFonts w:ascii="Verdana" w:hAnsi="Verdana"/>
          <w:sz w:val="20"/>
          <w:szCs w:val="20"/>
        </w:rPr>
      </w:pPr>
      <w:r w:rsidRPr="00B6221E">
        <w:rPr>
          <w:rFonts w:ascii="Verdana" w:hAnsi="Verdana"/>
          <w:sz w:val="20"/>
          <w:szCs w:val="20"/>
        </w:rPr>
        <w:t xml:space="preserve">Zij benadrukten dat Nederland juridisch gezien grotendeels aan zijn verplichtingen voldoet en </w:t>
      </w:r>
      <w:r w:rsidR="00DC0D34">
        <w:rPr>
          <w:rFonts w:ascii="Verdana" w:hAnsi="Verdana"/>
          <w:sz w:val="20"/>
          <w:szCs w:val="20"/>
        </w:rPr>
        <w:t>Nederland er positief uit</w:t>
      </w:r>
      <w:r w:rsidR="00AE7F18">
        <w:rPr>
          <w:rFonts w:ascii="Verdana" w:hAnsi="Verdana"/>
          <w:sz w:val="20"/>
          <w:szCs w:val="20"/>
        </w:rPr>
        <w:t>springt</w:t>
      </w:r>
      <w:r w:rsidRPr="00B6221E">
        <w:rPr>
          <w:rFonts w:ascii="Verdana" w:hAnsi="Verdana"/>
          <w:sz w:val="20"/>
          <w:szCs w:val="20"/>
        </w:rPr>
        <w:t xml:space="preserve"> ten opzichte van andere donorlanden doordat meer dan de helft van de Nederlandse bijdragen naar adaptatie gaat. </w:t>
      </w:r>
      <w:r w:rsidR="000F1300">
        <w:rPr>
          <w:rFonts w:ascii="Verdana" w:hAnsi="Verdana"/>
          <w:sz w:val="20"/>
          <w:szCs w:val="20"/>
        </w:rPr>
        <w:t xml:space="preserve">Tegelijkertijd werd opgemerkt </w:t>
      </w:r>
      <w:r w:rsidRPr="00AC293B" w:rsidR="000F1300">
        <w:rPr>
          <w:rFonts w:ascii="Verdana" w:hAnsi="Verdana"/>
          <w:sz w:val="20"/>
          <w:szCs w:val="20"/>
        </w:rPr>
        <w:t>dat de internationale afspraken vaag zijn en de interpretatie van wat precies als klimaatfinanciering telt nog steeds veel discussie oproept</w:t>
      </w:r>
      <w:r w:rsidR="000F1300">
        <w:rPr>
          <w:rFonts w:ascii="Verdana" w:hAnsi="Verdana"/>
          <w:sz w:val="20"/>
          <w:szCs w:val="20"/>
        </w:rPr>
        <w:t xml:space="preserve"> </w:t>
      </w:r>
      <w:r w:rsidRPr="00B6221E">
        <w:rPr>
          <w:rFonts w:ascii="Verdana" w:hAnsi="Verdana"/>
          <w:sz w:val="20"/>
          <w:szCs w:val="20"/>
        </w:rPr>
        <w:t xml:space="preserve">telt. Het in Baku afgesproken doel voor 2035 — jaarlijks minimaal 300 miljard dollar van ontwikkelde landen — is bovendien ontoereikend om in de werkelijke behoeften van ontwikkelingslanden te voorzien. Omdat niet is vastgelegd welk land welk aandeel levert, ontbreekt </w:t>
      </w:r>
      <w:r w:rsidR="00A509E4">
        <w:rPr>
          <w:rFonts w:ascii="Verdana" w:hAnsi="Verdana"/>
          <w:sz w:val="20"/>
          <w:szCs w:val="20"/>
        </w:rPr>
        <w:t>accountability</w:t>
      </w:r>
      <w:r w:rsidRPr="00B6221E">
        <w:rPr>
          <w:rFonts w:ascii="Verdana" w:hAnsi="Verdana"/>
          <w:sz w:val="20"/>
          <w:szCs w:val="20"/>
        </w:rPr>
        <w:t>.</w:t>
      </w:r>
    </w:p>
    <w:p w:rsidR="00A73FB2" w:rsidP="00B6221E" w:rsidRDefault="00B6221E" w14:paraId="2BCD1403" w14:textId="2AFDE2ED">
      <w:pPr>
        <w:rPr>
          <w:rFonts w:ascii="Verdana" w:hAnsi="Verdana"/>
          <w:sz w:val="20"/>
          <w:szCs w:val="20"/>
        </w:rPr>
      </w:pPr>
      <w:r w:rsidRPr="00B6221E">
        <w:rPr>
          <w:rFonts w:ascii="Verdana" w:hAnsi="Verdana"/>
          <w:sz w:val="20"/>
          <w:szCs w:val="20"/>
        </w:rPr>
        <w:t xml:space="preserve">Volgens de experts biedt dit Nederland ook kansen. Extra Nederlandse inzet kan een </w:t>
      </w:r>
      <w:proofErr w:type="spellStart"/>
      <w:r w:rsidRPr="00B6221E">
        <w:rPr>
          <w:rFonts w:ascii="Verdana" w:hAnsi="Verdana"/>
          <w:sz w:val="20"/>
          <w:szCs w:val="20"/>
        </w:rPr>
        <w:t>multiplier-effect</w:t>
      </w:r>
      <w:proofErr w:type="spellEnd"/>
      <w:r w:rsidRPr="00B6221E">
        <w:rPr>
          <w:rFonts w:ascii="Verdana" w:hAnsi="Verdana"/>
          <w:sz w:val="20"/>
          <w:szCs w:val="20"/>
        </w:rPr>
        <w:t xml:space="preserve"> hebben, waarbij andere landen volgen.</w:t>
      </w:r>
      <w:r w:rsidR="00A73FB2">
        <w:rPr>
          <w:rFonts w:ascii="Verdana" w:hAnsi="Verdana"/>
          <w:sz w:val="20"/>
          <w:szCs w:val="20"/>
        </w:rPr>
        <w:t xml:space="preserve"> </w:t>
      </w:r>
      <w:r w:rsidRPr="00A73FB2" w:rsidR="00A73FB2">
        <w:rPr>
          <w:rFonts w:ascii="Verdana" w:hAnsi="Verdana"/>
          <w:sz w:val="20"/>
          <w:szCs w:val="20"/>
        </w:rPr>
        <w:t>Bovendien is een grotere bijdrage in ons eigen belang: klimaatfinanciering kan dienen als strategisch instrument om samen te werken met ontwikkelingslanden, de Nederlandse positie in de mondiale orde te versterken en bij te dragen aan veiligheid en stabilit</w:t>
      </w:r>
      <w:r w:rsidR="00A73FB2">
        <w:rPr>
          <w:rFonts w:ascii="Verdana" w:hAnsi="Verdana"/>
          <w:sz w:val="20"/>
          <w:szCs w:val="20"/>
        </w:rPr>
        <w:t xml:space="preserve">eit. </w:t>
      </w:r>
    </w:p>
    <w:p w:rsidR="0045452B" w:rsidP="00B6221E" w:rsidRDefault="0027785F" w14:paraId="0690CE37" w14:textId="0E2C3618">
      <w:pPr>
        <w:rPr>
          <w:rFonts w:ascii="Verdana" w:hAnsi="Verdana"/>
          <w:sz w:val="20"/>
          <w:szCs w:val="20"/>
        </w:rPr>
      </w:pPr>
      <w:r>
        <w:rPr>
          <w:rFonts w:ascii="Verdana" w:hAnsi="Verdana"/>
          <w:sz w:val="20"/>
          <w:szCs w:val="20"/>
        </w:rPr>
        <w:t xml:space="preserve">Mede onder verwijzing naar een </w:t>
      </w:r>
      <w:r w:rsidR="004335D6">
        <w:rPr>
          <w:rFonts w:ascii="Verdana" w:hAnsi="Verdana"/>
          <w:sz w:val="20"/>
          <w:szCs w:val="20"/>
        </w:rPr>
        <w:t>recent</w:t>
      </w:r>
      <w:r>
        <w:rPr>
          <w:rFonts w:ascii="Verdana" w:hAnsi="Verdana"/>
          <w:sz w:val="20"/>
          <w:szCs w:val="20"/>
        </w:rPr>
        <w:t xml:space="preserve"> artikel in Follow </w:t>
      </w:r>
      <w:proofErr w:type="spellStart"/>
      <w:r>
        <w:rPr>
          <w:rFonts w:ascii="Verdana" w:hAnsi="Verdana"/>
          <w:sz w:val="20"/>
          <w:szCs w:val="20"/>
        </w:rPr>
        <w:t>the</w:t>
      </w:r>
      <w:proofErr w:type="spellEnd"/>
      <w:r>
        <w:rPr>
          <w:rFonts w:ascii="Verdana" w:hAnsi="Verdana"/>
          <w:sz w:val="20"/>
          <w:szCs w:val="20"/>
        </w:rPr>
        <w:t xml:space="preserve"> Money</w:t>
      </w:r>
      <w:r w:rsidR="003B1952">
        <w:rPr>
          <w:rStyle w:val="Voetnootmarkering"/>
          <w:rFonts w:ascii="Verdana" w:hAnsi="Verdana"/>
          <w:sz w:val="20"/>
          <w:szCs w:val="20"/>
        </w:rPr>
        <w:footnoteReference w:id="4"/>
      </w:r>
      <w:r>
        <w:rPr>
          <w:rFonts w:ascii="Verdana" w:hAnsi="Verdana"/>
          <w:sz w:val="20"/>
          <w:szCs w:val="20"/>
        </w:rPr>
        <w:t xml:space="preserve"> werd</w:t>
      </w:r>
      <w:r w:rsidR="00450BCC">
        <w:rPr>
          <w:rFonts w:ascii="Verdana" w:hAnsi="Verdana"/>
          <w:sz w:val="20"/>
          <w:szCs w:val="20"/>
        </w:rPr>
        <w:t xml:space="preserve"> dan ook</w:t>
      </w:r>
      <w:r>
        <w:rPr>
          <w:rFonts w:ascii="Verdana" w:hAnsi="Verdana"/>
          <w:sz w:val="20"/>
          <w:szCs w:val="20"/>
        </w:rPr>
        <w:t xml:space="preserve"> teleurstelling uitgesproken </w:t>
      </w:r>
      <w:r w:rsidRPr="00B6221E" w:rsidR="00B6221E">
        <w:rPr>
          <w:rFonts w:ascii="Verdana" w:hAnsi="Verdana"/>
          <w:sz w:val="20"/>
          <w:szCs w:val="20"/>
        </w:rPr>
        <w:t>over het dalende ambitieniveau van Nederland</w:t>
      </w:r>
      <w:r>
        <w:rPr>
          <w:rFonts w:ascii="Verdana" w:hAnsi="Verdana"/>
          <w:sz w:val="20"/>
          <w:szCs w:val="20"/>
        </w:rPr>
        <w:t>.</w:t>
      </w:r>
      <w:r w:rsidR="004335D6">
        <w:rPr>
          <w:rFonts w:ascii="Verdana" w:hAnsi="Verdana"/>
          <w:sz w:val="20"/>
          <w:szCs w:val="20"/>
        </w:rPr>
        <w:t xml:space="preserve"> </w:t>
      </w:r>
      <w:r w:rsidRPr="004335D6" w:rsidR="004335D6">
        <w:rPr>
          <w:rFonts w:ascii="Verdana" w:hAnsi="Verdana"/>
          <w:sz w:val="20"/>
          <w:szCs w:val="20"/>
        </w:rPr>
        <w:t>Ook de conclusie van het Planbureau voor de Leefomgeving dat het “zeer onwaarschijnlijk” is dat Nederland zijn 2030-doelen haalt, schaadt onze internationale geloofwaardigheid.</w:t>
      </w:r>
    </w:p>
    <w:p w:rsidRPr="005F2CD7" w:rsidR="00CC332D" w:rsidP="002D7FD0" w:rsidRDefault="0045452B" w14:paraId="06DC6A42" w14:textId="6A1A7513">
      <w:pPr>
        <w:rPr>
          <w:rFonts w:ascii="Verdana" w:hAnsi="Verdana"/>
          <w:sz w:val="20"/>
          <w:szCs w:val="20"/>
        </w:rPr>
      </w:pPr>
      <w:r w:rsidRPr="009E787E">
        <w:rPr>
          <w:rFonts w:ascii="Verdana" w:hAnsi="Verdana"/>
          <w:sz w:val="20"/>
          <w:szCs w:val="20"/>
        </w:rPr>
        <w:t>Tot slot werd ingegaan op de</w:t>
      </w:r>
      <w:r w:rsidR="00CD5D2E">
        <w:rPr>
          <w:rFonts w:ascii="Verdana" w:hAnsi="Verdana"/>
          <w:sz w:val="20"/>
          <w:szCs w:val="20"/>
        </w:rPr>
        <w:t xml:space="preserve"> </w:t>
      </w:r>
      <w:r w:rsidRPr="00C4528A" w:rsidR="00CD5D2E">
        <w:rPr>
          <w:rFonts w:ascii="Verdana" w:hAnsi="Verdana"/>
          <w:sz w:val="20"/>
          <w:szCs w:val="20"/>
        </w:rPr>
        <w:t>Periodieke rapportage internationaal klimaatbeleid 2016–2022</w:t>
      </w:r>
      <w:r w:rsidR="00C84632">
        <w:rPr>
          <w:rFonts w:ascii="Verdana" w:hAnsi="Verdana"/>
          <w:sz w:val="20"/>
          <w:szCs w:val="20"/>
        </w:rPr>
        <w:t xml:space="preserve"> </w:t>
      </w:r>
      <w:r w:rsidRPr="009E787E">
        <w:rPr>
          <w:rFonts w:ascii="Verdana" w:hAnsi="Verdana"/>
          <w:sz w:val="20"/>
          <w:szCs w:val="20"/>
        </w:rPr>
        <w:t>van de IOB</w:t>
      </w:r>
      <w:r w:rsidR="00CD5D2E">
        <w:rPr>
          <w:rStyle w:val="Voetnootmarkering"/>
          <w:rFonts w:ascii="Verdana" w:hAnsi="Verdana"/>
          <w:sz w:val="20"/>
          <w:szCs w:val="20"/>
        </w:rPr>
        <w:footnoteReference w:id="5"/>
      </w:r>
      <w:r w:rsidRPr="009E787E">
        <w:rPr>
          <w:rFonts w:ascii="Verdana" w:hAnsi="Verdana"/>
          <w:sz w:val="20"/>
          <w:szCs w:val="20"/>
        </w:rPr>
        <w:t xml:space="preserve">. Deze </w:t>
      </w:r>
      <w:r w:rsidR="00C84632">
        <w:rPr>
          <w:rFonts w:ascii="Verdana" w:hAnsi="Verdana"/>
          <w:sz w:val="20"/>
          <w:szCs w:val="20"/>
        </w:rPr>
        <w:t>rapportage</w:t>
      </w:r>
      <w:r w:rsidRPr="009E787E">
        <w:rPr>
          <w:rFonts w:ascii="Verdana" w:hAnsi="Verdana"/>
          <w:sz w:val="20"/>
          <w:szCs w:val="20"/>
        </w:rPr>
        <w:t xml:space="preserve"> werd geprezen om de degelijke methodologie en de heldere aanbevelingen, maar de experts konden geen duidelijke opvolging van deze aanbevelingen vinden</w:t>
      </w:r>
      <w:r>
        <w:rPr>
          <w:rFonts w:ascii="Verdana" w:hAnsi="Verdana"/>
          <w:sz w:val="20"/>
          <w:szCs w:val="20"/>
        </w:rPr>
        <w:t xml:space="preserve"> van het kabinet</w:t>
      </w:r>
      <w:r w:rsidR="00000F71">
        <w:rPr>
          <w:rFonts w:ascii="Verdana" w:hAnsi="Verdana"/>
          <w:sz w:val="20"/>
          <w:szCs w:val="20"/>
        </w:rPr>
        <w:t xml:space="preserve">. </w:t>
      </w:r>
    </w:p>
    <w:p w:rsidR="2B2C3811" w:rsidP="2B2C3811" w:rsidRDefault="2B2C3811" w14:paraId="4CBE0FB5" w14:textId="0B460B0F">
      <w:pPr>
        <w:rPr>
          <w:rFonts w:ascii="Verdana" w:hAnsi="Verdana"/>
          <w:sz w:val="20"/>
          <w:szCs w:val="20"/>
        </w:rPr>
      </w:pPr>
    </w:p>
    <w:p w:rsidRPr="002E30F9" w:rsidR="00127734" w:rsidP="002D7FD0" w:rsidRDefault="00127734" w14:paraId="44922F53" w14:textId="1D2DF353">
      <w:pPr>
        <w:rPr>
          <w:rFonts w:ascii="Verdana" w:hAnsi="Verdana"/>
          <w:b/>
          <w:bCs/>
          <w:i/>
          <w:iCs/>
          <w:sz w:val="20"/>
          <w:szCs w:val="20"/>
        </w:rPr>
      </w:pPr>
      <w:r w:rsidRPr="002E30F9">
        <w:rPr>
          <w:rFonts w:ascii="Verdana" w:hAnsi="Verdana"/>
          <w:b/>
          <w:bCs/>
          <w:i/>
          <w:iCs/>
          <w:sz w:val="20"/>
          <w:szCs w:val="20"/>
        </w:rPr>
        <w:t>Gesprek met ambtenaren van de Algemene Rekenkamer</w:t>
      </w:r>
    </w:p>
    <w:p w:rsidRPr="00C4528A" w:rsidR="00C4528A" w:rsidP="00C4528A" w:rsidRDefault="00C4528A" w14:paraId="5788D788" w14:textId="1D2F75BF">
      <w:pPr>
        <w:rPr>
          <w:rFonts w:ascii="Verdana" w:hAnsi="Verdana"/>
          <w:sz w:val="20"/>
          <w:szCs w:val="20"/>
        </w:rPr>
      </w:pPr>
      <w:r>
        <w:rPr>
          <w:rFonts w:ascii="Verdana" w:hAnsi="Verdana"/>
          <w:sz w:val="20"/>
          <w:szCs w:val="20"/>
        </w:rPr>
        <w:t>A</w:t>
      </w:r>
      <w:r w:rsidRPr="00C4528A">
        <w:rPr>
          <w:rFonts w:ascii="Verdana" w:hAnsi="Verdana"/>
          <w:sz w:val="20"/>
          <w:szCs w:val="20"/>
        </w:rPr>
        <w:t>ansluitend spraken wij met ambtenaren van de Algemene Rekenkamer (ARK). Dit gesprek ging over het verantwoordingsonderzoek van de ARK bij het Jaarverslag 2024 van Buitenlandse Handel en Ontwikkelingssamenwerking, en in het bijzonder over de</w:t>
      </w:r>
      <w:r w:rsidR="00B65185">
        <w:rPr>
          <w:rFonts w:ascii="Verdana" w:hAnsi="Verdana"/>
          <w:sz w:val="20"/>
          <w:szCs w:val="20"/>
        </w:rPr>
        <w:t xml:space="preserve"> </w:t>
      </w:r>
      <w:r w:rsidR="00B65185">
        <w:rPr>
          <w:rFonts w:ascii="Verdana" w:hAnsi="Verdana"/>
          <w:sz w:val="20"/>
          <w:szCs w:val="20"/>
        </w:rPr>
        <w:lastRenderedPageBreak/>
        <w:t>kwaliteit van de</w:t>
      </w:r>
      <w:r w:rsidRPr="00C4528A">
        <w:rPr>
          <w:rFonts w:ascii="Verdana" w:hAnsi="Verdana"/>
          <w:sz w:val="20"/>
          <w:szCs w:val="20"/>
        </w:rPr>
        <w:t xml:space="preserve"> Periodieke rapportage internationaal klimaatbeleid 2016–2022 van de IOB die daar</w:t>
      </w:r>
      <w:r w:rsidR="0003319E">
        <w:rPr>
          <w:rFonts w:ascii="Verdana" w:hAnsi="Verdana"/>
          <w:sz w:val="20"/>
          <w:szCs w:val="20"/>
        </w:rPr>
        <w:t xml:space="preserve">in </w:t>
      </w:r>
      <w:r w:rsidRPr="00C4528A">
        <w:rPr>
          <w:rFonts w:ascii="Verdana" w:hAnsi="Verdana"/>
          <w:sz w:val="20"/>
          <w:szCs w:val="20"/>
        </w:rPr>
        <w:t>is onderzocht.</w:t>
      </w:r>
    </w:p>
    <w:p w:rsidR="007A6BBE" w:rsidP="00C4528A" w:rsidRDefault="00C4528A" w14:paraId="76E0CD59" w14:textId="4D5AFA98">
      <w:pPr>
        <w:rPr>
          <w:rFonts w:ascii="Verdana" w:hAnsi="Verdana"/>
          <w:sz w:val="20"/>
          <w:szCs w:val="20"/>
        </w:rPr>
      </w:pPr>
      <w:r w:rsidRPr="00C4528A">
        <w:rPr>
          <w:rFonts w:ascii="Verdana" w:hAnsi="Verdana"/>
          <w:sz w:val="20"/>
          <w:szCs w:val="20"/>
        </w:rPr>
        <w:t>De ARK beoordeelt de kwaliteit van deze rapportage als voldoende: de opbouw van bevindingen naar conclusies en aanbevelingen is systematisch en de onderbouwing is degelijk. Tegelijkertijd plaatst de ARK enkele kanttekeningen. Tijdens het gesprek is in het bijzonder stilgestaan bij het feit dat de rapportage zeer beperkt ingaat op de doelmatigheid en doeltreffendheid van het beleid. Dat is ook begrijpelijk, omdat er vooraf geen concrete beleidsdoelen zijn gesteld. Hierdoor kon de IOB hierover niet goed rapporteren.</w:t>
      </w:r>
      <w:r w:rsidR="00B46EDE">
        <w:rPr>
          <w:rFonts w:ascii="Verdana" w:hAnsi="Verdana"/>
          <w:sz w:val="20"/>
          <w:szCs w:val="20"/>
        </w:rPr>
        <w:t xml:space="preserve"> </w:t>
      </w:r>
      <w:r w:rsidRPr="00C4528A">
        <w:rPr>
          <w:rFonts w:ascii="Verdana" w:hAnsi="Verdana"/>
          <w:sz w:val="20"/>
          <w:szCs w:val="20"/>
        </w:rPr>
        <w:t xml:space="preserve">Daarnaast constateert de ARK dat </w:t>
      </w:r>
      <w:r w:rsidR="007A6BBE">
        <w:rPr>
          <w:rFonts w:ascii="Verdana" w:hAnsi="Verdana"/>
          <w:sz w:val="20"/>
          <w:szCs w:val="20"/>
        </w:rPr>
        <w:t>de toenmalig minister</w:t>
      </w:r>
      <w:r w:rsidR="00B46EDE">
        <w:rPr>
          <w:rFonts w:ascii="Verdana" w:hAnsi="Verdana"/>
          <w:sz w:val="20"/>
          <w:szCs w:val="20"/>
        </w:rPr>
        <w:t xml:space="preserve"> in </w:t>
      </w:r>
      <w:r w:rsidR="007A6BBE">
        <w:rPr>
          <w:rFonts w:ascii="Verdana" w:hAnsi="Verdana"/>
          <w:sz w:val="20"/>
          <w:szCs w:val="20"/>
        </w:rPr>
        <w:t>de</w:t>
      </w:r>
      <w:r w:rsidR="00AA0A72">
        <w:rPr>
          <w:rFonts w:ascii="Verdana" w:hAnsi="Verdana"/>
          <w:sz w:val="20"/>
          <w:szCs w:val="20"/>
        </w:rPr>
        <w:t xml:space="preserve"> </w:t>
      </w:r>
      <w:r w:rsidR="007A6BBE">
        <w:rPr>
          <w:rFonts w:ascii="Verdana" w:hAnsi="Verdana"/>
          <w:sz w:val="20"/>
          <w:szCs w:val="20"/>
        </w:rPr>
        <w:t>kabinets</w:t>
      </w:r>
      <w:r w:rsidR="00545F71">
        <w:rPr>
          <w:rFonts w:ascii="Verdana" w:hAnsi="Verdana"/>
          <w:sz w:val="20"/>
          <w:szCs w:val="20"/>
        </w:rPr>
        <w:t>reactie</w:t>
      </w:r>
      <w:r w:rsidR="00693350">
        <w:rPr>
          <w:rStyle w:val="Voetnootmarkering"/>
          <w:rFonts w:ascii="Verdana" w:hAnsi="Verdana"/>
          <w:sz w:val="20"/>
          <w:szCs w:val="20"/>
        </w:rPr>
        <w:footnoteReference w:id="6"/>
      </w:r>
      <w:r w:rsidR="00261869">
        <w:rPr>
          <w:rFonts w:ascii="Verdana" w:hAnsi="Verdana"/>
          <w:sz w:val="20"/>
          <w:szCs w:val="20"/>
        </w:rPr>
        <w:t xml:space="preserve"> </w:t>
      </w:r>
      <w:r w:rsidR="00693350">
        <w:rPr>
          <w:rFonts w:ascii="Verdana" w:hAnsi="Verdana"/>
          <w:sz w:val="20"/>
          <w:szCs w:val="20"/>
        </w:rPr>
        <w:t xml:space="preserve">op de periodieke rapportage </w:t>
      </w:r>
      <w:r w:rsidR="00AA0A72">
        <w:rPr>
          <w:rFonts w:ascii="Verdana" w:hAnsi="Verdana"/>
          <w:sz w:val="20"/>
          <w:szCs w:val="20"/>
        </w:rPr>
        <w:t xml:space="preserve">niet ingaat </w:t>
      </w:r>
      <w:r w:rsidR="00545F71">
        <w:rPr>
          <w:rFonts w:ascii="Verdana" w:hAnsi="Verdana"/>
          <w:sz w:val="20"/>
          <w:szCs w:val="20"/>
        </w:rPr>
        <w:t>op</w:t>
      </w:r>
      <w:r w:rsidR="00AA0A72">
        <w:rPr>
          <w:rFonts w:ascii="Verdana" w:hAnsi="Verdana"/>
          <w:sz w:val="20"/>
          <w:szCs w:val="20"/>
        </w:rPr>
        <w:t xml:space="preserve"> een aantal</w:t>
      </w:r>
      <w:r w:rsidR="007A6BBE">
        <w:rPr>
          <w:rFonts w:ascii="Verdana" w:hAnsi="Verdana"/>
          <w:sz w:val="20"/>
          <w:szCs w:val="20"/>
        </w:rPr>
        <w:t xml:space="preserve"> </w:t>
      </w:r>
      <w:r w:rsidRPr="007A6BBE" w:rsidR="007A6BBE">
        <w:rPr>
          <w:rFonts w:ascii="Verdana" w:hAnsi="Verdana"/>
          <w:sz w:val="20"/>
          <w:szCs w:val="20"/>
        </w:rPr>
        <w:t>belangrijke bevindingen uit de periodieke rapportage</w:t>
      </w:r>
      <w:r w:rsidR="006375D4">
        <w:rPr>
          <w:rFonts w:ascii="Verdana" w:hAnsi="Verdana"/>
          <w:sz w:val="20"/>
          <w:szCs w:val="20"/>
        </w:rPr>
        <w:t xml:space="preserve">. </w:t>
      </w:r>
    </w:p>
    <w:p w:rsidR="00BF7DA9" w:rsidP="00C4528A" w:rsidRDefault="006375D4" w14:paraId="02ABEB7C" w14:textId="08284BB6">
      <w:pPr>
        <w:rPr>
          <w:rFonts w:ascii="Verdana" w:hAnsi="Verdana"/>
          <w:sz w:val="20"/>
          <w:szCs w:val="20"/>
        </w:rPr>
      </w:pPr>
      <w:r w:rsidRPr="48F89D07">
        <w:rPr>
          <w:rFonts w:ascii="Verdana" w:hAnsi="Verdana"/>
          <w:sz w:val="20"/>
          <w:szCs w:val="20"/>
        </w:rPr>
        <w:t>De ambtenaren stellen tot slot</w:t>
      </w:r>
      <w:r w:rsidRPr="48F89D07" w:rsidR="00FB28B9">
        <w:rPr>
          <w:rFonts w:ascii="Verdana" w:hAnsi="Verdana"/>
          <w:sz w:val="20"/>
          <w:szCs w:val="20"/>
        </w:rPr>
        <w:t xml:space="preserve"> in zijn algemeenheid</w:t>
      </w:r>
      <w:r w:rsidRPr="48F89D07">
        <w:rPr>
          <w:rFonts w:ascii="Verdana" w:hAnsi="Verdana"/>
          <w:sz w:val="20"/>
          <w:szCs w:val="20"/>
        </w:rPr>
        <w:t xml:space="preserve"> da</w:t>
      </w:r>
      <w:r w:rsidRPr="48F89D07" w:rsidR="00DB6E68">
        <w:rPr>
          <w:rFonts w:ascii="Verdana" w:hAnsi="Verdana"/>
          <w:sz w:val="20"/>
          <w:szCs w:val="20"/>
        </w:rPr>
        <w:t xml:space="preserve">t </w:t>
      </w:r>
      <w:r w:rsidRPr="48F89D07" w:rsidR="00E87471">
        <w:rPr>
          <w:rFonts w:ascii="Verdana" w:hAnsi="Verdana"/>
          <w:sz w:val="20"/>
          <w:szCs w:val="20"/>
        </w:rPr>
        <w:t>periodieke</w:t>
      </w:r>
      <w:r w:rsidRPr="48F89D07" w:rsidR="00DB6E68">
        <w:rPr>
          <w:rFonts w:ascii="Verdana" w:hAnsi="Verdana"/>
          <w:sz w:val="20"/>
          <w:szCs w:val="20"/>
        </w:rPr>
        <w:t xml:space="preserve"> rapportages en </w:t>
      </w:r>
      <w:r w:rsidRPr="48F89D07" w:rsidR="00E87471">
        <w:rPr>
          <w:rFonts w:ascii="Verdana" w:hAnsi="Verdana"/>
          <w:sz w:val="20"/>
          <w:szCs w:val="20"/>
        </w:rPr>
        <w:t>evaluaties van beleid</w:t>
      </w:r>
      <w:r w:rsidRPr="48F89D07" w:rsidR="00FB28B9">
        <w:rPr>
          <w:rFonts w:ascii="Verdana" w:hAnsi="Verdana"/>
          <w:sz w:val="20"/>
          <w:szCs w:val="20"/>
        </w:rPr>
        <w:t xml:space="preserve"> beter zouden kunnen worden benut</w:t>
      </w:r>
      <w:r w:rsidRPr="48F89D07" w:rsidR="00E87471">
        <w:rPr>
          <w:rFonts w:ascii="Verdana" w:hAnsi="Verdana"/>
          <w:sz w:val="20"/>
          <w:szCs w:val="20"/>
        </w:rPr>
        <w:t xml:space="preserve"> door de Kamer, bijvoorbeeld door hierover een apart debat te organiseren. </w:t>
      </w:r>
      <w:r w:rsidRPr="48F89D07" w:rsidR="000E7BAF">
        <w:rPr>
          <w:rFonts w:ascii="Verdana" w:hAnsi="Verdana"/>
          <w:sz w:val="20"/>
          <w:szCs w:val="20"/>
        </w:rPr>
        <w:t>Hierbij sluiten ze aan bij hetgeen de president van de</w:t>
      </w:r>
      <w:r w:rsidRPr="48F89D07" w:rsidR="00012B59">
        <w:rPr>
          <w:rFonts w:ascii="Verdana" w:hAnsi="Verdana"/>
          <w:sz w:val="20"/>
          <w:szCs w:val="20"/>
        </w:rPr>
        <w:t xml:space="preserve"> ARK</w:t>
      </w:r>
      <w:r w:rsidRPr="48F89D07" w:rsidR="000E7BAF">
        <w:rPr>
          <w:rFonts w:ascii="Verdana" w:hAnsi="Verdana"/>
          <w:sz w:val="20"/>
          <w:szCs w:val="20"/>
        </w:rPr>
        <w:t xml:space="preserve">, </w:t>
      </w:r>
      <w:proofErr w:type="spellStart"/>
      <w:r w:rsidRPr="48F89D07" w:rsidR="000E7BAF">
        <w:rPr>
          <w:rFonts w:ascii="Verdana" w:hAnsi="Verdana"/>
          <w:sz w:val="20"/>
          <w:szCs w:val="20"/>
        </w:rPr>
        <w:t>Duisenberg</w:t>
      </w:r>
      <w:proofErr w:type="spellEnd"/>
      <w:r w:rsidRPr="48F89D07" w:rsidR="000E7BAF">
        <w:rPr>
          <w:rFonts w:ascii="Verdana" w:hAnsi="Verdana"/>
          <w:sz w:val="20"/>
          <w:szCs w:val="20"/>
        </w:rPr>
        <w:t>, vorig jaar in een</w:t>
      </w:r>
      <w:r w:rsidRPr="48F89D07" w:rsidR="00BF7DA9">
        <w:rPr>
          <w:rFonts w:ascii="Verdana" w:hAnsi="Verdana"/>
          <w:sz w:val="20"/>
          <w:szCs w:val="20"/>
        </w:rPr>
        <w:t xml:space="preserve"> technische</w:t>
      </w:r>
      <w:r w:rsidRPr="48F89D07" w:rsidR="000E7BAF">
        <w:rPr>
          <w:rFonts w:ascii="Verdana" w:hAnsi="Verdana"/>
          <w:sz w:val="20"/>
          <w:szCs w:val="20"/>
        </w:rPr>
        <w:t xml:space="preserve"> briefing </w:t>
      </w:r>
      <w:r w:rsidRPr="48F89D07" w:rsidR="00BF7DA9">
        <w:rPr>
          <w:rFonts w:ascii="Verdana" w:hAnsi="Verdana"/>
          <w:sz w:val="20"/>
          <w:szCs w:val="20"/>
        </w:rPr>
        <w:t xml:space="preserve">over de begroting 2025 al meegaf. </w:t>
      </w:r>
    </w:p>
    <w:p w:rsidR="002E30F9" w:rsidP="2B2C3811" w:rsidRDefault="002E30F9" w14:paraId="30F32B40" w14:textId="4CB7F30C">
      <w:pPr>
        <w:spacing w:after="0" w:line="276" w:lineRule="auto"/>
        <w:rPr>
          <w:rFonts w:ascii="Verdana" w:hAnsi="Verdana"/>
          <w:b/>
          <w:bCs/>
          <w:sz w:val="20"/>
          <w:szCs w:val="20"/>
        </w:rPr>
      </w:pPr>
    </w:p>
    <w:p w:rsidRPr="002E30F9" w:rsidR="00127734" w:rsidP="48F89D07" w:rsidRDefault="21FB2E63" w14:paraId="4AC546B6" w14:textId="1409BBF9">
      <w:pPr>
        <w:spacing w:after="0" w:line="276" w:lineRule="auto"/>
        <w:rPr>
          <w:rFonts w:ascii="Verdana" w:hAnsi="Verdana"/>
          <w:b/>
          <w:bCs/>
          <w:sz w:val="20"/>
          <w:szCs w:val="20"/>
        </w:rPr>
      </w:pPr>
      <w:r w:rsidRPr="48F89D07">
        <w:rPr>
          <w:rFonts w:ascii="Verdana" w:hAnsi="Verdana"/>
          <w:b/>
          <w:bCs/>
          <w:sz w:val="20"/>
          <w:szCs w:val="20"/>
        </w:rPr>
        <w:t>2</w:t>
      </w:r>
      <w:r w:rsidRPr="48F89D07" w:rsidR="002E30F9">
        <w:rPr>
          <w:rFonts w:ascii="Verdana" w:hAnsi="Verdana"/>
          <w:b/>
          <w:bCs/>
          <w:sz w:val="20"/>
          <w:szCs w:val="20"/>
        </w:rPr>
        <w:t xml:space="preserve">. </w:t>
      </w:r>
      <w:r w:rsidRPr="48F89D07" w:rsidR="00127734">
        <w:rPr>
          <w:rFonts w:ascii="Verdana" w:hAnsi="Verdana"/>
          <w:b/>
          <w:bCs/>
          <w:sz w:val="20"/>
          <w:szCs w:val="20"/>
        </w:rPr>
        <w:t>Aanbeveling</w:t>
      </w:r>
      <w:r w:rsidRPr="48F89D07" w:rsidR="002E30F9">
        <w:rPr>
          <w:rFonts w:ascii="Verdana" w:hAnsi="Verdana"/>
          <w:b/>
          <w:bCs/>
          <w:sz w:val="20"/>
          <w:szCs w:val="20"/>
        </w:rPr>
        <w:t xml:space="preserve"> van de rapporteurs</w:t>
      </w:r>
      <w:r w:rsidRPr="48F89D07" w:rsidR="00127734">
        <w:rPr>
          <w:rFonts w:ascii="Verdana" w:hAnsi="Verdana"/>
          <w:b/>
          <w:bCs/>
          <w:sz w:val="20"/>
          <w:szCs w:val="20"/>
        </w:rPr>
        <w:t xml:space="preserve"> aan de commissie in nieuwe samenstelling </w:t>
      </w:r>
    </w:p>
    <w:p w:rsidR="00127734" w:rsidP="00127734" w:rsidRDefault="00127734" w14:paraId="22EF35D6" w14:textId="77777777">
      <w:pPr>
        <w:spacing w:after="0" w:line="276" w:lineRule="auto"/>
        <w:rPr>
          <w:rFonts w:ascii="Verdana" w:hAnsi="Verdana"/>
          <w:b/>
          <w:bCs/>
          <w:sz w:val="20"/>
          <w:szCs w:val="20"/>
        </w:rPr>
      </w:pPr>
    </w:p>
    <w:p w:rsidR="001E4A29" w:rsidP="00127734" w:rsidRDefault="003B1952" w14:paraId="6A6D35AC" w14:textId="06B82E99">
      <w:pPr>
        <w:spacing w:after="0" w:line="276" w:lineRule="auto"/>
        <w:rPr>
          <w:rFonts w:ascii="Verdana" w:hAnsi="Verdana"/>
          <w:sz w:val="20"/>
          <w:szCs w:val="20"/>
        </w:rPr>
      </w:pPr>
      <w:r w:rsidRPr="222D6342">
        <w:rPr>
          <w:rFonts w:ascii="Verdana" w:hAnsi="Verdana"/>
          <w:sz w:val="20"/>
          <w:szCs w:val="20"/>
        </w:rPr>
        <w:t xml:space="preserve">Gedurende onze </w:t>
      </w:r>
      <w:proofErr w:type="spellStart"/>
      <w:r w:rsidRPr="222D6342">
        <w:rPr>
          <w:rFonts w:ascii="Verdana" w:hAnsi="Verdana"/>
          <w:sz w:val="20"/>
          <w:szCs w:val="20"/>
        </w:rPr>
        <w:t>rapporteurschap</w:t>
      </w:r>
      <w:proofErr w:type="spellEnd"/>
      <w:r w:rsidRPr="222D6342">
        <w:rPr>
          <w:rFonts w:ascii="Verdana" w:hAnsi="Verdana"/>
          <w:sz w:val="20"/>
          <w:szCs w:val="20"/>
        </w:rPr>
        <w:t xml:space="preserve"> zijn </w:t>
      </w:r>
      <w:r w:rsidRPr="222D6342" w:rsidR="001E4A29">
        <w:rPr>
          <w:rFonts w:ascii="Verdana" w:hAnsi="Verdana"/>
          <w:sz w:val="20"/>
          <w:szCs w:val="20"/>
        </w:rPr>
        <w:t>vanuit</w:t>
      </w:r>
      <w:r w:rsidRPr="222D6342">
        <w:rPr>
          <w:rFonts w:ascii="Verdana" w:hAnsi="Verdana"/>
          <w:sz w:val="20"/>
          <w:szCs w:val="20"/>
        </w:rPr>
        <w:t xml:space="preserve"> het kabinet verschillende brieven ontvangen</w:t>
      </w:r>
      <w:r w:rsidRPr="222D6342" w:rsidR="0047029B">
        <w:rPr>
          <w:rFonts w:ascii="Verdana" w:hAnsi="Verdana"/>
          <w:sz w:val="20"/>
          <w:szCs w:val="20"/>
        </w:rPr>
        <w:t xml:space="preserve"> ove</w:t>
      </w:r>
      <w:r w:rsidRPr="222D6342" w:rsidR="00AE5AFA">
        <w:rPr>
          <w:rFonts w:ascii="Verdana" w:hAnsi="Verdana"/>
          <w:sz w:val="20"/>
          <w:szCs w:val="20"/>
        </w:rPr>
        <w:t>r de internationale klimaatstrategie</w:t>
      </w:r>
      <w:r w:rsidRPr="222D6342">
        <w:rPr>
          <w:rFonts w:ascii="Verdana" w:hAnsi="Verdana"/>
          <w:sz w:val="20"/>
          <w:szCs w:val="20"/>
        </w:rPr>
        <w:t xml:space="preserve"> </w:t>
      </w:r>
      <w:r w:rsidRPr="222D6342" w:rsidR="0047029B">
        <w:rPr>
          <w:rFonts w:ascii="Verdana" w:hAnsi="Verdana"/>
          <w:sz w:val="20"/>
          <w:szCs w:val="20"/>
        </w:rPr>
        <w:t xml:space="preserve">waarvan de commissie ons verzocht heeft om deze </w:t>
      </w:r>
      <w:r w:rsidRPr="222D6342" w:rsidR="001E4A29">
        <w:rPr>
          <w:rFonts w:ascii="Verdana" w:hAnsi="Verdana"/>
          <w:sz w:val="20"/>
          <w:szCs w:val="20"/>
        </w:rPr>
        <w:t>te b</w:t>
      </w:r>
      <w:r w:rsidRPr="222D6342" w:rsidR="0047029B">
        <w:rPr>
          <w:rFonts w:ascii="Verdana" w:hAnsi="Verdana"/>
          <w:sz w:val="20"/>
          <w:szCs w:val="20"/>
        </w:rPr>
        <w:t xml:space="preserve">etrekken bij ons </w:t>
      </w:r>
      <w:proofErr w:type="spellStart"/>
      <w:r w:rsidRPr="222D6342" w:rsidR="0047029B">
        <w:rPr>
          <w:rFonts w:ascii="Verdana" w:hAnsi="Verdana"/>
          <w:sz w:val="20"/>
          <w:szCs w:val="20"/>
        </w:rPr>
        <w:t>rapporteurschap</w:t>
      </w:r>
      <w:proofErr w:type="spellEnd"/>
      <w:r w:rsidRPr="222D6342" w:rsidR="0047029B">
        <w:rPr>
          <w:rFonts w:ascii="Verdana" w:hAnsi="Verdana"/>
          <w:sz w:val="20"/>
          <w:szCs w:val="20"/>
        </w:rPr>
        <w:t>.</w:t>
      </w:r>
      <w:r w:rsidRPr="222D6342" w:rsidR="00AE5AFA">
        <w:rPr>
          <w:rFonts w:ascii="Verdana" w:hAnsi="Verdana"/>
          <w:sz w:val="20"/>
          <w:szCs w:val="20"/>
        </w:rPr>
        <w:t xml:space="preserve"> </w:t>
      </w:r>
      <w:r w:rsidRPr="222D6342" w:rsidR="6472E188">
        <w:rPr>
          <w:rFonts w:ascii="Verdana" w:hAnsi="Verdana"/>
          <w:sz w:val="20"/>
          <w:szCs w:val="20"/>
        </w:rPr>
        <w:t>Hetzelfde geldt voor het AIV-advies Klimaatrec</w:t>
      </w:r>
      <w:r w:rsidRPr="222D6342" w:rsidR="0638F60D">
        <w:rPr>
          <w:rFonts w:ascii="Verdana" w:hAnsi="Verdana"/>
          <w:sz w:val="20"/>
          <w:szCs w:val="20"/>
        </w:rPr>
        <w:t>ht</w:t>
      </w:r>
      <w:r w:rsidRPr="222D6342" w:rsidR="6472E188">
        <w:rPr>
          <w:rFonts w:ascii="Verdana" w:hAnsi="Verdana"/>
          <w:sz w:val="20"/>
          <w:szCs w:val="20"/>
        </w:rPr>
        <w:t>vaardigheid als Noodzaak en de Periodieke rapportage internationaal klimaatbeleid 2016–2022 van de IOB, inclusief onderliggende studies</w:t>
      </w:r>
      <w:r w:rsidRPr="222D6342" w:rsidR="772B91F8">
        <w:rPr>
          <w:rFonts w:ascii="Verdana" w:hAnsi="Verdana"/>
          <w:sz w:val="20"/>
          <w:szCs w:val="20"/>
        </w:rPr>
        <w:t>.</w:t>
      </w:r>
      <w:r w:rsidRPr="222D6342" w:rsidR="6472E188">
        <w:rPr>
          <w:rFonts w:ascii="Verdana" w:hAnsi="Verdana"/>
          <w:sz w:val="20"/>
          <w:szCs w:val="20"/>
        </w:rPr>
        <w:t xml:space="preserve"> </w:t>
      </w:r>
      <w:r w:rsidRPr="222D6342" w:rsidR="005E2B21">
        <w:rPr>
          <w:rFonts w:ascii="Verdana" w:hAnsi="Verdana"/>
          <w:sz w:val="20"/>
          <w:szCs w:val="20"/>
        </w:rPr>
        <w:t xml:space="preserve">Deze </w:t>
      </w:r>
      <w:r w:rsidRPr="222D6342" w:rsidR="7F6543C4">
        <w:rPr>
          <w:rFonts w:ascii="Verdana" w:hAnsi="Verdana"/>
          <w:sz w:val="20"/>
          <w:szCs w:val="20"/>
        </w:rPr>
        <w:t>stukken</w:t>
      </w:r>
      <w:r w:rsidRPr="222D6342" w:rsidR="005E2B21">
        <w:rPr>
          <w:rFonts w:ascii="Verdana" w:hAnsi="Verdana"/>
          <w:sz w:val="20"/>
          <w:szCs w:val="20"/>
        </w:rPr>
        <w:t xml:space="preserve"> zijn verder nog niet behandeld door de commissie. </w:t>
      </w:r>
    </w:p>
    <w:p w:rsidR="001E4A29" w:rsidP="00127734" w:rsidRDefault="001E4A29" w14:paraId="74611E07" w14:textId="77777777">
      <w:pPr>
        <w:spacing w:after="0" w:line="276" w:lineRule="auto"/>
        <w:rPr>
          <w:rFonts w:ascii="Verdana" w:hAnsi="Verdana"/>
          <w:sz w:val="20"/>
          <w:szCs w:val="20"/>
        </w:rPr>
      </w:pPr>
    </w:p>
    <w:p w:rsidRPr="001E4A29" w:rsidR="0047029B" w:rsidP="00127734" w:rsidRDefault="0047029B" w14:paraId="6A066E0D" w14:textId="19C2EA5A">
      <w:pPr>
        <w:spacing w:after="0" w:line="276" w:lineRule="auto"/>
        <w:rPr>
          <w:rFonts w:ascii="Verdana" w:hAnsi="Verdana"/>
          <w:sz w:val="20"/>
          <w:szCs w:val="20"/>
        </w:rPr>
      </w:pPr>
      <w:r w:rsidRPr="6E9219BA">
        <w:rPr>
          <w:rFonts w:ascii="Verdana" w:hAnsi="Verdana"/>
          <w:sz w:val="20"/>
          <w:szCs w:val="20"/>
        </w:rPr>
        <w:t xml:space="preserve">Wij adviseren de commissie in nieuwe samenstelling om </w:t>
      </w:r>
      <w:r w:rsidRPr="6E9219BA" w:rsidR="00AE5AFA">
        <w:rPr>
          <w:rFonts w:ascii="Verdana" w:hAnsi="Verdana"/>
          <w:sz w:val="20"/>
          <w:szCs w:val="20"/>
        </w:rPr>
        <w:t xml:space="preserve">een commissiedebat </w:t>
      </w:r>
      <w:r w:rsidRPr="6E9219BA" w:rsidR="001E4A29">
        <w:rPr>
          <w:rFonts w:ascii="Verdana" w:hAnsi="Verdana"/>
          <w:sz w:val="20"/>
          <w:szCs w:val="20"/>
        </w:rPr>
        <w:t>Internationale</w:t>
      </w:r>
      <w:r w:rsidRPr="6E9219BA" w:rsidR="00AE5AFA">
        <w:rPr>
          <w:rFonts w:ascii="Verdana" w:hAnsi="Verdana"/>
          <w:sz w:val="20"/>
          <w:szCs w:val="20"/>
        </w:rPr>
        <w:t xml:space="preserve"> Klimaatstrategie te plannen met de verantwoordelijke </w:t>
      </w:r>
      <w:r w:rsidRPr="6E9219BA" w:rsidR="001E4A29">
        <w:rPr>
          <w:rFonts w:ascii="Verdana" w:hAnsi="Verdana"/>
          <w:sz w:val="20"/>
          <w:szCs w:val="20"/>
        </w:rPr>
        <w:t>bewindspersonen</w:t>
      </w:r>
      <w:r w:rsidRPr="6E9219BA" w:rsidR="00AE5AFA">
        <w:rPr>
          <w:rFonts w:ascii="Verdana" w:hAnsi="Verdana"/>
          <w:sz w:val="20"/>
          <w:szCs w:val="20"/>
        </w:rPr>
        <w:t>, en daar</w:t>
      </w:r>
      <w:r w:rsidRPr="6E9219BA" w:rsidR="00A94952">
        <w:rPr>
          <w:rFonts w:ascii="Verdana" w:hAnsi="Verdana"/>
          <w:sz w:val="20"/>
          <w:szCs w:val="20"/>
        </w:rPr>
        <w:t>bij</w:t>
      </w:r>
      <w:r w:rsidRPr="6E9219BA" w:rsidR="00AE5AFA">
        <w:rPr>
          <w:rFonts w:ascii="Verdana" w:hAnsi="Verdana"/>
          <w:sz w:val="20"/>
          <w:szCs w:val="20"/>
        </w:rPr>
        <w:t xml:space="preserve"> naast </w:t>
      </w:r>
      <w:r w:rsidRPr="6E9219BA" w:rsidR="0028320E">
        <w:rPr>
          <w:rFonts w:ascii="Verdana" w:hAnsi="Verdana"/>
          <w:sz w:val="20"/>
          <w:szCs w:val="20"/>
        </w:rPr>
        <w:t>bovengenoemde</w:t>
      </w:r>
      <w:r w:rsidRPr="6E9219BA" w:rsidR="00AE5AFA">
        <w:rPr>
          <w:rFonts w:ascii="Verdana" w:hAnsi="Verdana"/>
          <w:sz w:val="20"/>
          <w:szCs w:val="20"/>
        </w:rPr>
        <w:t xml:space="preserve"> </w:t>
      </w:r>
      <w:r w:rsidRPr="6E9219BA" w:rsidR="0633E422">
        <w:rPr>
          <w:rFonts w:ascii="Verdana" w:hAnsi="Verdana"/>
          <w:sz w:val="20"/>
          <w:szCs w:val="20"/>
        </w:rPr>
        <w:t>stukken</w:t>
      </w:r>
      <w:r w:rsidRPr="6E9219BA" w:rsidR="00AE5AFA">
        <w:rPr>
          <w:rFonts w:ascii="Verdana" w:hAnsi="Verdana"/>
          <w:sz w:val="20"/>
          <w:szCs w:val="20"/>
        </w:rPr>
        <w:t xml:space="preserve">, ook </w:t>
      </w:r>
      <w:r w:rsidRPr="6E9219BA" w:rsidR="00CD3899">
        <w:rPr>
          <w:rFonts w:ascii="Verdana" w:hAnsi="Verdana"/>
          <w:sz w:val="20"/>
          <w:szCs w:val="20"/>
        </w:rPr>
        <w:t xml:space="preserve">ons tussentijds- en ons </w:t>
      </w:r>
      <w:r w:rsidRPr="6E9219BA" w:rsidR="00632D3B">
        <w:rPr>
          <w:rFonts w:ascii="Verdana" w:hAnsi="Verdana"/>
          <w:sz w:val="20"/>
          <w:szCs w:val="20"/>
        </w:rPr>
        <w:t>eindverslag</w:t>
      </w:r>
      <w:r w:rsidRPr="6E9219BA" w:rsidR="00CD3899">
        <w:rPr>
          <w:rFonts w:ascii="Verdana" w:hAnsi="Verdana"/>
          <w:sz w:val="20"/>
          <w:szCs w:val="20"/>
        </w:rPr>
        <w:t xml:space="preserve"> te betrekken</w:t>
      </w:r>
      <w:r w:rsidRPr="6E9219BA" w:rsidR="00632D3B">
        <w:rPr>
          <w:rFonts w:ascii="Verdana" w:hAnsi="Verdana"/>
          <w:sz w:val="20"/>
          <w:szCs w:val="20"/>
        </w:rPr>
        <w:t>.</w:t>
      </w:r>
      <w:r w:rsidRPr="6E9219BA" w:rsidR="006551F5">
        <w:rPr>
          <w:rFonts w:ascii="Verdana" w:hAnsi="Verdana"/>
          <w:sz w:val="20"/>
          <w:szCs w:val="20"/>
        </w:rPr>
        <w:t xml:space="preserve"> </w:t>
      </w:r>
      <w:r w:rsidRPr="6E9219BA" w:rsidR="00081436">
        <w:rPr>
          <w:rFonts w:ascii="Verdana" w:hAnsi="Verdana"/>
          <w:sz w:val="20"/>
          <w:szCs w:val="20"/>
        </w:rPr>
        <w:t xml:space="preserve">Een apart debat doet ook recht aan de aanbeveling van de ARK om </w:t>
      </w:r>
      <w:r w:rsidRPr="6E9219BA" w:rsidR="00CB19CD">
        <w:rPr>
          <w:rFonts w:ascii="Verdana" w:hAnsi="Verdana"/>
          <w:sz w:val="20"/>
          <w:szCs w:val="20"/>
        </w:rPr>
        <w:t xml:space="preserve">periodieke rapportages en </w:t>
      </w:r>
      <w:r w:rsidRPr="6E9219BA" w:rsidR="000D3AC8">
        <w:rPr>
          <w:rFonts w:ascii="Verdana" w:hAnsi="Verdana"/>
          <w:sz w:val="20"/>
          <w:szCs w:val="20"/>
        </w:rPr>
        <w:t xml:space="preserve">evaluaties beter te benutten. </w:t>
      </w:r>
    </w:p>
    <w:p w:rsidR="00CB6806" w:rsidP="00CB6806" w:rsidRDefault="00CB6806" w14:paraId="322B721E" w14:textId="77777777"/>
    <w:p w:rsidRPr="0028320E" w:rsidR="00632D3B" w:rsidP="00CB6806" w:rsidRDefault="50B8D588" w14:paraId="7412EC91" w14:textId="464A86C6">
      <w:pPr>
        <w:rPr>
          <w:rFonts w:ascii="Verdana" w:hAnsi="Verdana"/>
          <w:b/>
          <w:bCs/>
          <w:sz w:val="20"/>
          <w:szCs w:val="20"/>
        </w:rPr>
      </w:pPr>
      <w:r w:rsidRPr="48F89D07">
        <w:rPr>
          <w:rFonts w:ascii="Verdana" w:hAnsi="Verdana"/>
          <w:b/>
          <w:bCs/>
          <w:sz w:val="20"/>
          <w:szCs w:val="20"/>
        </w:rPr>
        <w:t>3</w:t>
      </w:r>
      <w:r w:rsidRPr="48F89D07" w:rsidR="00632D3B">
        <w:rPr>
          <w:rFonts w:ascii="Verdana" w:hAnsi="Verdana"/>
          <w:b/>
          <w:bCs/>
          <w:sz w:val="20"/>
          <w:szCs w:val="20"/>
        </w:rPr>
        <w:t>. Tot slot</w:t>
      </w:r>
    </w:p>
    <w:p w:rsidRPr="0028320E" w:rsidR="00A94952" w:rsidP="00E82621" w:rsidRDefault="00632D3B" w14:paraId="01E31AE9" w14:textId="517F0DD7">
      <w:pPr>
        <w:spacing w:after="0" w:line="276" w:lineRule="auto"/>
        <w:rPr>
          <w:rFonts w:ascii="Verdana" w:hAnsi="Verdana"/>
          <w:sz w:val="20"/>
          <w:szCs w:val="20"/>
        </w:rPr>
      </w:pPr>
      <w:r w:rsidRPr="0028320E">
        <w:rPr>
          <w:rFonts w:ascii="Verdana" w:hAnsi="Verdana"/>
          <w:sz w:val="20"/>
          <w:szCs w:val="20"/>
        </w:rPr>
        <w:t xml:space="preserve">In de </w:t>
      </w:r>
      <w:r w:rsidRPr="0028320E" w:rsidR="00A94952">
        <w:rPr>
          <w:rFonts w:ascii="Verdana" w:hAnsi="Verdana"/>
          <w:sz w:val="20"/>
          <w:szCs w:val="20"/>
        </w:rPr>
        <w:t>procedurevergadering</w:t>
      </w:r>
      <w:r w:rsidRPr="0028320E">
        <w:rPr>
          <w:rFonts w:ascii="Verdana" w:hAnsi="Verdana"/>
          <w:sz w:val="20"/>
          <w:szCs w:val="20"/>
        </w:rPr>
        <w:t xml:space="preserve"> van 11 september</w:t>
      </w:r>
      <w:r w:rsidRPr="0028320E" w:rsidR="00A94952">
        <w:rPr>
          <w:rFonts w:ascii="Verdana" w:hAnsi="Verdana"/>
          <w:sz w:val="20"/>
          <w:szCs w:val="20"/>
        </w:rPr>
        <w:t xml:space="preserve"> heeft de commissie ingestemd met ons verzoek om nog vóór het verkiezingsreces een gesprek te voeren met ambtenaren van de ministeries van Buitenlandse Zaken en Klimaat en Groene Groei over de internationale klimaatstrategie. Doel van dit gesprek is om inzicht te krijgen in de verdeling van de taken op het terrein van de internationale klimaatstrategie en in de relevante beleidsbeslissingen die tot nu toe zijn genomen. </w:t>
      </w:r>
    </w:p>
    <w:p w:rsidRPr="0028320E" w:rsidR="00E82621" w:rsidP="00E82621" w:rsidRDefault="00E82621" w14:paraId="4598F678" w14:textId="77777777">
      <w:pPr>
        <w:spacing w:after="0" w:line="276" w:lineRule="auto"/>
        <w:rPr>
          <w:rFonts w:ascii="Verdana" w:hAnsi="Verdana"/>
          <w:sz w:val="20"/>
          <w:szCs w:val="20"/>
        </w:rPr>
      </w:pPr>
    </w:p>
    <w:p w:rsidR="00CB6806" w:rsidP="00E82621" w:rsidRDefault="00E82621" w14:paraId="27A1C157" w14:textId="0405CEE5">
      <w:pPr>
        <w:spacing w:after="0" w:line="276" w:lineRule="auto"/>
        <w:rPr>
          <w:rFonts w:ascii="Verdana" w:hAnsi="Verdana"/>
          <w:sz w:val="20"/>
          <w:szCs w:val="20"/>
        </w:rPr>
      </w:pPr>
      <w:r w:rsidRPr="48F89D07">
        <w:rPr>
          <w:rFonts w:ascii="Verdana" w:hAnsi="Verdana"/>
          <w:sz w:val="20"/>
          <w:szCs w:val="20"/>
        </w:rPr>
        <w:t xml:space="preserve">Het is niet gelukt dit gesprek vóór de laatste procedurevergadering van 24 september 2025 te laten plaatsvinden. Wij zijn echter voornemens het alsnog vóór het verkiezingsreces te voeren. </w:t>
      </w:r>
      <w:r w:rsidRPr="48F89D07" w:rsidR="007F153F">
        <w:rPr>
          <w:rFonts w:ascii="Verdana" w:hAnsi="Verdana"/>
          <w:sz w:val="20"/>
          <w:szCs w:val="20"/>
        </w:rPr>
        <w:t>Mocht dit gesprek leiden tot</w:t>
      </w:r>
      <w:r w:rsidRPr="48F89D07" w:rsidR="541D0B97">
        <w:rPr>
          <w:rFonts w:ascii="Verdana" w:hAnsi="Verdana"/>
          <w:sz w:val="20"/>
          <w:szCs w:val="20"/>
        </w:rPr>
        <w:t xml:space="preserve"> </w:t>
      </w:r>
      <w:r w:rsidRPr="48F89D07">
        <w:rPr>
          <w:rFonts w:ascii="Verdana" w:hAnsi="Verdana"/>
          <w:sz w:val="20"/>
          <w:szCs w:val="20"/>
        </w:rPr>
        <w:t xml:space="preserve">nieuwe inzichten </w:t>
      </w:r>
      <w:r w:rsidRPr="48F89D07" w:rsidR="00E27660">
        <w:rPr>
          <w:rFonts w:ascii="Verdana" w:hAnsi="Verdana"/>
          <w:sz w:val="20"/>
          <w:szCs w:val="20"/>
        </w:rPr>
        <w:t xml:space="preserve">dan </w:t>
      </w:r>
      <w:r w:rsidRPr="48F89D07">
        <w:rPr>
          <w:rFonts w:ascii="Verdana" w:hAnsi="Verdana"/>
          <w:sz w:val="20"/>
          <w:szCs w:val="20"/>
        </w:rPr>
        <w:t>zullen wij een kort verslag met de commissie delen.</w:t>
      </w:r>
    </w:p>
    <w:p w:rsidR="00805012" w:rsidP="00E82621" w:rsidRDefault="00805012" w14:paraId="7F3FC373" w14:textId="77777777">
      <w:pPr>
        <w:spacing w:after="0" w:line="276" w:lineRule="auto"/>
        <w:rPr>
          <w:rFonts w:ascii="Verdana" w:hAnsi="Verdana"/>
          <w:sz w:val="20"/>
          <w:szCs w:val="20"/>
        </w:rPr>
      </w:pPr>
    </w:p>
    <w:p w:rsidRPr="0028320E" w:rsidR="00805012" w:rsidP="00E82621" w:rsidRDefault="00805012" w14:paraId="68F74FF3" w14:textId="02491F2C">
      <w:pPr>
        <w:spacing w:after="0" w:line="276" w:lineRule="auto"/>
        <w:rPr>
          <w:rFonts w:ascii="Verdana" w:hAnsi="Verdana"/>
          <w:sz w:val="20"/>
          <w:szCs w:val="20"/>
        </w:rPr>
      </w:pPr>
      <w:r>
        <w:rPr>
          <w:rFonts w:ascii="Verdana" w:hAnsi="Verdana"/>
          <w:sz w:val="20"/>
          <w:szCs w:val="20"/>
        </w:rPr>
        <w:lastRenderedPageBreak/>
        <w:t>Hirsch</w:t>
      </w:r>
      <w:r>
        <w:rPr>
          <w:rFonts w:ascii="Verdana" w:hAnsi="Verdana"/>
          <w:sz w:val="20"/>
          <w:szCs w:val="20"/>
        </w:rPr>
        <w:br/>
        <w:t xml:space="preserve">Teunissen </w:t>
      </w:r>
    </w:p>
    <w:sectPr w:rsidRPr="0028320E" w:rsidR="008050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4ED1" w14:textId="77777777" w:rsidR="00B35F74" w:rsidRDefault="00B35F74" w:rsidP="002D7FD0">
      <w:pPr>
        <w:spacing w:after="0" w:line="240" w:lineRule="auto"/>
      </w:pPr>
      <w:r>
        <w:separator/>
      </w:r>
    </w:p>
  </w:endnote>
  <w:endnote w:type="continuationSeparator" w:id="0">
    <w:p w14:paraId="01756801" w14:textId="77777777" w:rsidR="00B35F74" w:rsidRDefault="00B35F74" w:rsidP="002D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6A5D" w14:textId="77777777" w:rsidR="00B35F74" w:rsidRDefault="00B35F74" w:rsidP="002D7FD0">
      <w:pPr>
        <w:spacing w:after="0" w:line="240" w:lineRule="auto"/>
      </w:pPr>
      <w:r>
        <w:separator/>
      </w:r>
    </w:p>
  </w:footnote>
  <w:footnote w:type="continuationSeparator" w:id="0">
    <w:p w14:paraId="0268396A" w14:textId="77777777" w:rsidR="00B35F74" w:rsidRDefault="00B35F74" w:rsidP="002D7FD0">
      <w:pPr>
        <w:spacing w:after="0" w:line="240" w:lineRule="auto"/>
      </w:pPr>
      <w:r>
        <w:continuationSeparator/>
      </w:r>
    </w:p>
  </w:footnote>
  <w:footnote w:id="1">
    <w:p w14:paraId="780C7AFF" w14:textId="4CC3BE90" w:rsidR="00145984" w:rsidRPr="001B471A" w:rsidRDefault="00145984">
      <w:pPr>
        <w:pStyle w:val="Voetnoottekst"/>
        <w:rPr>
          <w:rFonts w:ascii="Verdana" w:hAnsi="Verdana" w:cs="Times New Roman"/>
          <w:i/>
          <w:iCs/>
          <w:sz w:val="16"/>
          <w:szCs w:val="16"/>
        </w:rPr>
      </w:pPr>
      <w:r w:rsidRPr="001B471A">
        <w:rPr>
          <w:rStyle w:val="Voetnootmarkering"/>
          <w:rFonts w:ascii="Verdana" w:hAnsi="Verdana" w:cs="Times New Roman"/>
          <w:sz w:val="16"/>
          <w:szCs w:val="16"/>
        </w:rPr>
        <w:footnoteRef/>
      </w:r>
      <w:r w:rsidRPr="001B471A">
        <w:rPr>
          <w:rFonts w:ascii="Verdana" w:hAnsi="Verdana" w:cs="Times New Roman"/>
          <w:sz w:val="16"/>
          <w:szCs w:val="16"/>
        </w:rPr>
        <w:t xml:space="preserve"> </w:t>
      </w:r>
      <w:r w:rsidR="001B3589" w:rsidRPr="00FC2323">
        <w:rPr>
          <w:rFonts w:ascii="Verdana" w:hAnsi="Verdana" w:cs="Times New Roman"/>
          <w:sz w:val="16"/>
          <w:szCs w:val="16"/>
        </w:rPr>
        <w:t xml:space="preserve">De samenstelling van het </w:t>
      </w:r>
      <w:proofErr w:type="spellStart"/>
      <w:r w:rsidR="001B3589" w:rsidRPr="00FC2323">
        <w:rPr>
          <w:rFonts w:ascii="Verdana" w:hAnsi="Verdana" w:cs="Times New Roman"/>
          <w:sz w:val="16"/>
          <w:szCs w:val="16"/>
        </w:rPr>
        <w:t>rapporteurschap</w:t>
      </w:r>
      <w:proofErr w:type="spellEnd"/>
      <w:r w:rsidR="001B3589" w:rsidRPr="00FC2323">
        <w:rPr>
          <w:rFonts w:ascii="Verdana" w:hAnsi="Verdana" w:cs="Times New Roman"/>
          <w:sz w:val="16"/>
          <w:szCs w:val="16"/>
        </w:rPr>
        <w:t xml:space="preserve"> is meerdere malen gewijzigd. Achtereenvolgens vervulden de leden Kahraman (NSC), Postma (NSC) en sinds juli 2025 Teunissen (PvdD) deze rol. Het lid Hirsch is gedurende de gehele periode rapporteur gebleven</w:t>
      </w:r>
      <w:r w:rsidR="001B3589" w:rsidRPr="001B471A">
        <w:rPr>
          <w:rFonts w:ascii="Verdana" w:hAnsi="Verdana" w:cs="Times New Roman"/>
          <w:i/>
          <w:iCs/>
          <w:sz w:val="16"/>
          <w:szCs w:val="16"/>
        </w:rPr>
        <w:t>.</w:t>
      </w:r>
    </w:p>
  </w:footnote>
  <w:footnote w:id="2">
    <w:p w14:paraId="7CC5E0E8" w14:textId="4E380CAE" w:rsidR="00E13713" w:rsidRPr="008B13AD" w:rsidRDefault="00E13713">
      <w:pPr>
        <w:pStyle w:val="Voetnoottekst"/>
        <w:rPr>
          <w:rFonts w:ascii="Verdana" w:hAnsi="Verdana"/>
          <w:sz w:val="16"/>
          <w:szCs w:val="16"/>
        </w:rPr>
      </w:pPr>
      <w:r w:rsidRPr="001B471A">
        <w:rPr>
          <w:rStyle w:val="Voetnootmarkering"/>
          <w:rFonts w:ascii="Verdana" w:hAnsi="Verdana" w:cs="Times New Roman"/>
          <w:sz w:val="16"/>
          <w:szCs w:val="16"/>
        </w:rPr>
        <w:footnoteRef/>
      </w:r>
      <w:r w:rsidR="001B471A" w:rsidRPr="001B471A">
        <w:rPr>
          <w:rFonts w:ascii="Verdana" w:hAnsi="Verdana" w:cs="Times New Roman"/>
          <w:sz w:val="16"/>
          <w:szCs w:val="16"/>
        </w:rPr>
        <w:t xml:space="preserve"> </w:t>
      </w:r>
      <w:r w:rsidR="001B471A" w:rsidRPr="008B13AD">
        <w:rPr>
          <w:rFonts w:ascii="Verdana" w:hAnsi="Verdana" w:cs="Times New Roman"/>
          <w:sz w:val="16"/>
          <w:szCs w:val="16"/>
        </w:rPr>
        <w:t>Kamerstuk 31</w:t>
      </w:r>
      <w:r w:rsidR="00D322DB">
        <w:rPr>
          <w:rFonts w:ascii="Verdana" w:hAnsi="Verdana" w:cs="Times New Roman"/>
          <w:sz w:val="16"/>
          <w:szCs w:val="16"/>
        </w:rPr>
        <w:t xml:space="preserve"> </w:t>
      </w:r>
      <w:r w:rsidR="001B471A" w:rsidRPr="008B13AD">
        <w:rPr>
          <w:rFonts w:ascii="Verdana" w:hAnsi="Verdana" w:cs="Times New Roman"/>
          <w:sz w:val="16"/>
          <w:szCs w:val="16"/>
        </w:rPr>
        <w:t>793, nr. 275.</w:t>
      </w:r>
    </w:p>
  </w:footnote>
  <w:footnote w:id="3">
    <w:p w14:paraId="330EA5B2" w14:textId="442FE4FD" w:rsidR="005746FD" w:rsidRDefault="005746FD">
      <w:pPr>
        <w:pStyle w:val="Voetnoottekst"/>
      </w:pPr>
      <w:r w:rsidRPr="008B13AD">
        <w:rPr>
          <w:rStyle w:val="Voetnootmarkering"/>
          <w:rFonts w:ascii="Verdana" w:hAnsi="Verdana"/>
          <w:sz w:val="16"/>
          <w:szCs w:val="16"/>
        </w:rPr>
        <w:footnoteRef/>
      </w:r>
      <w:r w:rsidRPr="008B13AD">
        <w:rPr>
          <w:rFonts w:ascii="Verdana" w:hAnsi="Verdana"/>
          <w:sz w:val="16"/>
          <w:szCs w:val="16"/>
        </w:rPr>
        <w:t xml:space="preserve"> </w:t>
      </w:r>
      <w:r w:rsidR="006D0C1D" w:rsidRPr="008B13AD">
        <w:rPr>
          <w:rFonts w:ascii="Verdana" w:hAnsi="Verdana"/>
          <w:sz w:val="16"/>
          <w:szCs w:val="16"/>
        </w:rPr>
        <w:t xml:space="preserve">Prof dr. </w:t>
      </w:r>
      <w:proofErr w:type="spellStart"/>
      <w:r w:rsidR="006D0C1D" w:rsidRPr="008B13AD">
        <w:rPr>
          <w:rFonts w:ascii="Verdana" w:hAnsi="Verdana"/>
          <w:sz w:val="16"/>
          <w:szCs w:val="16"/>
        </w:rPr>
        <w:t>Vollebergh</w:t>
      </w:r>
      <w:proofErr w:type="spellEnd"/>
      <w:r w:rsidR="006D0C1D" w:rsidRPr="008B13AD">
        <w:rPr>
          <w:rFonts w:ascii="Verdana" w:hAnsi="Verdana"/>
          <w:sz w:val="16"/>
          <w:szCs w:val="16"/>
        </w:rPr>
        <w:t xml:space="preserve"> et al., 8 november 2024</w:t>
      </w:r>
      <w:r w:rsidR="004A229E">
        <w:rPr>
          <w:rFonts w:ascii="Verdana" w:hAnsi="Verdana"/>
          <w:sz w:val="16"/>
          <w:szCs w:val="16"/>
        </w:rPr>
        <w:t>,</w:t>
      </w:r>
      <w:r w:rsidR="006D0C1D" w:rsidRPr="008B13AD">
        <w:rPr>
          <w:rFonts w:ascii="Verdana" w:hAnsi="Verdana"/>
          <w:sz w:val="16"/>
          <w:szCs w:val="16"/>
        </w:rPr>
        <w:t xml:space="preserve"> </w:t>
      </w:r>
      <w:proofErr w:type="spellStart"/>
      <w:r w:rsidR="006D0C1D" w:rsidRPr="008B13AD">
        <w:rPr>
          <w:rFonts w:ascii="Verdana" w:hAnsi="Verdana"/>
          <w:sz w:val="16"/>
          <w:szCs w:val="16"/>
        </w:rPr>
        <w:t>Factsheet</w:t>
      </w:r>
      <w:proofErr w:type="spellEnd"/>
      <w:r w:rsidR="006D0C1D" w:rsidRPr="008B13AD">
        <w:rPr>
          <w:rFonts w:ascii="Verdana" w:hAnsi="Verdana"/>
          <w:sz w:val="16"/>
          <w:szCs w:val="16"/>
        </w:rPr>
        <w:t xml:space="preserve"> </w:t>
      </w:r>
      <w:hyperlink r:id="rId1" w:history="1">
        <w:r w:rsidR="004A15DE" w:rsidRPr="008B13AD">
          <w:rPr>
            <w:rStyle w:val="Hyperlink"/>
            <w:rFonts w:ascii="Verdana" w:hAnsi="Verdana"/>
            <w:sz w:val="16"/>
            <w:szCs w:val="16"/>
          </w:rPr>
          <w:t>Landenvergelijking internationale klimaatfinanciering (update)</w:t>
        </w:r>
      </w:hyperlink>
      <w:r w:rsidR="006D0C1D" w:rsidRPr="008B13AD">
        <w:rPr>
          <w:rFonts w:ascii="Verdana" w:hAnsi="Verdana"/>
          <w:sz w:val="16"/>
          <w:szCs w:val="16"/>
        </w:rPr>
        <w:t>.</w:t>
      </w:r>
    </w:p>
  </w:footnote>
  <w:footnote w:id="4">
    <w:p w14:paraId="767431E1" w14:textId="2C34D6D3" w:rsidR="002D6DA9" w:rsidRPr="0001156B" w:rsidRDefault="003B1952">
      <w:pPr>
        <w:pStyle w:val="Voetnoottekst"/>
        <w:rPr>
          <w:rFonts w:ascii="Verdana" w:hAnsi="Verdana"/>
          <w:sz w:val="16"/>
          <w:szCs w:val="16"/>
        </w:rPr>
      </w:pPr>
      <w:r w:rsidRPr="0001156B">
        <w:rPr>
          <w:rStyle w:val="Voetnootmarkering"/>
          <w:rFonts w:ascii="Verdana" w:hAnsi="Verdana"/>
          <w:sz w:val="16"/>
          <w:szCs w:val="16"/>
        </w:rPr>
        <w:footnoteRef/>
      </w:r>
      <w:r w:rsidR="003A2610" w:rsidRPr="0001156B">
        <w:rPr>
          <w:rFonts w:ascii="Verdana" w:hAnsi="Verdana"/>
          <w:sz w:val="16"/>
          <w:szCs w:val="16"/>
        </w:rPr>
        <w:t xml:space="preserve"> Follow </w:t>
      </w:r>
      <w:proofErr w:type="spellStart"/>
      <w:r w:rsidR="003A2610" w:rsidRPr="0001156B">
        <w:rPr>
          <w:rFonts w:ascii="Verdana" w:hAnsi="Verdana"/>
          <w:sz w:val="16"/>
          <w:szCs w:val="16"/>
        </w:rPr>
        <w:t>the</w:t>
      </w:r>
      <w:proofErr w:type="spellEnd"/>
      <w:r w:rsidR="003A2610" w:rsidRPr="0001156B">
        <w:rPr>
          <w:rFonts w:ascii="Verdana" w:hAnsi="Verdana"/>
          <w:sz w:val="16"/>
          <w:szCs w:val="16"/>
        </w:rPr>
        <w:t xml:space="preserve"> Money, </w:t>
      </w:r>
      <w:r w:rsidR="00FC2323" w:rsidRPr="0001156B">
        <w:rPr>
          <w:rFonts w:ascii="Verdana" w:hAnsi="Verdana"/>
          <w:sz w:val="16"/>
          <w:szCs w:val="16"/>
        </w:rPr>
        <w:t xml:space="preserve">8 september 2025, </w:t>
      </w:r>
      <w:hyperlink r:id="rId2" w:history="1">
        <w:r w:rsidR="00FC2323" w:rsidRPr="0001156B">
          <w:rPr>
            <w:rStyle w:val="Hyperlink"/>
            <w:rFonts w:ascii="Verdana" w:hAnsi="Verdana"/>
            <w:sz w:val="16"/>
            <w:szCs w:val="16"/>
          </w:rPr>
          <w:t xml:space="preserve">Door creatief boekhouden hoeven we voorlopig geen euro extra te betalen voor klimaatschade in arme landen - Follow </w:t>
        </w:r>
        <w:proofErr w:type="spellStart"/>
        <w:r w:rsidR="00FC2323" w:rsidRPr="0001156B">
          <w:rPr>
            <w:rStyle w:val="Hyperlink"/>
            <w:rFonts w:ascii="Verdana" w:hAnsi="Verdana"/>
            <w:sz w:val="16"/>
            <w:szCs w:val="16"/>
          </w:rPr>
          <w:t>the</w:t>
        </w:r>
        <w:proofErr w:type="spellEnd"/>
        <w:r w:rsidR="00FC2323" w:rsidRPr="0001156B">
          <w:rPr>
            <w:rStyle w:val="Hyperlink"/>
            <w:rFonts w:ascii="Verdana" w:hAnsi="Verdana"/>
            <w:sz w:val="16"/>
            <w:szCs w:val="16"/>
          </w:rPr>
          <w:t xml:space="preserve"> Money - Platform voor onderzoeksjournalistiek</w:t>
        </w:r>
      </w:hyperlink>
      <w:r w:rsidR="00FC2323" w:rsidRPr="0001156B">
        <w:rPr>
          <w:rFonts w:ascii="Verdana" w:hAnsi="Verdana"/>
          <w:sz w:val="16"/>
          <w:szCs w:val="16"/>
        </w:rPr>
        <w:t xml:space="preserve">. </w:t>
      </w:r>
    </w:p>
  </w:footnote>
  <w:footnote w:id="5">
    <w:p w14:paraId="3EFFB00D" w14:textId="32A2ADB9" w:rsidR="00CD5D2E" w:rsidRDefault="00CD5D2E">
      <w:pPr>
        <w:pStyle w:val="Voetnoottekst"/>
      </w:pPr>
      <w:r w:rsidRPr="0001156B">
        <w:rPr>
          <w:rStyle w:val="Voetnootmarkering"/>
          <w:rFonts w:ascii="Verdana" w:hAnsi="Verdana"/>
          <w:sz w:val="16"/>
          <w:szCs w:val="16"/>
        </w:rPr>
        <w:footnoteRef/>
      </w:r>
      <w:r w:rsidRPr="0001156B">
        <w:rPr>
          <w:rFonts w:ascii="Verdana" w:hAnsi="Verdana"/>
          <w:sz w:val="16"/>
          <w:szCs w:val="16"/>
        </w:rPr>
        <w:t xml:space="preserve"> </w:t>
      </w:r>
      <w:r w:rsidR="0001156B" w:rsidRPr="0001156B">
        <w:rPr>
          <w:rFonts w:ascii="Verdana" w:hAnsi="Verdana"/>
          <w:sz w:val="16"/>
          <w:szCs w:val="16"/>
        </w:rPr>
        <w:t xml:space="preserve">IOB, 30 april 2024, </w:t>
      </w:r>
      <w:hyperlink r:id="rId3" w:history="1">
        <w:r w:rsidR="0001156B" w:rsidRPr="0001156B">
          <w:rPr>
            <w:rStyle w:val="Hyperlink"/>
            <w:rFonts w:ascii="Verdana" w:hAnsi="Verdana"/>
            <w:sz w:val="16"/>
            <w:szCs w:val="16"/>
          </w:rPr>
          <w:t>Periodieke rapportage internationaal klimaatbeleid – Een goed klimaat voor ontwikkeling | Directie Internationaal Onderzoek en Beleidsevaluatie (IOB)</w:t>
        </w:r>
      </w:hyperlink>
    </w:p>
  </w:footnote>
  <w:footnote w:id="6">
    <w:p w14:paraId="3AD3D8B5" w14:textId="574B4E5E" w:rsidR="00693350" w:rsidRPr="008A2B16" w:rsidRDefault="00693350">
      <w:pPr>
        <w:pStyle w:val="Voetnoottekst"/>
        <w:rPr>
          <w:rFonts w:ascii="Verdana" w:hAnsi="Verdana"/>
          <w:sz w:val="18"/>
          <w:szCs w:val="18"/>
        </w:rPr>
      </w:pPr>
      <w:r w:rsidRPr="008A2B16">
        <w:rPr>
          <w:rStyle w:val="Voetnootmarkering"/>
          <w:rFonts w:ascii="Verdana" w:hAnsi="Verdana"/>
          <w:sz w:val="18"/>
          <w:szCs w:val="18"/>
        </w:rPr>
        <w:footnoteRef/>
      </w:r>
      <w:r w:rsidRPr="008A2B16">
        <w:rPr>
          <w:rFonts w:ascii="Verdana" w:hAnsi="Verdana"/>
          <w:sz w:val="18"/>
          <w:szCs w:val="18"/>
        </w:rPr>
        <w:t xml:space="preserve"> </w:t>
      </w:r>
      <w:r w:rsidR="00261869" w:rsidRPr="008A2B16">
        <w:rPr>
          <w:rFonts w:ascii="Verdana" w:hAnsi="Verdana"/>
          <w:sz w:val="18"/>
          <w:szCs w:val="18"/>
        </w:rPr>
        <w:t>Kamerstuk 31</w:t>
      </w:r>
      <w:r w:rsidR="00D322DB">
        <w:rPr>
          <w:rFonts w:ascii="Verdana" w:hAnsi="Verdana"/>
          <w:sz w:val="18"/>
          <w:szCs w:val="18"/>
        </w:rPr>
        <w:t xml:space="preserve"> </w:t>
      </w:r>
      <w:r w:rsidR="00261869" w:rsidRPr="008A2B16">
        <w:rPr>
          <w:rFonts w:ascii="Verdana" w:hAnsi="Verdana"/>
          <w:sz w:val="18"/>
          <w:szCs w:val="18"/>
        </w:rPr>
        <w:t>793, nr. 2</w:t>
      </w:r>
      <w:r w:rsidR="008A2B16" w:rsidRPr="008A2B16">
        <w:rPr>
          <w:rFonts w:ascii="Verdana" w:hAnsi="Verdana"/>
          <w:sz w:val="18"/>
          <w:szCs w:val="18"/>
        </w:rPr>
        <w:t xml:space="preserve">67.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8C7"/>
    <w:multiLevelType w:val="hybridMultilevel"/>
    <w:tmpl w:val="4470D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1A1326"/>
    <w:multiLevelType w:val="hybridMultilevel"/>
    <w:tmpl w:val="7450AC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527892"/>
    <w:multiLevelType w:val="hybridMultilevel"/>
    <w:tmpl w:val="98D821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4E4A3E"/>
    <w:multiLevelType w:val="hybridMultilevel"/>
    <w:tmpl w:val="B80E8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CE366B"/>
    <w:multiLevelType w:val="hybridMultilevel"/>
    <w:tmpl w:val="EC94802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9944D8"/>
    <w:multiLevelType w:val="multilevel"/>
    <w:tmpl w:val="6166DD0C"/>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93776395">
    <w:abstractNumId w:val="1"/>
  </w:num>
  <w:num w:numId="2" w16cid:durableId="2131043798">
    <w:abstractNumId w:val="2"/>
  </w:num>
  <w:num w:numId="3" w16cid:durableId="1160194067">
    <w:abstractNumId w:val="0"/>
  </w:num>
  <w:num w:numId="4" w16cid:durableId="394399847">
    <w:abstractNumId w:val="4"/>
  </w:num>
  <w:num w:numId="5" w16cid:durableId="531772360">
    <w:abstractNumId w:val="5"/>
    <w:lvlOverride w:ilvl="0">
      <w:startOverride w:val="1"/>
    </w:lvlOverride>
    <w:lvlOverride w:ilvl="1"/>
    <w:lvlOverride w:ilvl="2"/>
    <w:lvlOverride w:ilvl="3"/>
    <w:lvlOverride w:ilvl="4"/>
    <w:lvlOverride w:ilvl="5"/>
    <w:lvlOverride w:ilvl="6"/>
    <w:lvlOverride w:ilvl="7"/>
    <w:lvlOverride w:ilvl="8"/>
  </w:num>
  <w:num w:numId="6" w16cid:durableId="8800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D0"/>
    <w:rsid w:val="00000F71"/>
    <w:rsid w:val="00004326"/>
    <w:rsid w:val="000104B9"/>
    <w:rsid w:val="0001156B"/>
    <w:rsid w:val="00012B59"/>
    <w:rsid w:val="00016431"/>
    <w:rsid w:val="00017CC3"/>
    <w:rsid w:val="0003319E"/>
    <w:rsid w:val="00041CCD"/>
    <w:rsid w:val="00042DBE"/>
    <w:rsid w:val="0007218E"/>
    <w:rsid w:val="000771E9"/>
    <w:rsid w:val="00081436"/>
    <w:rsid w:val="00082AFC"/>
    <w:rsid w:val="000968CF"/>
    <w:rsid w:val="000A5497"/>
    <w:rsid w:val="000B6057"/>
    <w:rsid w:val="000C0563"/>
    <w:rsid w:val="000D3AC8"/>
    <w:rsid w:val="000E2CF4"/>
    <w:rsid w:val="000E7BAF"/>
    <w:rsid w:val="000F1300"/>
    <w:rsid w:val="00100637"/>
    <w:rsid w:val="00100A8C"/>
    <w:rsid w:val="001118DB"/>
    <w:rsid w:val="00116CBE"/>
    <w:rsid w:val="00127734"/>
    <w:rsid w:val="00130DBD"/>
    <w:rsid w:val="00130EB7"/>
    <w:rsid w:val="00145984"/>
    <w:rsid w:val="001904DD"/>
    <w:rsid w:val="001A0754"/>
    <w:rsid w:val="001B3589"/>
    <w:rsid w:val="001B3DED"/>
    <w:rsid w:val="001B471A"/>
    <w:rsid w:val="001E0ACB"/>
    <w:rsid w:val="001E4A29"/>
    <w:rsid w:val="00226401"/>
    <w:rsid w:val="0023293A"/>
    <w:rsid w:val="00241BB3"/>
    <w:rsid w:val="00243E6E"/>
    <w:rsid w:val="00251CB8"/>
    <w:rsid w:val="00261869"/>
    <w:rsid w:val="00270435"/>
    <w:rsid w:val="00276497"/>
    <w:rsid w:val="0027785F"/>
    <w:rsid w:val="0028320E"/>
    <w:rsid w:val="002A4D64"/>
    <w:rsid w:val="002B4870"/>
    <w:rsid w:val="002C2FF3"/>
    <w:rsid w:val="002D1E5A"/>
    <w:rsid w:val="002D6DA9"/>
    <w:rsid w:val="002D7FD0"/>
    <w:rsid w:val="002E046D"/>
    <w:rsid w:val="002E28A5"/>
    <w:rsid w:val="002E30F9"/>
    <w:rsid w:val="002E5789"/>
    <w:rsid w:val="002F68DB"/>
    <w:rsid w:val="002F728E"/>
    <w:rsid w:val="00306C03"/>
    <w:rsid w:val="00356C84"/>
    <w:rsid w:val="003710C0"/>
    <w:rsid w:val="003731CE"/>
    <w:rsid w:val="00373DF2"/>
    <w:rsid w:val="00380F88"/>
    <w:rsid w:val="00397EB2"/>
    <w:rsid w:val="003A2610"/>
    <w:rsid w:val="003B1952"/>
    <w:rsid w:val="003B73B4"/>
    <w:rsid w:val="003C3950"/>
    <w:rsid w:val="003F0ED4"/>
    <w:rsid w:val="003F16FB"/>
    <w:rsid w:val="00400137"/>
    <w:rsid w:val="004335D6"/>
    <w:rsid w:val="00441C5F"/>
    <w:rsid w:val="00450BCC"/>
    <w:rsid w:val="0045452B"/>
    <w:rsid w:val="004622D2"/>
    <w:rsid w:val="0047029B"/>
    <w:rsid w:val="00475762"/>
    <w:rsid w:val="004A1010"/>
    <w:rsid w:val="004A15DE"/>
    <w:rsid w:val="004A229E"/>
    <w:rsid w:val="004C4A1C"/>
    <w:rsid w:val="004F6F93"/>
    <w:rsid w:val="00523982"/>
    <w:rsid w:val="00523CCA"/>
    <w:rsid w:val="00526866"/>
    <w:rsid w:val="00531358"/>
    <w:rsid w:val="00531DF6"/>
    <w:rsid w:val="00536015"/>
    <w:rsid w:val="00545F71"/>
    <w:rsid w:val="00556B20"/>
    <w:rsid w:val="00556BA2"/>
    <w:rsid w:val="005722E6"/>
    <w:rsid w:val="005746FD"/>
    <w:rsid w:val="005876F7"/>
    <w:rsid w:val="00595D3B"/>
    <w:rsid w:val="005B24D4"/>
    <w:rsid w:val="005B3ED2"/>
    <w:rsid w:val="005B4801"/>
    <w:rsid w:val="005E2B21"/>
    <w:rsid w:val="005E7EB0"/>
    <w:rsid w:val="005F2CD7"/>
    <w:rsid w:val="00617EE2"/>
    <w:rsid w:val="0062198C"/>
    <w:rsid w:val="00632D3B"/>
    <w:rsid w:val="00635036"/>
    <w:rsid w:val="00635061"/>
    <w:rsid w:val="006375D4"/>
    <w:rsid w:val="00641586"/>
    <w:rsid w:val="0064289C"/>
    <w:rsid w:val="00644ED9"/>
    <w:rsid w:val="006453D2"/>
    <w:rsid w:val="00652D82"/>
    <w:rsid w:val="006551F5"/>
    <w:rsid w:val="00661636"/>
    <w:rsid w:val="00670C0D"/>
    <w:rsid w:val="00672C60"/>
    <w:rsid w:val="0067318F"/>
    <w:rsid w:val="0069085C"/>
    <w:rsid w:val="00693350"/>
    <w:rsid w:val="0069772D"/>
    <w:rsid w:val="006A6756"/>
    <w:rsid w:val="006A6C81"/>
    <w:rsid w:val="006B080C"/>
    <w:rsid w:val="006B4631"/>
    <w:rsid w:val="006B4811"/>
    <w:rsid w:val="006D0C1D"/>
    <w:rsid w:val="006E184E"/>
    <w:rsid w:val="006F1B1F"/>
    <w:rsid w:val="00703D40"/>
    <w:rsid w:val="00723BD7"/>
    <w:rsid w:val="007255DF"/>
    <w:rsid w:val="0073676B"/>
    <w:rsid w:val="00740279"/>
    <w:rsid w:val="007449A8"/>
    <w:rsid w:val="007505AC"/>
    <w:rsid w:val="0076423E"/>
    <w:rsid w:val="00780980"/>
    <w:rsid w:val="00786D8B"/>
    <w:rsid w:val="00794D5C"/>
    <w:rsid w:val="007A1DF5"/>
    <w:rsid w:val="007A6BBE"/>
    <w:rsid w:val="007B3EC8"/>
    <w:rsid w:val="007C42AC"/>
    <w:rsid w:val="007C7D1A"/>
    <w:rsid w:val="007D6466"/>
    <w:rsid w:val="007E41CA"/>
    <w:rsid w:val="007F153F"/>
    <w:rsid w:val="007F2E75"/>
    <w:rsid w:val="00805012"/>
    <w:rsid w:val="00810AF8"/>
    <w:rsid w:val="00811748"/>
    <w:rsid w:val="0081679F"/>
    <w:rsid w:val="008215D9"/>
    <w:rsid w:val="00823186"/>
    <w:rsid w:val="00831949"/>
    <w:rsid w:val="00850C33"/>
    <w:rsid w:val="00861271"/>
    <w:rsid w:val="00866212"/>
    <w:rsid w:val="008671D9"/>
    <w:rsid w:val="008876CA"/>
    <w:rsid w:val="008A2B16"/>
    <w:rsid w:val="008A6D15"/>
    <w:rsid w:val="008B13AD"/>
    <w:rsid w:val="008D16F4"/>
    <w:rsid w:val="008F6FEC"/>
    <w:rsid w:val="009028FC"/>
    <w:rsid w:val="0093653C"/>
    <w:rsid w:val="0094597C"/>
    <w:rsid w:val="0095059F"/>
    <w:rsid w:val="00955370"/>
    <w:rsid w:val="009609F7"/>
    <w:rsid w:val="00962F65"/>
    <w:rsid w:val="009704C9"/>
    <w:rsid w:val="00982467"/>
    <w:rsid w:val="00987153"/>
    <w:rsid w:val="009A79A0"/>
    <w:rsid w:val="009D6744"/>
    <w:rsid w:val="009D704B"/>
    <w:rsid w:val="009E787E"/>
    <w:rsid w:val="009F1157"/>
    <w:rsid w:val="009F6DD8"/>
    <w:rsid w:val="00A065E6"/>
    <w:rsid w:val="00A10218"/>
    <w:rsid w:val="00A12A8D"/>
    <w:rsid w:val="00A25530"/>
    <w:rsid w:val="00A32BA0"/>
    <w:rsid w:val="00A4502B"/>
    <w:rsid w:val="00A509E4"/>
    <w:rsid w:val="00A54F73"/>
    <w:rsid w:val="00A60044"/>
    <w:rsid w:val="00A73FB2"/>
    <w:rsid w:val="00A77EFF"/>
    <w:rsid w:val="00A86EB2"/>
    <w:rsid w:val="00A92A55"/>
    <w:rsid w:val="00A94952"/>
    <w:rsid w:val="00A95B7E"/>
    <w:rsid w:val="00AA0A72"/>
    <w:rsid w:val="00AB5420"/>
    <w:rsid w:val="00AC293B"/>
    <w:rsid w:val="00AD44D6"/>
    <w:rsid w:val="00AE454C"/>
    <w:rsid w:val="00AE5AFA"/>
    <w:rsid w:val="00AE7F18"/>
    <w:rsid w:val="00AF2023"/>
    <w:rsid w:val="00AF6095"/>
    <w:rsid w:val="00B20900"/>
    <w:rsid w:val="00B26845"/>
    <w:rsid w:val="00B328BC"/>
    <w:rsid w:val="00B35F74"/>
    <w:rsid w:val="00B44BD5"/>
    <w:rsid w:val="00B458E5"/>
    <w:rsid w:val="00B46EDE"/>
    <w:rsid w:val="00B542BD"/>
    <w:rsid w:val="00B6221E"/>
    <w:rsid w:val="00B65185"/>
    <w:rsid w:val="00B73295"/>
    <w:rsid w:val="00B80E42"/>
    <w:rsid w:val="00B86DC1"/>
    <w:rsid w:val="00B93C6F"/>
    <w:rsid w:val="00B97BA1"/>
    <w:rsid w:val="00BA2B68"/>
    <w:rsid w:val="00BA430B"/>
    <w:rsid w:val="00BD6973"/>
    <w:rsid w:val="00BE1ADE"/>
    <w:rsid w:val="00BE3823"/>
    <w:rsid w:val="00BE3D58"/>
    <w:rsid w:val="00BF79D5"/>
    <w:rsid w:val="00BF7DA9"/>
    <w:rsid w:val="00C00751"/>
    <w:rsid w:val="00C27F90"/>
    <w:rsid w:val="00C33D2F"/>
    <w:rsid w:val="00C348D7"/>
    <w:rsid w:val="00C36006"/>
    <w:rsid w:val="00C4528A"/>
    <w:rsid w:val="00C52A95"/>
    <w:rsid w:val="00C63CF9"/>
    <w:rsid w:val="00C84632"/>
    <w:rsid w:val="00CB19CD"/>
    <w:rsid w:val="00CB6806"/>
    <w:rsid w:val="00CC332D"/>
    <w:rsid w:val="00CD3899"/>
    <w:rsid w:val="00CD5D2E"/>
    <w:rsid w:val="00CF4F4A"/>
    <w:rsid w:val="00D113DE"/>
    <w:rsid w:val="00D322DB"/>
    <w:rsid w:val="00D3283E"/>
    <w:rsid w:val="00D33AF5"/>
    <w:rsid w:val="00D41D1B"/>
    <w:rsid w:val="00D60193"/>
    <w:rsid w:val="00D83285"/>
    <w:rsid w:val="00D84A05"/>
    <w:rsid w:val="00D86139"/>
    <w:rsid w:val="00DA1A25"/>
    <w:rsid w:val="00DA4220"/>
    <w:rsid w:val="00DA43E1"/>
    <w:rsid w:val="00DB6E68"/>
    <w:rsid w:val="00DC0D34"/>
    <w:rsid w:val="00DE20C0"/>
    <w:rsid w:val="00DE76FC"/>
    <w:rsid w:val="00DF0250"/>
    <w:rsid w:val="00E13713"/>
    <w:rsid w:val="00E205CF"/>
    <w:rsid w:val="00E2065B"/>
    <w:rsid w:val="00E27660"/>
    <w:rsid w:val="00E36D93"/>
    <w:rsid w:val="00E37D78"/>
    <w:rsid w:val="00E545A7"/>
    <w:rsid w:val="00E55086"/>
    <w:rsid w:val="00E57840"/>
    <w:rsid w:val="00E761FD"/>
    <w:rsid w:val="00E775DF"/>
    <w:rsid w:val="00E82621"/>
    <w:rsid w:val="00E87471"/>
    <w:rsid w:val="00E87F71"/>
    <w:rsid w:val="00E95844"/>
    <w:rsid w:val="00EA6030"/>
    <w:rsid w:val="00EB6D5D"/>
    <w:rsid w:val="00ED350D"/>
    <w:rsid w:val="00ED74BF"/>
    <w:rsid w:val="00F06BA4"/>
    <w:rsid w:val="00F141F6"/>
    <w:rsid w:val="00F142F2"/>
    <w:rsid w:val="00F304AB"/>
    <w:rsid w:val="00F564A7"/>
    <w:rsid w:val="00F56B52"/>
    <w:rsid w:val="00F611C3"/>
    <w:rsid w:val="00F87144"/>
    <w:rsid w:val="00F92DF8"/>
    <w:rsid w:val="00FB28B9"/>
    <w:rsid w:val="00FC2323"/>
    <w:rsid w:val="00FC457D"/>
    <w:rsid w:val="00FC5BF0"/>
    <w:rsid w:val="00FE6121"/>
    <w:rsid w:val="00FE6752"/>
    <w:rsid w:val="00FF1AD7"/>
    <w:rsid w:val="00FF7A27"/>
    <w:rsid w:val="0633E422"/>
    <w:rsid w:val="0638F60D"/>
    <w:rsid w:val="0C8DEFEE"/>
    <w:rsid w:val="0DBFFFF7"/>
    <w:rsid w:val="21FB2E63"/>
    <w:rsid w:val="222D6342"/>
    <w:rsid w:val="2B2C3811"/>
    <w:rsid w:val="2E8A57AB"/>
    <w:rsid w:val="43681257"/>
    <w:rsid w:val="4562D517"/>
    <w:rsid w:val="46135107"/>
    <w:rsid w:val="47CC0373"/>
    <w:rsid w:val="48F89D07"/>
    <w:rsid w:val="4A2F2DC3"/>
    <w:rsid w:val="50B8D588"/>
    <w:rsid w:val="541D0B97"/>
    <w:rsid w:val="6472E188"/>
    <w:rsid w:val="6E9219BA"/>
    <w:rsid w:val="72D604CB"/>
    <w:rsid w:val="772B91F8"/>
    <w:rsid w:val="7F6543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B1BD"/>
  <w15:chartTrackingRefBased/>
  <w15:docId w15:val="{45B6621B-387C-4591-AD2E-A4916528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7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7F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7F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7F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7F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7F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7F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7F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7F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7F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7F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7F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7F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7F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7F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7F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7FD0"/>
    <w:rPr>
      <w:rFonts w:eastAsiaTheme="majorEastAsia" w:cstheme="majorBidi"/>
      <w:color w:val="272727" w:themeColor="text1" w:themeTint="D8"/>
    </w:rPr>
  </w:style>
  <w:style w:type="paragraph" w:styleId="Titel">
    <w:name w:val="Title"/>
    <w:basedOn w:val="Standaard"/>
    <w:next w:val="Standaard"/>
    <w:link w:val="TitelChar"/>
    <w:uiPriority w:val="10"/>
    <w:qFormat/>
    <w:rsid w:val="002D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7F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7F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7F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7F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7FD0"/>
    <w:rPr>
      <w:i/>
      <w:iCs/>
      <w:color w:val="404040" w:themeColor="text1" w:themeTint="BF"/>
    </w:rPr>
  </w:style>
  <w:style w:type="paragraph" w:styleId="Lijstalinea">
    <w:name w:val="List Paragraph"/>
    <w:basedOn w:val="Standaard"/>
    <w:uiPriority w:val="34"/>
    <w:qFormat/>
    <w:rsid w:val="002D7FD0"/>
    <w:pPr>
      <w:ind w:left="720"/>
      <w:contextualSpacing/>
    </w:pPr>
  </w:style>
  <w:style w:type="character" w:styleId="Intensievebenadrukking">
    <w:name w:val="Intense Emphasis"/>
    <w:basedOn w:val="Standaardalinea-lettertype"/>
    <w:uiPriority w:val="21"/>
    <w:qFormat/>
    <w:rsid w:val="002D7FD0"/>
    <w:rPr>
      <w:i/>
      <w:iCs/>
      <w:color w:val="0F4761" w:themeColor="accent1" w:themeShade="BF"/>
    </w:rPr>
  </w:style>
  <w:style w:type="paragraph" w:styleId="Duidelijkcitaat">
    <w:name w:val="Intense Quote"/>
    <w:basedOn w:val="Standaard"/>
    <w:next w:val="Standaard"/>
    <w:link w:val="DuidelijkcitaatChar"/>
    <w:uiPriority w:val="30"/>
    <w:qFormat/>
    <w:rsid w:val="002D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7FD0"/>
    <w:rPr>
      <w:i/>
      <w:iCs/>
      <w:color w:val="0F4761" w:themeColor="accent1" w:themeShade="BF"/>
    </w:rPr>
  </w:style>
  <w:style w:type="character" w:styleId="Intensieveverwijzing">
    <w:name w:val="Intense Reference"/>
    <w:basedOn w:val="Standaardalinea-lettertype"/>
    <w:uiPriority w:val="32"/>
    <w:qFormat/>
    <w:rsid w:val="002D7FD0"/>
    <w:rPr>
      <w:b/>
      <w:bCs/>
      <w:smallCaps/>
      <w:color w:val="0F4761" w:themeColor="accent1" w:themeShade="BF"/>
      <w:spacing w:val="5"/>
    </w:rPr>
  </w:style>
  <w:style w:type="character" w:styleId="Hyperlink">
    <w:name w:val="Hyperlink"/>
    <w:basedOn w:val="Standaardalinea-lettertype"/>
    <w:uiPriority w:val="99"/>
    <w:unhideWhenUsed/>
    <w:rsid w:val="002D7FD0"/>
    <w:rPr>
      <w:color w:val="0000FF"/>
      <w:u w:val="single"/>
    </w:rPr>
  </w:style>
  <w:style w:type="paragraph" w:styleId="Voetnoottekst">
    <w:name w:val="footnote text"/>
    <w:basedOn w:val="Standaard"/>
    <w:link w:val="VoetnoottekstChar"/>
    <w:uiPriority w:val="99"/>
    <w:semiHidden/>
    <w:unhideWhenUsed/>
    <w:rsid w:val="002D7FD0"/>
    <w:pPr>
      <w:spacing w:after="0" w:line="240" w:lineRule="auto"/>
    </w:pPr>
    <w:rPr>
      <w:rFonts w:eastAsia="Batang"/>
      <w:sz w:val="20"/>
      <w:szCs w:val="20"/>
    </w:rPr>
  </w:style>
  <w:style w:type="character" w:customStyle="1" w:styleId="VoetnoottekstChar">
    <w:name w:val="Voetnoottekst Char"/>
    <w:basedOn w:val="Standaardalinea-lettertype"/>
    <w:link w:val="Voetnoottekst"/>
    <w:uiPriority w:val="99"/>
    <w:semiHidden/>
    <w:rsid w:val="002D7FD0"/>
    <w:rPr>
      <w:rFonts w:eastAsia="Batang"/>
      <w:sz w:val="20"/>
      <w:szCs w:val="20"/>
    </w:rPr>
  </w:style>
  <w:style w:type="character" w:styleId="Voetnootmarkering">
    <w:name w:val="footnote reference"/>
    <w:basedOn w:val="Standaardalinea-lettertype"/>
    <w:uiPriority w:val="99"/>
    <w:semiHidden/>
    <w:unhideWhenUsed/>
    <w:rsid w:val="002D7FD0"/>
    <w:rPr>
      <w:vertAlign w:val="superscript"/>
    </w:rPr>
  </w:style>
  <w:style w:type="paragraph" w:styleId="Koptekst">
    <w:name w:val="header"/>
    <w:basedOn w:val="Standaard"/>
    <w:link w:val="KoptekstChar"/>
    <w:uiPriority w:val="99"/>
    <w:semiHidden/>
    <w:unhideWhenUsed/>
    <w:rsid w:val="00D832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83285"/>
  </w:style>
  <w:style w:type="paragraph" w:styleId="Voettekst">
    <w:name w:val="footer"/>
    <w:basedOn w:val="Standaard"/>
    <w:link w:val="VoettekstChar"/>
    <w:uiPriority w:val="99"/>
    <w:semiHidden/>
    <w:unhideWhenUsed/>
    <w:rsid w:val="00D832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83285"/>
  </w:style>
  <w:style w:type="character" w:styleId="Onopgelostemelding">
    <w:name w:val="Unresolved Mention"/>
    <w:basedOn w:val="Standaardalinea-lettertype"/>
    <w:uiPriority w:val="99"/>
    <w:semiHidden/>
    <w:unhideWhenUsed/>
    <w:rsid w:val="007505AC"/>
    <w:rPr>
      <w:color w:val="605E5C"/>
      <w:shd w:val="clear" w:color="auto" w:fill="E1DFDD"/>
    </w:rPr>
  </w:style>
  <w:style w:type="paragraph" w:styleId="Revisie">
    <w:name w:val="Revision"/>
    <w:hidden/>
    <w:uiPriority w:val="99"/>
    <w:semiHidden/>
    <w:rsid w:val="00AF6095"/>
    <w:pPr>
      <w:spacing w:after="0" w:line="240" w:lineRule="auto"/>
    </w:pPr>
  </w:style>
  <w:style w:type="character" w:styleId="Verwijzingopmerking">
    <w:name w:val="annotation reference"/>
    <w:basedOn w:val="Standaardalinea-lettertype"/>
    <w:uiPriority w:val="99"/>
    <w:semiHidden/>
    <w:unhideWhenUsed/>
    <w:rsid w:val="00AF6095"/>
    <w:rPr>
      <w:sz w:val="16"/>
      <w:szCs w:val="16"/>
    </w:rPr>
  </w:style>
  <w:style w:type="paragraph" w:styleId="Tekstopmerking">
    <w:name w:val="annotation text"/>
    <w:basedOn w:val="Standaard"/>
    <w:link w:val="TekstopmerkingChar"/>
    <w:uiPriority w:val="99"/>
    <w:unhideWhenUsed/>
    <w:rsid w:val="00AF6095"/>
    <w:pPr>
      <w:spacing w:line="240" w:lineRule="auto"/>
    </w:pPr>
    <w:rPr>
      <w:sz w:val="20"/>
      <w:szCs w:val="20"/>
    </w:rPr>
  </w:style>
  <w:style w:type="character" w:customStyle="1" w:styleId="TekstopmerkingChar">
    <w:name w:val="Tekst opmerking Char"/>
    <w:basedOn w:val="Standaardalinea-lettertype"/>
    <w:link w:val="Tekstopmerking"/>
    <w:uiPriority w:val="99"/>
    <w:rsid w:val="00AF6095"/>
    <w:rPr>
      <w:sz w:val="20"/>
      <w:szCs w:val="20"/>
    </w:rPr>
  </w:style>
  <w:style w:type="paragraph" w:styleId="Onderwerpvanopmerking">
    <w:name w:val="annotation subject"/>
    <w:basedOn w:val="Tekstopmerking"/>
    <w:next w:val="Tekstopmerking"/>
    <w:link w:val="OnderwerpvanopmerkingChar"/>
    <w:uiPriority w:val="99"/>
    <w:semiHidden/>
    <w:unhideWhenUsed/>
    <w:rsid w:val="00AF6095"/>
    <w:rPr>
      <w:b/>
      <w:bCs/>
    </w:rPr>
  </w:style>
  <w:style w:type="character" w:customStyle="1" w:styleId="OnderwerpvanopmerkingChar">
    <w:name w:val="Onderwerp van opmerking Char"/>
    <w:basedOn w:val="TekstopmerkingChar"/>
    <w:link w:val="Onderwerpvanopmerking"/>
    <w:uiPriority w:val="99"/>
    <w:semiHidden/>
    <w:rsid w:val="00AF6095"/>
    <w:rPr>
      <w:b/>
      <w:bCs/>
      <w:sz w:val="20"/>
      <w:szCs w:val="20"/>
    </w:rPr>
  </w:style>
  <w:style w:type="paragraph" w:styleId="Normaalweb">
    <w:name w:val="Normal (Web)"/>
    <w:basedOn w:val="Standaard"/>
    <w:uiPriority w:val="99"/>
    <w:semiHidden/>
    <w:unhideWhenUsed/>
    <w:rsid w:val="001B35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7147">
      <w:bodyDiv w:val="1"/>
      <w:marLeft w:val="0"/>
      <w:marRight w:val="0"/>
      <w:marTop w:val="0"/>
      <w:marBottom w:val="0"/>
      <w:divBdr>
        <w:top w:val="none" w:sz="0" w:space="0" w:color="auto"/>
        <w:left w:val="none" w:sz="0" w:space="0" w:color="auto"/>
        <w:bottom w:val="none" w:sz="0" w:space="0" w:color="auto"/>
        <w:right w:val="none" w:sz="0" w:space="0" w:color="auto"/>
      </w:divBdr>
    </w:div>
    <w:div w:id="392001638">
      <w:bodyDiv w:val="1"/>
      <w:marLeft w:val="0"/>
      <w:marRight w:val="0"/>
      <w:marTop w:val="0"/>
      <w:marBottom w:val="0"/>
      <w:divBdr>
        <w:top w:val="none" w:sz="0" w:space="0" w:color="auto"/>
        <w:left w:val="none" w:sz="0" w:space="0" w:color="auto"/>
        <w:bottom w:val="none" w:sz="0" w:space="0" w:color="auto"/>
        <w:right w:val="none" w:sz="0" w:space="0" w:color="auto"/>
      </w:divBdr>
    </w:div>
    <w:div w:id="400180726">
      <w:bodyDiv w:val="1"/>
      <w:marLeft w:val="0"/>
      <w:marRight w:val="0"/>
      <w:marTop w:val="0"/>
      <w:marBottom w:val="0"/>
      <w:divBdr>
        <w:top w:val="none" w:sz="0" w:space="0" w:color="auto"/>
        <w:left w:val="none" w:sz="0" w:space="0" w:color="auto"/>
        <w:bottom w:val="none" w:sz="0" w:space="0" w:color="auto"/>
        <w:right w:val="none" w:sz="0" w:space="0" w:color="auto"/>
      </w:divBdr>
    </w:div>
    <w:div w:id="494415898">
      <w:bodyDiv w:val="1"/>
      <w:marLeft w:val="0"/>
      <w:marRight w:val="0"/>
      <w:marTop w:val="0"/>
      <w:marBottom w:val="0"/>
      <w:divBdr>
        <w:top w:val="none" w:sz="0" w:space="0" w:color="auto"/>
        <w:left w:val="none" w:sz="0" w:space="0" w:color="auto"/>
        <w:bottom w:val="none" w:sz="0" w:space="0" w:color="auto"/>
        <w:right w:val="none" w:sz="0" w:space="0" w:color="auto"/>
      </w:divBdr>
    </w:div>
    <w:div w:id="591201457">
      <w:bodyDiv w:val="1"/>
      <w:marLeft w:val="0"/>
      <w:marRight w:val="0"/>
      <w:marTop w:val="0"/>
      <w:marBottom w:val="0"/>
      <w:divBdr>
        <w:top w:val="none" w:sz="0" w:space="0" w:color="auto"/>
        <w:left w:val="none" w:sz="0" w:space="0" w:color="auto"/>
        <w:bottom w:val="none" w:sz="0" w:space="0" w:color="auto"/>
        <w:right w:val="none" w:sz="0" w:space="0" w:color="auto"/>
      </w:divBdr>
    </w:div>
    <w:div w:id="712658859">
      <w:bodyDiv w:val="1"/>
      <w:marLeft w:val="0"/>
      <w:marRight w:val="0"/>
      <w:marTop w:val="0"/>
      <w:marBottom w:val="0"/>
      <w:divBdr>
        <w:top w:val="none" w:sz="0" w:space="0" w:color="auto"/>
        <w:left w:val="none" w:sz="0" w:space="0" w:color="auto"/>
        <w:bottom w:val="none" w:sz="0" w:space="0" w:color="auto"/>
        <w:right w:val="none" w:sz="0" w:space="0" w:color="auto"/>
      </w:divBdr>
    </w:div>
    <w:div w:id="844243539">
      <w:bodyDiv w:val="1"/>
      <w:marLeft w:val="0"/>
      <w:marRight w:val="0"/>
      <w:marTop w:val="0"/>
      <w:marBottom w:val="0"/>
      <w:divBdr>
        <w:top w:val="none" w:sz="0" w:space="0" w:color="auto"/>
        <w:left w:val="none" w:sz="0" w:space="0" w:color="auto"/>
        <w:bottom w:val="none" w:sz="0" w:space="0" w:color="auto"/>
        <w:right w:val="none" w:sz="0" w:space="0" w:color="auto"/>
      </w:divBdr>
    </w:div>
    <w:div w:id="1019625394">
      <w:bodyDiv w:val="1"/>
      <w:marLeft w:val="0"/>
      <w:marRight w:val="0"/>
      <w:marTop w:val="0"/>
      <w:marBottom w:val="0"/>
      <w:divBdr>
        <w:top w:val="none" w:sz="0" w:space="0" w:color="auto"/>
        <w:left w:val="none" w:sz="0" w:space="0" w:color="auto"/>
        <w:bottom w:val="none" w:sz="0" w:space="0" w:color="auto"/>
        <w:right w:val="none" w:sz="0" w:space="0" w:color="auto"/>
      </w:divBdr>
    </w:div>
    <w:div w:id="1260720734">
      <w:bodyDiv w:val="1"/>
      <w:marLeft w:val="0"/>
      <w:marRight w:val="0"/>
      <w:marTop w:val="0"/>
      <w:marBottom w:val="0"/>
      <w:divBdr>
        <w:top w:val="none" w:sz="0" w:space="0" w:color="auto"/>
        <w:left w:val="none" w:sz="0" w:space="0" w:color="auto"/>
        <w:bottom w:val="none" w:sz="0" w:space="0" w:color="auto"/>
        <w:right w:val="none" w:sz="0" w:space="0" w:color="auto"/>
      </w:divBdr>
    </w:div>
    <w:div w:id="1269121606">
      <w:bodyDiv w:val="1"/>
      <w:marLeft w:val="0"/>
      <w:marRight w:val="0"/>
      <w:marTop w:val="0"/>
      <w:marBottom w:val="0"/>
      <w:divBdr>
        <w:top w:val="none" w:sz="0" w:space="0" w:color="auto"/>
        <w:left w:val="none" w:sz="0" w:space="0" w:color="auto"/>
        <w:bottom w:val="none" w:sz="0" w:space="0" w:color="auto"/>
        <w:right w:val="none" w:sz="0" w:space="0" w:color="auto"/>
      </w:divBdr>
    </w:div>
    <w:div w:id="1277374152">
      <w:bodyDiv w:val="1"/>
      <w:marLeft w:val="0"/>
      <w:marRight w:val="0"/>
      <w:marTop w:val="0"/>
      <w:marBottom w:val="0"/>
      <w:divBdr>
        <w:top w:val="none" w:sz="0" w:space="0" w:color="auto"/>
        <w:left w:val="none" w:sz="0" w:space="0" w:color="auto"/>
        <w:bottom w:val="none" w:sz="0" w:space="0" w:color="auto"/>
        <w:right w:val="none" w:sz="0" w:space="0" w:color="auto"/>
      </w:divBdr>
    </w:div>
    <w:div w:id="1297762750">
      <w:bodyDiv w:val="1"/>
      <w:marLeft w:val="0"/>
      <w:marRight w:val="0"/>
      <w:marTop w:val="0"/>
      <w:marBottom w:val="0"/>
      <w:divBdr>
        <w:top w:val="none" w:sz="0" w:space="0" w:color="auto"/>
        <w:left w:val="none" w:sz="0" w:space="0" w:color="auto"/>
        <w:bottom w:val="none" w:sz="0" w:space="0" w:color="auto"/>
        <w:right w:val="none" w:sz="0" w:space="0" w:color="auto"/>
      </w:divBdr>
    </w:div>
    <w:div w:id="1638493566">
      <w:bodyDiv w:val="1"/>
      <w:marLeft w:val="0"/>
      <w:marRight w:val="0"/>
      <w:marTop w:val="0"/>
      <w:marBottom w:val="0"/>
      <w:divBdr>
        <w:top w:val="none" w:sz="0" w:space="0" w:color="auto"/>
        <w:left w:val="none" w:sz="0" w:space="0" w:color="auto"/>
        <w:bottom w:val="none" w:sz="0" w:space="0" w:color="auto"/>
        <w:right w:val="none" w:sz="0" w:space="0" w:color="auto"/>
      </w:divBdr>
    </w:div>
    <w:div w:id="1780756047">
      <w:bodyDiv w:val="1"/>
      <w:marLeft w:val="0"/>
      <w:marRight w:val="0"/>
      <w:marTop w:val="0"/>
      <w:marBottom w:val="0"/>
      <w:divBdr>
        <w:top w:val="none" w:sz="0" w:space="0" w:color="auto"/>
        <w:left w:val="none" w:sz="0" w:space="0" w:color="auto"/>
        <w:bottom w:val="none" w:sz="0" w:space="0" w:color="auto"/>
        <w:right w:val="none" w:sz="0" w:space="0" w:color="auto"/>
      </w:divBdr>
    </w:div>
    <w:div w:id="1989020277">
      <w:bodyDiv w:val="1"/>
      <w:marLeft w:val="0"/>
      <w:marRight w:val="0"/>
      <w:marTop w:val="0"/>
      <w:marBottom w:val="0"/>
      <w:divBdr>
        <w:top w:val="none" w:sz="0" w:space="0" w:color="auto"/>
        <w:left w:val="none" w:sz="0" w:space="0" w:color="auto"/>
        <w:bottom w:val="none" w:sz="0" w:space="0" w:color="auto"/>
        <w:right w:val="none" w:sz="0" w:space="0" w:color="auto"/>
      </w:divBdr>
    </w:div>
    <w:div w:id="209311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ob-evaluatie.nl/documenten/2024/04/30/klimaatbeleid" TargetMode="External"/><Relationship Id="rId2" Type="http://schemas.openxmlformats.org/officeDocument/2006/relationships/hyperlink" Target="https://www.ftm.nl/artikelen/door-creatief-boekhouden-hoeven-we-voorlopig-geen-euro-extra-betalen-voor-klimaatschade-arme-landen" TargetMode="External"/><Relationship Id="rId1" Type="http://schemas.openxmlformats.org/officeDocument/2006/relationships/hyperlink" Target="https://parlementenwetenschap.nl/wp-content/uploads/2024/11/241108_Update_factsheet_internationale_klimaatfinanciering_Vollebergh_Doranov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1196</ap:Words>
  <ap:Characters>6583</ap:Characters>
  <ap:DocSecurity>4</ap:DocSecurity>
  <ap:Lines>54</ap:Lines>
  <ap:Paragraphs>15</ap:Paragraphs>
  <ap:ScaleCrop>false</ap:ScaleCrop>
  <ap:LinksUpToDate>false</ap:LinksUpToDate>
  <ap:CharactersWithSpaces>7764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2025-09-22T11:13:00.0000000Z</dcterms:created>
  <dcterms:modified xsi:type="dcterms:W3CDTF">2025-09-22T11:13:00.0000000Z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0x010100652B67EEE1A68642A5D50A61AFC1437500778C64639668B444A53258128EF23DDA</vt:lpwstr>
  </property>
  <property fmtid="{D5CDD505-2E9C-101B-9397-08002B2CF9AE}" pid="3" name="_dlc_DocIdItemGuid">
    <vt:lpwstr>e71520a2-5364-4e87-b684-109d0ef9b71a</vt:lpwstr>
  </property>
  <property fmtid="{D5CDD505-2E9C-101B-9397-08002B2CF9AE}" pid="4"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5" name="Beperking">
    <vt:lpwstr/>
  </property>
  <property fmtid="{D5CDD505-2E9C-101B-9397-08002B2CF9AE}" pid="6" name="docLang">
    <vt:lpwstr>nl</vt:lpwstr>
  </property>
</Properties>
</file>