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2025Z17449</w:t>
        <w:br/>
      </w:r>
      <w:proofErr w:type="spellEnd"/>
    </w:p>
    <w:p>
      <w:pPr>
        <w:pStyle w:val="Normal"/>
        <w:rPr>
          <w:b w:val="1"/>
          <w:bCs w:val="1"/>
        </w:rPr>
      </w:pPr>
      <w:r w:rsidR="250AE766">
        <w:rPr>
          <w:b w:val="0"/>
          <w:bCs w:val="0"/>
        </w:rPr>
        <w:t>(ingezonden 22 september 2025)</w:t>
        <w:br/>
      </w:r>
    </w:p>
    <w:p>
      <w:r>
        <w:t xml:space="preserve">Vragen van de leden Gabriëls en De Hoop (GroenLinks-PvdA) aan de minister van Infrastructuur en Waterstaat over de brug bij Urmond.</w:t>
      </w:r>
      <w:r>
        <w:br/>
      </w:r>
    </w:p>
    <w:p>
      <w:r>
        <w:t xml:space="preserve"> </w:t>
      </w:r>
      <w:r>
        <w:br/>
      </w:r>
    </w:p>
    <w:p>
      <w:r>
        <w:t xml:space="preserve">1            Klopt het dat er geen alternatieve oeververbinding voor fietsers en voetgangers wordt gerealiseerd als de brug bij Urmond voor anderhalf jaar wordt gesloten voor renovatie?</w:t>
      </w:r>
      <w:r>
        <w:br/>
      </w:r>
    </w:p>
    <w:p>
      <w:r>
        <w:t xml:space="preserve">2            Is onderzocht hoeveel fietsers en voetgangers dagelijks gebruik maken van de brug?</w:t>
      </w:r>
      <w:r>
        <w:br/>
      </w:r>
    </w:p>
    <w:p>
      <w:r>
        <w:t xml:space="preserve">3            Welke diensten en voorzieningen in Urmond zijn slechts ‘aan de andere kant van de brug’ beschikbaar, en door de renovatie dus minder goed bereikbaar?</w:t>
      </w:r>
      <w:r>
        <w:br/>
      </w:r>
    </w:p>
    <w:p>
      <w:r>
        <w:t xml:space="preserve">4            Welke andere opties zijn er om ouderen, mensen die minder ver kunnen fietsen en mensen die geen auto hebben tegemoet te komen?</w:t>
      </w:r>
      <w:r>
        <w:br/>
      </w:r>
    </w:p>
    <w:p>
      <w:r>
        <w:t xml:space="preserve">5            Als een tijdelijke brug geen optie is, waarom dan geen fietspont? Wat zou een tijdelijke pont voor fietsers en voetgangers kosten, als deze bijvoorbeeld 12 uur per dag in bedrijf is?</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Olger van Dijk en Wingelaar (beiden Nieuw Sociaal Contract), ingezonden 19 september 2025 (vraagnummer 2025Z17306).</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080">
    <w:abstractNumId w:val="100487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