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AFE" w:rsidP="00400AFE" w:rsidRDefault="00400AFE" w14:paraId="351458AB" w14:textId="77777777">
      <w:pPr>
        <w:rPr>
          <w:b/>
        </w:rPr>
      </w:pPr>
      <w:r>
        <w:rPr>
          <w:b/>
        </w:rPr>
        <w:t>Verslag houdende een lijst van vragen</w:t>
      </w:r>
    </w:p>
    <w:p w:rsidR="00400AFE" w:rsidP="00400AFE" w:rsidRDefault="00400AFE" w14:paraId="0866184B" w14:textId="02215E2A">
      <w:r>
        <w:t xml:space="preserve">De vaste commissie voor Infrastructuur en Waterstaat, belast met het voorbereidend  onderzoek van dit voorstel van wet, heeft de eer verslag uit te brengen in de vorm van een lijst van vragen. </w:t>
      </w:r>
    </w:p>
    <w:p w:rsidR="00400AFE" w:rsidP="00400AFE" w:rsidRDefault="00400AFE" w14:paraId="5FA0BB49" w14:textId="0BE983A5">
      <w:pPr>
        <w:spacing w:after="0"/>
      </w:pPr>
      <w:r>
        <w:t>De v</w:t>
      </w:r>
      <w:r>
        <w:t xml:space="preserve">oorzitter van de commissie, </w:t>
      </w:r>
    </w:p>
    <w:p w:rsidR="00400AFE" w:rsidP="00400AFE" w:rsidRDefault="00400AFE" w14:paraId="343DB83C" w14:textId="0622A9D1">
      <w:pPr>
        <w:spacing w:after="0"/>
      </w:pPr>
      <w:r>
        <w:t>Peter de Groot</w:t>
      </w:r>
    </w:p>
    <w:p w:rsidR="00400AFE" w:rsidP="00400AFE" w:rsidRDefault="00400AFE" w14:paraId="3ED1B209" w14:textId="77777777">
      <w:pPr>
        <w:spacing w:after="0"/>
      </w:pPr>
      <w:r>
        <w:tab/>
      </w:r>
      <w:r>
        <w:tab/>
      </w:r>
    </w:p>
    <w:p w:rsidR="00400AFE" w:rsidP="00400AFE" w:rsidRDefault="00400AFE" w14:paraId="0DA7CDC0" w14:textId="72F5C24C">
      <w:pPr>
        <w:spacing w:after="0"/>
      </w:pPr>
      <w:r>
        <w:t>De g</w:t>
      </w:r>
      <w:r>
        <w:t>riffier van de commissie,</w:t>
      </w:r>
    </w:p>
    <w:p w:rsidR="00400AFE" w:rsidP="00400AFE" w:rsidRDefault="00400AFE" w14:paraId="798D075A" w14:textId="02A1699F">
      <w:pPr>
        <w:spacing w:after="0"/>
      </w:pPr>
      <w:r>
        <w:t>Schukkink</w:t>
      </w:r>
    </w:p>
    <w:p w:rsidR="00400AFE" w:rsidP="00400AFE" w:rsidRDefault="00400AFE" w14:paraId="32600846"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Pr="007D6FB1" w:rsidR="00400AFE" w:rsidTr="00400AFE" w14:paraId="67846E7A" w14:textId="77777777">
        <w:trPr>
          <w:cantSplit/>
          <w:tblHeader/>
        </w:trPr>
        <w:tc>
          <w:tcPr>
            <w:tcW w:w="567" w:type="dxa"/>
          </w:tcPr>
          <w:p w:rsidRPr="007D6FB1" w:rsidR="00400AFE" w:rsidP="00CA5BE3" w:rsidRDefault="00400AFE" w14:paraId="292A3395" w14:textId="77777777">
            <w:pPr>
              <w:rPr>
                <w:b/>
                <w:bCs/>
              </w:rPr>
            </w:pPr>
            <w:bookmarkStart w:name="bmkStartTabel" w:id="0"/>
            <w:bookmarkEnd w:id="0"/>
            <w:proofErr w:type="spellStart"/>
            <w:r w:rsidRPr="007D6FB1">
              <w:rPr>
                <w:b/>
                <w:bCs/>
              </w:rPr>
              <w:t>Nr</w:t>
            </w:r>
            <w:proofErr w:type="spellEnd"/>
          </w:p>
        </w:tc>
        <w:tc>
          <w:tcPr>
            <w:tcW w:w="6521" w:type="dxa"/>
          </w:tcPr>
          <w:p w:rsidRPr="007D6FB1" w:rsidR="00400AFE" w:rsidP="00CA5BE3" w:rsidRDefault="00400AFE" w14:paraId="53099FEA" w14:textId="77777777">
            <w:pPr>
              <w:rPr>
                <w:b/>
                <w:bCs/>
              </w:rPr>
            </w:pPr>
            <w:r w:rsidRPr="007D6FB1">
              <w:rPr>
                <w:b/>
                <w:bCs/>
              </w:rPr>
              <w:t>Vraag</w:t>
            </w:r>
          </w:p>
        </w:tc>
      </w:tr>
      <w:tr w:rsidR="00400AFE" w:rsidTr="00400AFE" w14:paraId="564EF992" w14:textId="77777777">
        <w:tc>
          <w:tcPr>
            <w:tcW w:w="567" w:type="dxa"/>
          </w:tcPr>
          <w:p w:rsidR="00400AFE" w:rsidP="00CA5BE3" w:rsidRDefault="00400AFE" w14:paraId="5E8F2DE3" w14:textId="77777777">
            <w:r>
              <w:t>1</w:t>
            </w:r>
          </w:p>
        </w:tc>
        <w:tc>
          <w:tcPr>
            <w:tcW w:w="6521" w:type="dxa"/>
          </w:tcPr>
          <w:p w:rsidR="00400AFE" w:rsidP="00CA5BE3" w:rsidRDefault="00400AFE" w14:paraId="35E04910" w14:textId="77777777">
            <w:r>
              <w:t>Kunt u aangeven wat het totale bedrag aan verplichtingen, uitgaven en ontvangsten is in de vastgestelde begroting van het Deltafonds 2025, en hoe dit zich heeft ontwikkeld in de september-suppletoire begroting?</w:t>
            </w:r>
          </w:p>
        </w:tc>
      </w:tr>
      <w:tr w:rsidR="00400AFE" w:rsidTr="00400AFE" w14:paraId="31582E06" w14:textId="77777777">
        <w:tc>
          <w:tcPr>
            <w:tcW w:w="567" w:type="dxa"/>
          </w:tcPr>
          <w:p w:rsidR="00400AFE" w:rsidP="00CA5BE3" w:rsidRDefault="00400AFE" w14:paraId="2EC934D3" w14:textId="77777777">
            <w:r>
              <w:t>2</w:t>
            </w:r>
          </w:p>
        </w:tc>
        <w:tc>
          <w:tcPr>
            <w:tcW w:w="6521" w:type="dxa"/>
          </w:tcPr>
          <w:p w:rsidR="00400AFE" w:rsidP="00CA5BE3" w:rsidRDefault="00400AFE" w14:paraId="77FC53DF" w14:textId="77777777">
            <w:r>
              <w:t>Hoeveel bedragen de verplichtingen en uitgaven bij artikel 1 Investeren in waterveiligheid na verwerking van de mutaties in de september-suppletoire?</w:t>
            </w:r>
          </w:p>
        </w:tc>
      </w:tr>
      <w:tr w:rsidR="00400AFE" w:rsidTr="00400AFE" w14:paraId="6078C141" w14:textId="77777777">
        <w:tc>
          <w:tcPr>
            <w:tcW w:w="567" w:type="dxa"/>
          </w:tcPr>
          <w:p w:rsidR="00400AFE" w:rsidP="00CA5BE3" w:rsidRDefault="00400AFE" w14:paraId="1EEA5FB1" w14:textId="77777777">
            <w:r>
              <w:t>3</w:t>
            </w:r>
          </w:p>
        </w:tc>
        <w:tc>
          <w:tcPr>
            <w:tcW w:w="6521" w:type="dxa"/>
          </w:tcPr>
          <w:p w:rsidR="00400AFE" w:rsidP="00CA5BE3" w:rsidRDefault="00400AFE" w14:paraId="2065D608" w14:textId="77777777">
            <w:r>
              <w:t>Welke mutaties zijn er in artikel 7 Investeren in waterkwaliteit doorgevoerd, en wat is de stand van de uitgaven en ontvangsten in de september-suppletoire begroting?</w:t>
            </w:r>
          </w:p>
        </w:tc>
      </w:tr>
      <w:tr w:rsidR="00400AFE" w:rsidTr="00400AFE" w14:paraId="406E2260" w14:textId="77777777">
        <w:tc>
          <w:tcPr>
            <w:tcW w:w="567" w:type="dxa"/>
          </w:tcPr>
          <w:p w:rsidR="00400AFE" w:rsidP="00CA5BE3" w:rsidRDefault="00400AFE" w14:paraId="139AC47D" w14:textId="77777777">
            <w:r>
              <w:t>4</w:t>
            </w:r>
          </w:p>
        </w:tc>
        <w:tc>
          <w:tcPr>
            <w:tcW w:w="6521" w:type="dxa"/>
          </w:tcPr>
          <w:p w:rsidR="00400AFE" w:rsidP="00CA5BE3" w:rsidRDefault="00400AFE" w14:paraId="3370BC23" w14:textId="77777777">
            <w:r>
              <w:t>Kunt u toelichten wat de argumenten zijn voor het laten vervallen van artikel 6 en wat de gevolgen zijn voor de transparantie van het Deltafonds?</w:t>
            </w:r>
          </w:p>
        </w:tc>
      </w:tr>
      <w:tr w:rsidR="00400AFE" w:rsidTr="00400AFE" w14:paraId="4975FA70" w14:textId="77777777">
        <w:tc>
          <w:tcPr>
            <w:tcW w:w="567" w:type="dxa"/>
          </w:tcPr>
          <w:p w:rsidR="00400AFE" w:rsidP="00CA5BE3" w:rsidRDefault="00400AFE" w14:paraId="5C299FA1" w14:textId="77777777">
            <w:r>
              <w:t>5</w:t>
            </w:r>
          </w:p>
        </w:tc>
        <w:tc>
          <w:tcPr>
            <w:tcW w:w="6521" w:type="dxa"/>
          </w:tcPr>
          <w:p w:rsidR="00400AFE" w:rsidP="00CA5BE3" w:rsidRDefault="00400AFE" w14:paraId="43DDCCC3" w14:textId="77777777">
            <w:r>
              <w:t>Wat is de achtergrond van de budgetoverheveling van 17,5 miljoen euro voor de afkoopsom van de Roggebotbrug naar de provincie Flevoland?</w:t>
            </w:r>
          </w:p>
        </w:tc>
      </w:tr>
      <w:tr w:rsidR="00400AFE" w:rsidTr="00400AFE" w14:paraId="24A7CDDE" w14:textId="77777777">
        <w:tc>
          <w:tcPr>
            <w:tcW w:w="567" w:type="dxa"/>
          </w:tcPr>
          <w:p w:rsidR="00400AFE" w:rsidP="00CA5BE3" w:rsidRDefault="00400AFE" w14:paraId="4E15823D" w14:textId="77777777">
            <w:r>
              <w:t>6</w:t>
            </w:r>
          </w:p>
        </w:tc>
        <w:tc>
          <w:tcPr>
            <w:tcW w:w="6521" w:type="dxa"/>
          </w:tcPr>
          <w:p w:rsidR="00400AFE" w:rsidP="00CA5BE3" w:rsidRDefault="00400AFE" w14:paraId="2A32390D" w14:textId="77777777">
            <w:r>
              <w:t>Hoeveel bedragen de kasschuiven binnen het Deltafonds voor artikel 1.02 Ontwikkeling waterveiligheid, en op welke projecten hebben deze betrekking?</w:t>
            </w:r>
          </w:p>
        </w:tc>
      </w:tr>
      <w:tr w:rsidR="00400AFE" w:rsidTr="00400AFE" w14:paraId="17BFF4B5" w14:textId="77777777">
        <w:tc>
          <w:tcPr>
            <w:tcW w:w="567" w:type="dxa"/>
          </w:tcPr>
          <w:p w:rsidR="00400AFE" w:rsidP="00CA5BE3" w:rsidRDefault="00400AFE" w14:paraId="549175B2" w14:textId="77777777">
            <w:r>
              <w:t>7</w:t>
            </w:r>
          </w:p>
        </w:tc>
        <w:tc>
          <w:tcPr>
            <w:tcW w:w="6521" w:type="dxa"/>
          </w:tcPr>
          <w:p w:rsidR="00400AFE" w:rsidP="00CA5BE3" w:rsidRDefault="00400AFE" w14:paraId="6B5D0268" w14:textId="77777777">
            <w:r>
              <w:t>Welke posten zijn geschrapt bij artikel 1.03 Studiekosten (-6,9 miljoen euro), en in hoeverre heeft dit effect op het Deltaprogramma ruimtelijke adaptatie?</w:t>
            </w:r>
          </w:p>
        </w:tc>
      </w:tr>
      <w:tr w:rsidR="00400AFE" w:rsidTr="00400AFE" w14:paraId="6EFF3BD4" w14:textId="77777777">
        <w:tc>
          <w:tcPr>
            <w:tcW w:w="567" w:type="dxa"/>
          </w:tcPr>
          <w:p w:rsidR="00400AFE" w:rsidP="00CA5BE3" w:rsidRDefault="00400AFE" w14:paraId="3A1B7E46" w14:textId="77777777">
            <w:r>
              <w:t>8</w:t>
            </w:r>
          </w:p>
        </w:tc>
        <w:tc>
          <w:tcPr>
            <w:tcW w:w="6521" w:type="dxa"/>
          </w:tcPr>
          <w:p w:rsidR="00400AFE" w:rsidP="00CA5BE3" w:rsidRDefault="00400AFE" w14:paraId="4BC817F3" w14:textId="77777777">
            <w:r>
              <w:t>Hoe zijn de ontvangsten van de waterschappen voor het Hoogwaterbeschermingsprogramma met 22,1 miljoen euro geïndexeerd?</w:t>
            </w:r>
          </w:p>
        </w:tc>
      </w:tr>
      <w:tr w:rsidR="00400AFE" w:rsidTr="00400AFE" w14:paraId="40DAF312" w14:textId="77777777">
        <w:tc>
          <w:tcPr>
            <w:tcW w:w="567" w:type="dxa"/>
          </w:tcPr>
          <w:p w:rsidR="00400AFE" w:rsidP="00CA5BE3" w:rsidRDefault="00400AFE" w14:paraId="50A72B87" w14:textId="77777777">
            <w:r>
              <w:t>9</w:t>
            </w:r>
          </w:p>
        </w:tc>
        <w:tc>
          <w:tcPr>
            <w:tcW w:w="6521" w:type="dxa"/>
          </w:tcPr>
          <w:p w:rsidR="00400AFE" w:rsidP="00CA5BE3" w:rsidRDefault="00400AFE" w14:paraId="383DA918" w14:textId="77777777">
            <w:r>
              <w:t>Hoe zijn de uitgaven voor artikel 2.02 Aanleg zoetwatervoorziening (+0,6 miljoen euro) precies opgebouwd?</w:t>
            </w:r>
          </w:p>
        </w:tc>
      </w:tr>
      <w:tr w:rsidR="00400AFE" w:rsidTr="00400AFE" w14:paraId="4F026784" w14:textId="77777777">
        <w:tc>
          <w:tcPr>
            <w:tcW w:w="567" w:type="dxa"/>
          </w:tcPr>
          <w:p w:rsidR="00400AFE" w:rsidP="00CA5BE3" w:rsidRDefault="00400AFE" w14:paraId="2AABD2B5" w14:textId="77777777">
            <w:r>
              <w:t>10</w:t>
            </w:r>
          </w:p>
        </w:tc>
        <w:tc>
          <w:tcPr>
            <w:tcW w:w="6521" w:type="dxa"/>
          </w:tcPr>
          <w:p w:rsidR="00400AFE" w:rsidP="00CA5BE3" w:rsidRDefault="00400AFE" w14:paraId="1CBF2314" w14:textId="77777777">
            <w:r>
              <w:t>Hoeveel bedraagt de verhoging van het verplichtingenbudget voor artikel 3, en op welke onderdelen is dit toegerekend?</w:t>
            </w:r>
          </w:p>
        </w:tc>
      </w:tr>
      <w:tr w:rsidR="00400AFE" w:rsidTr="00400AFE" w14:paraId="42C87E54" w14:textId="77777777">
        <w:tc>
          <w:tcPr>
            <w:tcW w:w="567" w:type="dxa"/>
          </w:tcPr>
          <w:p w:rsidR="00400AFE" w:rsidP="00CA5BE3" w:rsidRDefault="00400AFE" w14:paraId="2A4A2538" w14:textId="77777777">
            <w:r>
              <w:lastRenderedPageBreak/>
              <w:t>11</w:t>
            </w:r>
          </w:p>
        </w:tc>
        <w:tc>
          <w:tcPr>
            <w:tcW w:w="6521" w:type="dxa"/>
          </w:tcPr>
          <w:p w:rsidR="00400AFE" w:rsidP="00CA5BE3" w:rsidRDefault="00400AFE" w14:paraId="7982AF41" w14:textId="77777777">
            <w:r>
              <w:t>Waarom is artikelonderdeel 5.03 Investeringsruimte verlaagd met 17,2 miljoen euro, en hoe hangt dit samen met de reservering voor de Roggebotbrug?</w:t>
            </w:r>
          </w:p>
        </w:tc>
      </w:tr>
      <w:tr w:rsidR="00400AFE" w:rsidTr="00400AFE" w14:paraId="1BFF00EC" w14:textId="77777777">
        <w:tc>
          <w:tcPr>
            <w:tcW w:w="567" w:type="dxa"/>
          </w:tcPr>
          <w:p w:rsidR="00400AFE" w:rsidP="00CA5BE3" w:rsidRDefault="00400AFE" w14:paraId="20A33AA1" w14:textId="77777777">
            <w:r>
              <w:t>12</w:t>
            </w:r>
          </w:p>
        </w:tc>
        <w:tc>
          <w:tcPr>
            <w:tcW w:w="6521" w:type="dxa"/>
          </w:tcPr>
          <w:p w:rsidR="00400AFE" w:rsidP="00CA5BE3" w:rsidRDefault="00400AFE" w14:paraId="310CEB5C" w14:textId="77777777">
            <w:r>
              <w:t>Wat is de achtergrond van de verplichtingenschuif van -13,1 miljoen euro binnen artikel 7, en hoe verhoudt dit zich tot de uitvoeringsplanning van Grevelingen, Programma Grote Wateren en de regeling medicijnenresten?</w:t>
            </w:r>
          </w:p>
        </w:tc>
      </w:tr>
      <w:tr w:rsidR="00400AFE" w:rsidTr="00400AFE" w14:paraId="23B65D7F" w14:textId="77777777">
        <w:tc>
          <w:tcPr>
            <w:tcW w:w="567" w:type="dxa"/>
          </w:tcPr>
          <w:p w:rsidR="00400AFE" w:rsidP="00CA5BE3" w:rsidRDefault="00400AFE" w14:paraId="20D31003" w14:textId="77777777">
            <w:r>
              <w:t>13</w:t>
            </w:r>
          </w:p>
        </w:tc>
        <w:tc>
          <w:tcPr>
            <w:tcW w:w="6521" w:type="dxa"/>
          </w:tcPr>
          <w:p w:rsidR="00400AFE" w:rsidP="00CA5BE3" w:rsidRDefault="00400AFE" w14:paraId="5C1A185B" w14:textId="77777777">
            <w:r>
              <w:t>Waarom is 1,3 miljoen overgeboekt naar VWS (</w:t>
            </w:r>
            <w:proofErr w:type="spellStart"/>
            <w:r>
              <w:t>ZonMw</w:t>
            </w:r>
            <w:proofErr w:type="spellEnd"/>
            <w:r>
              <w:t>) vanuit artikel 7, en voor welke activiteiten wordt dit bedrag ingezet?</w:t>
            </w:r>
          </w:p>
        </w:tc>
      </w:tr>
      <w:tr w:rsidR="00400AFE" w:rsidTr="00400AFE" w14:paraId="64E2DD27" w14:textId="77777777">
        <w:tc>
          <w:tcPr>
            <w:tcW w:w="567" w:type="dxa"/>
          </w:tcPr>
          <w:p w:rsidR="00400AFE" w:rsidP="00CA5BE3" w:rsidRDefault="00400AFE" w14:paraId="262D940D" w14:textId="77777777">
            <w:r>
              <w:t>14</w:t>
            </w:r>
          </w:p>
        </w:tc>
        <w:tc>
          <w:tcPr>
            <w:tcW w:w="6521" w:type="dxa"/>
          </w:tcPr>
          <w:p w:rsidR="00400AFE" w:rsidP="00CA5BE3" w:rsidRDefault="00400AFE" w14:paraId="3D957211" w14:textId="77777777">
            <w:r>
              <w:t>Wat is de reden voor de kasschuif van -29,6 miljoen euro op artikel 7.02 Ontwikkeling waterkwaliteit?</w:t>
            </w:r>
          </w:p>
        </w:tc>
      </w:tr>
    </w:tbl>
    <w:p w:rsidR="00400AFE" w:rsidP="00400AFE" w:rsidRDefault="00400AFE" w14:paraId="6E4B0B44" w14:textId="77777777"/>
    <w:p w:rsidR="00EC711E" w:rsidRDefault="00EC711E" w14:paraId="4FFC1156" w14:textId="77777777"/>
    <w:sectPr w:rsidR="00EC711E" w:rsidSect="00400AF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C3A1" w14:textId="77777777" w:rsidR="00400AFE" w:rsidRDefault="00400AFE" w:rsidP="00400AFE">
      <w:pPr>
        <w:spacing w:after="0" w:line="240" w:lineRule="auto"/>
      </w:pPr>
      <w:r>
        <w:separator/>
      </w:r>
    </w:p>
  </w:endnote>
  <w:endnote w:type="continuationSeparator" w:id="0">
    <w:p w14:paraId="20240876" w14:textId="77777777" w:rsidR="00400AFE" w:rsidRDefault="00400AFE" w:rsidP="0040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9FC1" w14:textId="77777777" w:rsidR="00400AFE" w:rsidRPr="00400AFE" w:rsidRDefault="00400AFE" w:rsidP="00400A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67DB" w14:textId="77777777" w:rsidR="00400AFE" w:rsidRPr="00400AFE" w:rsidRDefault="00400AFE" w:rsidP="00400A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E61E" w14:textId="77777777" w:rsidR="00400AFE" w:rsidRPr="00400AFE" w:rsidRDefault="00400AFE" w:rsidP="00400A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A97E" w14:textId="77777777" w:rsidR="00400AFE" w:rsidRDefault="00400AFE" w:rsidP="00400AFE">
      <w:pPr>
        <w:spacing w:after="0" w:line="240" w:lineRule="auto"/>
      </w:pPr>
      <w:r>
        <w:separator/>
      </w:r>
    </w:p>
  </w:footnote>
  <w:footnote w:type="continuationSeparator" w:id="0">
    <w:p w14:paraId="7CD73C1F" w14:textId="77777777" w:rsidR="00400AFE" w:rsidRDefault="00400AFE" w:rsidP="00400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4407" w14:textId="77777777" w:rsidR="00400AFE" w:rsidRPr="00400AFE" w:rsidRDefault="00400AFE" w:rsidP="00400A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7EB5" w14:textId="77777777" w:rsidR="00400AFE" w:rsidRPr="00400AFE" w:rsidRDefault="00400AFE" w:rsidP="00400A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7C38" w14:textId="77777777" w:rsidR="00400AFE" w:rsidRPr="00400AFE" w:rsidRDefault="00400AFE" w:rsidP="00400A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FE"/>
    <w:rsid w:val="003100AD"/>
    <w:rsid w:val="00400AFE"/>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43A6"/>
  <w15:chartTrackingRefBased/>
  <w15:docId w15:val="{D814A270-0CF0-4CE9-BBB8-353F9B16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0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0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0A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0A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0A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0A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0A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0A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0A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0A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0A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0A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0A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0A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0A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0A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0A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0AFE"/>
    <w:rPr>
      <w:rFonts w:eastAsiaTheme="majorEastAsia" w:cstheme="majorBidi"/>
      <w:color w:val="272727" w:themeColor="text1" w:themeTint="D8"/>
    </w:rPr>
  </w:style>
  <w:style w:type="paragraph" w:styleId="Titel">
    <w:name w:val="Title"/>
    <w:basedOn w:val="Standaard"/>
    <w:next w:val="Standaard"/>
    <w:link w:val="TitelChar"/>
    <w:uiPriority w:val="10"/>
    <w:qFormat/>
    <w:rsid w:val="00400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A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0A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0A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0A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0AFE"/>
    <w:rPr>
      <w:i/>
      <w:iCs/>
      <w:color w:val="404040" w:themeColor="text1" w:themeTint="BF"/>
    </w:rPr>
  </w:style>
  <w:style w:type="paragraph" w:styleId="Lijstalinea">
    <w:name w:val="List Paragraph"/>
    <w:basedOn w:val="Standaard"/>
    <w:uiPriority w:val="34"/>
    <w:qFormat/>
    <w:rsid w:val="00400AFE"/>
    <w:pPr>
      <w:ind w:left="720"/>
      <w:contextualSpacing/>
    </w:pPr>
  </w:style>
  <w:style w:type="character" w:styleId="Intensievebenadrukking">
    <w:name w:val="Intense Emphasis"/>
    <w:basedOn w:val="Standaardalinea-lettertype"/>
    <w:uiPriority w:val="21"/>
    <w:qFormat/>
    <w:rsid w:val="00400AFE"/>
    <w:rPr>
      <w:i/>
      <w:iCs/>
      <w:color w:val="0F4761" w:themeColor="accent1" w:themeShade="BF"/>
    </w:rPr>
  </w:style>
  <w:style w:type="paragraph" w:styleId="Duidelijkcitaat">
    <w:name w:val="Intense Quote"/>
    <w:basedOn w:val="Standaard"/>
    <w:next w:val="Standaard"/>
    <w:link w:val="DuidelijkcitaatChar"/>
    <w:uiPriority w:val="30"/>
    <w:qFormat/>
    <w:rsid w:val="00400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0AFE"/>
    <w:rPr>
      <w:i/>
      <w:iCs/>
      <w:color w:val="0F4761" w:themeColor="accent1" w:themeShade="BF"/>
    </w:rPr>
  </w:style>
  <w:style w:type="character" w:styleId="Intensieveverwijzing">
    <w:name w:val="Intense Reference"/>
    <w:basedOn w:val="Standaardalinea-lettertype"/>
    <w:uiPriority w:val="32"/>
    <w:qFormat/>
    <w:rsid w:val="00400AFE"/>
    <w:rPr>
      <w:b/>
      <w:bCs/>
      <w:smallCaps/>
      <w:color w:val="0F4761" w:themeColor="accent1" w:themeShade="BF"/>
      <w:spacing w:val="5"/>
    </w:rPr>
  </w:style>
  <w:style w:type="paragraph" w:styleId="Voettekst">
    <w:name w:val="footer"/>
    <w:basedOn w:val="Standaard"/>
    <w:link w:val="VoettekstChar"/>
    <w:uiPriority w:val="99"/>
    <w:unhideWhenUsed/>
    <w:rsid w:val="00400AF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400AFE"/>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400A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373</ap:Words>
  <ap:Characters>2057</ap:Characters>
  <ap:DocSecurity>0</ap:DocSecurity>
  <ap:Lines>17</ap:Lines>
  <ap:Paragraphs>4</ap:Paragraphs>
  <ap:ScaleCrop>false</ap:ScaleCrop>
  <ap:LinksUpToDate>false</ap:LinksUpToDate>
  <ap:CharactersWithSpaces>2426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2025-10-01T15:03:00.0000000Z</dcterms:created>
  <dcterms:modified xsi:type="dcterms:W3CDTF">2025-10-01T15:04:00.0000000Z</dcterms:modified>
  <version/>
  <category/>
</coreProperties>
</file>