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003" w:rsidP="002A3003" w:rsidRDefault="002A3003" w14:paraId="1946DE2E" w14:textId="77777777">
      <w:pPr>
        <w:rPr>
          <w:b/>
        </w:rPr>
      </w:pPr>
      <w:r>
        <w:rPr>
          <w:b/>
        </w:rPr>
        <w:t>Verslag houdende een lijst van vragen</w:t>
      </w:r>
    </w:p>
    <w:p w:rsidR="002A3003" w:rsidP="002A3003" w:rsidRDefault="002A3003" w14:paraId="25AB905B" w14:textId="58AF32CF">
      <w:r>
        <w:t xml:space="preserve">De vaste commissie voor Infrastructuur en Waterstaat, belast met het voorbereidend  onderzoek van dit voorstel van wet, heeft de eer verslag uit te brengen in de vorm van een lijst van vragen. </w:t>
      </w:r>
    </w:p>
    <w:p w:rsidR="002A3003" w:rsidP="002A3003" w:rsidRDefault="002A3003" w14:paraId="41CDA6AF" w14:textId="77777777">
      <w:pPr>
        <w:spacing w:after="0"/>
      </w:pPr>
    </w:p>
    <w:p w:rsidR="002A3003" w:rsidP="002A3003" w:rsidRDefault="002A3003" w14:paraId="09806730" w14:textId="5D145ED8">
      <w:pPr>
        <w:spacing w:after="0"/>
      </w:pPr>
      <w:r>
        <w:t>De v</w:t>
      </w:r>
      <w:r>
        <w:t xml:space="preserve">oorzitter van de commissie, </w:t>
      </w:r>
    </w:p>
    <w:p w:rsidR="002A3003" w:rsidP="002A3003" w:rsidRDefault="002A3003" w14:paraId="1E034739" w14:textId="75DA1916">
      <w:pPr>
        <w:spacing w:after="0"/>
      </w:pPr>
      <w:r>
        <w:t>Peter de Groot</w:t>
      </w:r>
    </w:p>
    <w:p w:rsidR="002A3003" w:rsidP="002A3003" w:rsidRDefault="002A3003" w14:paraId="7ED024AE" w14:textId="77777777">
      <w:pPr>
        <w:spacing w:after="0"/>
      </w:pPr>
      <w:r>
        <w:tab/>
      </w:r>
      <w:r>
        <w:tab/>
      </w:r>
    </w:p>
    <w:p w:rsidR="002A3003" w:rsidP="002A3003" w:rsidRDefault="002A3003" w14:paraId="121C1249" w14:textId="5A486B08">
      <w:pPr>
        <w:spacing w:after="0"/>
      </w:pPr>
      <w:r>
        <w:t>De g</w:t>
      </w:r>
      <w:r>
        <w:t>riffier van de commissie,</w:t>
      </w:r>
    </w:p>
    <w:p w:rsidR="002A3003" w:rsidP="002A3003" w:rsidRDefault="002A3003" w14:paraId="59F643B9" w14:textId="3473A9B9">
      <w:pPr>
        <w:spacing w:after="0"/>
      </w:pPr>
      <w:r>
        <w:t>Schukkink</w:t>
      </w:r>
    </w:p>
    <w:p w:rsidR="002A3003" w:rsidP="002A3003" w:rsidRDefault="002A3003" w14:paraId="5790FBCE"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52391A" w:rsidR="002A3003" w:rsidTr="002A3003" w14:paraId="182E2882" w14:textId="77777777">
        <w:trPr>
          <w:cantSplit/>
          <w:tblHeader/>
        </w:trPr>
        <w:tc>
          <w:tcPr>
            <w:tcW w:w="567" w:type="dxa"/>
          </w:tcPr>
          <w:p w:rsidRPr="0052391A" w:rsidR="002A3003" w:rsidP="002753DA" w:rsidRDefault="002A3003" w14:paraId="7018E161" w14:textId="77777777">
            <w:pPr>
              <w:rPr>
                <w:b/>
                <w:bCs/>
              </w:rPr>
            </w:pPr>
            <w:bookmarkStart w:name="bmkStartTabel" w:id="0"/>
            <w:bookmarkEnd w:id="0"/>
            <w:proofErr w:type="spellStart"/>
            <w:r w:rsidRPr="0052391A">
              <w:rPr>
                <w:b/>
                <w:bCs/>
              </w:rPr>
              <w:t>Nr</w:t>
            </w:r>
            <w:proofErr w:type="spellEnd"/>
          </w:p>
        </w:tc>
        <w:tc>
          <w:tcPr>
            <w:tcW w:w="6521" w:type="dxa"/>
          </w:tcPr>
          <w:p w:rsidRPr="0052391A" w:rsidR="002A3003" w:rsidP="002753DA" w:rsidRDefault="002A3003" w14:paraId="058B3463" w14:textId="77777777">
            <w:pPr>
              <w:rPr>
                <w:b/>
                <w:bCs/>
              </w:rPr>
            </w:pPr>
            <w:r w:rsidRPr="0052391A">
              <w:rPr>
                <w:b/>
                <w:bCs/>
              </w:rPr>
              <w:t>Vraag</w:t>
            </w:r>
          </w:p>
        </w:tc>
      </w:tr>
      <w:tr w:rsidR="002A3003" w:rsidTr="002A3003" w14:paraId="4C2E00CF" w14:textId="77777777">
        <w:tc>
          <w:tcPr>
            <w:tcW w:w="567" w:type="dxa"/>
          </w:tcPr>
          <w:p w:rsidR="002A3003" w:rsidP="002753DA" w:rsidRDefault="002A3003" w14:paraId="3DD4B9C6" w14:textId="77777777">
            <w:r>
              <w:t>1</w:t>
            </w:r>
          </w:p>
        </w:tc>
        <w:tc>
          <w:tcPr>
            <w:tcW w:w="6521" w:type="dxa"/>
          </w:tcPr>
          <w:p w:rsidR="002A3003" w:rsidP="002753DA" w:rsidRDefault="002A3003" w14:paraId="24E7C3C3" w14:textId="77777777">
            <w:r>
              <w:t>Welke natuurorganisaties of ngo’s ontvangen geld via deze begroting, en om welke bedragen gaat het en waarvoor is het bedoeld?</w:t>
            </w:r>
          </w:p>
        </w:tc>
      </w:tr>
      <w:tr w:rsidR="002A3003" w:rsidTr="002A3003" w14:paraId="0E01B461" w14:textId="77777777">
        <w:tc>
          <w:tcPr>
            <w:tcW w:w="567" w:type="dxa"/>
          </w:tcPr>
          <w:p w:rsidR="002A3003" w:rsidP="002753DA" w:rsidRDefault="002A3003" w14:paraId="1BE1E629" w14:textId="77777777">
            <w:r>
              <w:t>2</w:t>
            </w:r>
          </w:p>
        </w:tc>
        <w:tc>
          <w:tcPr>
            <w:tcW w:w="6521" w:type="dxa"/>
          </w:tcPr>
          <w:p w:rsidR="002A3003" w:rsidP="002753DA" w:rsidRDefault="002A3003" w14:paraId="44476805" w14:textId="77777777">
            <w:r>
              <w:t>Wordt er geld besteed aan het programma Natuurherstel Noordzee? Zo ja, hoeveel geld gaat er naar dit programma per jaar?</w:t>
            </w:r>
          </w:p>
        </w:tc>
      </w:tr>
      <w:tr w:rsidR="002A3003" w:rsidTr="002A3003" w14:paraId="54652AC2" w14:textId="77777777">
        <w:tc>
          <w:tcPr>
            <w:tcW w:w="567" w:type="dxa"/>
          </w:tcPr>
          <w:p w:rsidR="002A3003" w:rsidP="002753DA" w:rsidRDefault="002A3003" w14:paraId="7271B731" w14:textId="77777777">
            <w:r>
              <w:t>3</w:t>
            </w:r>
          </w:p>
        </w:tc>
        <w:tc>
          <w:tcPr>
            <w:tcW w:w="6521" w:type="dxa"/>
          </w:tcPr>
          <w:p w:rsidR="002A3003" w:rsidP="002753DA" w:rsidRDefault="002A3003" w14:paraId="0F8DB75C" w14:textId="77777777">
            <w:r>
              <w:t>Wordt er in de begroting geld uitgetrokken voor oesterherstelprojecten? Zo ja, hoeveel geld gaat er naar dit programma per jaar?</w:t>
            </w:r>
          </w:p>
        </w:tc>
      </w:tr>
      <w:tr w:rsidR="002A3003" w:rsidTr="002A3003" w14:paraId="16475D37" w14:textId="77777777">
        <w:tc>
          <w:tcPr>
            <w:tcW w:w="567" w:type="dxa"/>
          </w:tcPr>
          <w:p w:rsidR="002A3003" w:rsidP="002753DA" w:rsidRDefault="002A3003" w14:paraId="48264732" w14:textId="77777777">
            <w:r>
              <w:t>4</w:t>
            </w:r>
          </w:p>
        </w:tc>
        <w:tc>
          <w:tcPr>
            <w:tcW w:w="6521" w:type="dxa"/>
          </w:tcPr>
          <w:p w:rsidR="002A3003" w:rsidP="002753DA" w:rsidRDefault="002A3003" w14:paraId="7F861729" w14:textId="77777777">
            <w:r>
              <w:t>Hoeveel geld gaat er in totaal naar natuurherstel in water (Noordzee, rivieren, grote wateren) en hoeveel daarvan is een nationale kop bovenop de Europese verplichting?</w:t>
            </w:r>
          </w:p>
        </w:tc>
      </w:tr>
      <w:tr w:rsidR="002A3003" w:rsidTr="002A3003" w14:paraId="1434ACED" w14:textId="77777777">
        <w:tc>
          <w:tcPr>
            <w:tcW w:w="567" w:type="dxa"/>
          </w:tcPr>
          <w:p w:rsidR="002A3003" w:rsidP="002753DA" w:rsidRDefault="002A3003" w14:paraId="4ACFCDCA" w14:textId="77777777">
            <w:r>
              <w:t>5</w:t>
            </w:r>
          </w:p>
        </w:tc>
        <w:tc>
          <w:tcPr>
            <w:tcW w:w="6521" w:type="dxa"/>
          </w:tcPr>
          <w:p w:rsidR="002A3003" w:rsidP="002753DA" w:rsidRDefault="002A3003" w14:paraId="21168AD0" w14:textId="77777777">
            <w:r>
              <w:t>Kunt u aangeven wat het totale bedrag aan verplichtingen, uitgaven en ontvangsten is in de vastgestelde begroting van het ministerie van Infrastructuur en Waterstaat voor 2025?</w:t>
            </w:r>
          </w:p>
        </w:tc>
      </w:tr>
      <w:tr w:rsidR="002A3003" w:rsidTr="002A3003" w14:paraId="404278C7" w14:textId="77777777">
        <w:tc>
          <w:tcPr>
            <w:tcW w:w="567" w:type="dxa"/>
          </w:tcPr>
          <w:p w:rsidR="002A3003" w:rsidP="002753DA" w:rsidRDefault="002A3003" w14:paraId="43DAC974" w14:textId="77777777">
            <w:r>
              <w:t>6</w:t>
            </w:r>
          </w:p>
        </w:tc>
        <w:tc>
          <w:tcPr>
            <w:tcW w:w="6521" w:type="dxa"/>
          </w:tcPr>
          <w:p w:rsidR="002A3003" w:rsidP="002753DA" w:rsidRDefault="002A3003" w14:paraId="3B6F3A50" w14:textId="77777777">
            <w:r>
              <w:t>Wat is het bedrag aan uitgaven dat in de september-suppletoire begroting 2025 is toegevoegd aan artikel 16 Openbaar vervoer en spoor?</w:t>
            </w:r>
          </w:p>
        </w:tc>
      </w:tr>
      <w:tr w:rsidR="002A3003" w:rsidTr="002A3003" w14:paraId="3921413D" w14:textId="77777777">
        <w:tc>
          <w:tcPr>
            <w:tcW w:w="567" w:type="dxa"/>
          </w:tcPr>
          <w:p w:rsidR="002A3003" w:rsidP="002753DA" w:rsidRDefault="002A3003" w14:paraId="51202EB4" w14:textId="77777777">
            <w:r>
              <w:t>7</w:t>
            </w:r>
          </w:p>
        </w:tc>
        <w:tc>
          <w:tcPr>
            <w:tcW w:w="6521" w:type="dxa"/>
          </w:tcPr>
          <w:p w:rsidR="002A3003" w:rsidP="002753DA" w:rsidRDefault="002A3003" w14:paraId="5AAC8302" w14:textId="77777777">
            <w:r>
              <w:t>Kunt u toelichten hoe de mutatie bij artikel 16 Openbaar vervoer en spoor zich verhoudt tot de vergoeding van 50 miljoen euro aan NS voor het op orde houden van de dienstregeling tijdens de coronapandemie?</w:t>
            </w:r>
          </w:p>
        </w:tc>
      </w:tr>
      <w:tr w:rsidR="002A3003" w:rsidTr="002A3003" w14:paraId="460CB99A" w14:textId="77777777">
        <w:tc>
          <w:tcPr>
            <w:tcW w:w="567" w:type="dxa"/>
          </w:tcPr>
          <w:p w:rsidR="002A3003" w:rsidP="002753DA" w:rsidRDefault="002A3003" w14:paraId="4BD0A364" w14:textId="77777777">
            <w:r>
              <w:t>8</w:t>
            </w:r>
          </w:p>
        </w:tc>
        <w:tc>
          <w:tcPr>
            <w:tcW w:w="6521" w:type="dxa"/>
          </w:tcPr>
          <w:p w:rsidR="002A3003" w:rsidP="002753DA" w:rsidRDefault="002A3003" w14:paraId="1E191231" w14:textId="77777777">
            <w:r>
              <w:t>Kunt u uiteenzetten hoe de vergoeding van 50 miljoen euro aan NS zich verhoudt tot de eerdere beschikbaarheidsvergoedingen voor het openbaar vervoer?</w:t>
            </w:r>
          </w:p>
        </w:tc>
      </w:tr>
      <w:tr w:rsidR="002A3003" w:rsidTr="002A3003" w14:paraId="4BC2DE3E" w14:textId="77777777">
        <w:tc>
          <w:tcPr>
            <w:tcW w:w="567" w:type="dxa"/>
          </w:tcPr>
          <w:p w:rsidR="002A3003" w:rsidP="002753DA" w:rsidRDefault="002A3003" w14:paraId="71391C6A" w14:textId="77777777">
            <w:r>
              <w:t>9</w:t>
            </w:r>
          </w:p>
        </w:tc>
        <w:tc>
          <w:tcPr>
            <w:tcW w:w="6521" w:type="dxa"/>
          </w:tcPr>
          <w:p w:rsidR="002A3003" w:rsidP="002753DA" w:rsidRDefault="002A3003" w14:paraId="3703F5AF" w14:textId="77777777">
            <w:r>
              <w:t>Hoeveel bedragen de verplichtingen en uitgaven bij artikel 26 Bijdrage investeringsfondsen na verwerking van de mutaties in de september-suppletoire?</w:t>
            </w:r>
          </w:p>
        </w:tc>
      </w:tr>
      <w:tr w:rsidR="002A3003" w:rsidTr="002A3003" w14:paraId="1C31C1E9" w14:textId="77777777">
        <w:tc>
          <w:tcPr>
            <w:tcW w:w="567" w:type="dxa"/>
          </w:tcPr>
          <w:p w:rsidR="002A3003" w:rsidP="002753DA" w:rsidRDefault="002A3003" w14:paraId="0DD4C81E" w14:textId="77777777">
            <w:r>
              <w:t>10</w:t>
            </w:r>
          </w:p>
        </w:tc>
        <w:tc>
          <w:tcPr>
            <w:tcW w:w="6521" w:type="dxa"/>
          </w:tcPr>
          <w:p w:rsidR="002A3003" w:rsidP="002753DA" w:rsidRDefault="002A3003" w14:paraId="370DE756" w14:textId="77777777">
            <w:r>
              <w:t>Kunt u toelichten welk saldo aan baten en lasten is begroot voor Rijkswaterstaat in de september-suppletoire begroting 2025?</w:t>
            </w:r>
          </w:p>
        </w:tc>
      </w:tr>
      <w:tr w:rsidR="002A3003" w:rsidTr="002A3003" w14:paraId="4C976C09" w14:textId="77777777">
        <w:tc>
          <w:tcPr>
            <w:tcW w:w="567" w:type="dxa"/>
          </w:tcPr>
          <w:p w:rsidR="002A3003" w:rsidP="002753DA" w:rsidRDefault="002A3003" w14:paraId="3BE8D6B2" w14:textId="77777777">
            <w:r>
              <w:lastRenderedPageBreak/>
              <w:t>11</w:t>
            </w:r>
          </w:p>
        </w:tc>
        <w:tc>
          <w:tcPr>
            <w:tcW w:w="6521" w:type="dxa"/>
          </w:tcPr>
          <w:p w:rsidR="002A3003" w:rsidP="002753DA" w:rsidRDefault="002A3003" w14:paraId="6E813657" w14:textId="77777777">
            <w:r>
              <w:t>Hoeveel bedraagt de loon- en prijsbijstelling die is overgeboekt naar het Mobiliteitsfonds en Deltafonds in 2025?</w:t>
            </w:r>
          </w:p>
        </w:tc>
      </w:tr>
      <w:tr w:rsidR="002A3003" w:rsidTr="002A3003" w14:paraId="39CAB34F" w14:textId="77777777">
        <w:tc>
          <w:tcPr>
            <w:tcW w:w="567" w:type="dxa"/>
          </w:tcPr>
          <w:p w:rsidR="002A3003" w:rsidP="002753DA" w:rsidRDefault="002A3003" w14:paraId="68187134" w14:textId="77777777">
            <w:r>
              <w:t>12</w:t>
            </w:r>
          </w:p>
        </w:tc>
        <w:tc>
          <w:tcPr>
            <w:tcW w:w="6521" w:type="dxa"/>
          </w:tcPr>
          <w:p w:rsidR="002A3003" w:rsidP="002753DA" w:rsidRDefault="002A3003" w14:paraId="0CBBD33A" w14:textId="77777777">
            <w:r>
              <w:t>Voor welke projecten binnen artikel 14 Wegen en verkeersveiligheid zijn in 2025 verplichtingen doorgeschoven naar latere jaren en wat is de omvang van deze schuiven?</w:t>
            </w:r>
          </w:p>
        </w:tc>
      </w:tr>
      <w:tr w:rsidR="002A3003" w:rsidTr="002A3003" w14:paraId="66041B47" w14:textId="77777777">
        <w:tc>
          <w:tcPr>
            <w:tcW w:w="567" w:type="dxa"/>
          </w:tcPr>
          <w:p w:rsidR="002A3003" w:rsidP="002753DA" w:rsidRDefault="002A3003" w14:paraId="304DA64E" w14:textId="77777777">
            <w:r>
              <w:t>13</w:t>
            </w:r>
          </w:p>
        </w:tc>
        <w:tc>
          <w:tcPr>
            <w:tcW w:w="6521" w:type="dxa"/>
          </w:tcPr>
          <w:p w:rsidR="002A3003" w:rsidP="002753DA" w:rsidRDefault="002A3003" w14:paraId="2DF1D88D" w14:textId="77777777">
            <w:r>
              <w:t>Hoeveel bedragen de geraamde ontvangsten van de HSL-concessie in 2025 na bijstelling, en hoeveel wordt doorgeschoven naar 2026?</w:t>
            </w:r>
          </w:p>
        </w:tc>
      </w:tr>
      <w:tr w:rsidR="002A3003" w:rsidTr="002A3003" w14:paraId="0EC08055" w14:textId="77777777">
        <w:tc>
          <w:tcPr>
            <w:tcW w:w="567" w:type="dxa"/>
          </w:tcPr>
          <w:p w:rsidR="002A3003" w:rsidP="002753DA" w:rsidRDefault="002A3003" w14:paraId="46977132" w14:textId="77777777">
            <w:r>
              <w:t>14</w:t>
            </w:r>
          </w:p>
        </w:tc>
        <w:tc>
          <w:tcPr>
            <w:tcW w:w="6521" w:type="dxa"/>
          </w:tcPr>
          <w:p w:rsidR="002A3003" w:rsidP="002753DA" w:rsidRDefault="002A3003" w14:paraId="3ADE756A" w14:textId="77777777">
            <w:r>
              <w:t>Wat is de reden dat de ontvangsten van de HSL-concessie in 2025 121,7 miljoen euro lager zijn geraamd, en waarom worden de resterende ontvangsten doorgeschoven naar 2026?</w:t>
            </w:r>
          </w:p>
        </w:tc>
      </w:tr>
      <w:tr w:rsidR="002A3003" w:rsidTr="002A3003" w14:paraId="4AAF12CB" w14:textId="77777777">
        <w:tc>
          <w:tcPr>
            <w:tcW w:w="567" w:type="dxa"/>
          </w:tcPr>
          <w:p w:rsidR="002A3003" w:rsidP="002753DA" w:rsidRDefault="002A3003" w14:paraId="0A07E7BE" w14:textId="77777777">
            <w:r>
              <w:t>15</w:t>
            </w:r>
          </w:p>
        </w:tc>
        <w:tc>
          <w:tcPr>
            <w:tcW w:w="6521" w:type="dxa"/>
          </w:tcPr>
          <w:p w:rsidR="002A3003" w:rsidP="002753DA" w:rsidRDefault="002A3003" w14:paraId="6C52139A" w14:textId="77777777">
            <w:r>
              <w:t>Kunt u inzicht geven in de verdeling van de 96,5 miljoen euro extra uitgaven voor het Programma Hoogfrequent Spoorvervoer (PHS) binnen artikel 17 Megaprojecten verkeer en vervoer?</w:t>
            </w:r>
          </w:p>
        </w:tc>
      </w:tr>
      <w:tr w:rsidR="002A3003" w:rsidTr="002A3003" w14:paraId="64E9259D" w14:textId="77777777">
        <w:tc>
          <w:tcPr>
            <w:tcW w:w="567" w:type="dxa"/>
          </w:tcPr>
          <w:p w:rsidR="002A3003" w:rsidP="002753DA" w:rsidRDefault="002A3003" w14:paraId="3970BFC7" w14:textId="77777777">
            <w:r>
              <w:t>16</w:t>
            </w:r>
          </w:p>
        </w:tc>
        <w:tc>
          <w:tcPr>
            <w:tcW w:w="6521" w:type="dxa"/>
          </w:tcPr>
          <w:p w:rsidR="002A3003" w:rsidP="002753DA" w:rsidRDefault="002A3003" w14:paraId="3579FA74" w14:textId="77777777">
            <w:r>
              <w:t>Kunt u daarbij toelichten waarop de verhoging van 86,5 miljoen euro aan uitgaven voor het Programma Hoogfrequent Spoorvervoer betrekking heeft?</w:t>
            </w:r>
          </w:p>
        </w:tc>
      </w:tr>
      <w:tr w:rsidR="002A3003" w:rsidTr="002A3003" w14:paraId="7B96FE1F" w14:textId="77777777">
        <w:tc>
          <w:tcPr>
            <w:tcW w:w="567" w:type="dxa"/>
          </w:tcPr>
          <w:p w:rsidR="002A3003" w:rsidP="002753DA" w:rsidRDefault="002A3003" w14:paraId="5F54DBB0" w14:textId="77777777">
            <w:r>
              <w:t>17</w:t>
            </w:r>
          </w:p>
        </w:tc>
        <w:tc>
          <w:tcPr>
            <w:tcW w:w="6521" w:type="dxa"/>
          </w:tcPr>
          <w:p w:rsidR="002A3003" w:rsidP="002753DA" w:rsidRDefault="002A3003" w14:paraId="557CDF1B" w14:textId="77777777">
            <w:r>
              <w:t>Wat is de achtergrond van de verplichtingenschuif voor mobiliteitspakketten van -169,1 miljoen euro?</w:t>
            </w:r>
          </w:p>
        </w:tc>
      </w:tr>
    </w:tbl>
    <w:p w:rsidR="002A3003" w:rsidP="002A3003" w:rsidRDefault="002A3003" w14:paraId="6A9FDB5A" w14:textId="77777777"/>
    <w:p w:rsidR="00EC711E" w:rsidRDefault="00EC711E" w14:paraId="11AF01B6" w14:textId="77777777"/>
    <w:sectPr w:rsidR="00EC711E" w:rsidSect="002A300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0FE0" w14:textId="77777777" w:rsidR="002A3003" w:rsidRDefault="002A3003" w:rsidP="002A3003">
      <w:pPr>
        <w:spacing w:after="0" w:line="240" w:lineRule="auto"/>
      </w:pPr>
      <w:r>
        <w:separator/>
      </w:r>
    </w:p>
  </w:endnote>
  <w:endnote w:type="continuationSeparator" w:id="0">
    <w:p w14:paraId="0FA33F7C" w14:textId="77777777" w:rsidR="002A3003" w:rsidRDefault="002A3003" w:rsidP="002A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0AC3" w14:textId="77777777" w:rsidR="002A3003" w:rsidRPr="002A3003" w:rsidRDefault="002A3003" w:rsidP="002A3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966" w14:textId="77777777" w:rsidR="002A3003" w:rsidRPr="002A3003" w:rsidRDefault="002A3003" w:rsidP="002A3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F676" w14:textId="77777777" w:rsidR="002A3003" w:rsidRPr="002A3003" w:rsidRDefault="002A3003" w:rsidP="002A3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C61A" w14:textId="77777777" w:rsidR="002A3003" w:rsidRDefault="002A3003" w:rsidP="002A3003">
      <w:pPr>
        <w:spacing w:after="0" w:line="240" w:lineRule="auto"/>
      </w:pPr>
      <w:r>
        <w:separator/>
      </w:r>
    </w:p>
  </w:footnote>
  <w:footnote w:type="continuationSeparator" w:id="0">
    <w:p w14:paraId="7BF12327" w14:textId="77777777" w:rsidR="002A3003" w:rsidRDefault="002A3003" w:rsidP="002A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BB43" w14:textId="77777777" w:rsidR="002A3003" w:rsidRPr="002A3003" w:rsidRDefault="002A3003" w:rsidP="002A3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3509" w14:textId="77777777" w:rsidR="002A3003" w:rsidRPr="002A3003" w:rsidRDefault="002A3003" w:rsidP="002A3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7231" w14:textId="77777777" w:rsidR="002A3003" w:rsidRPr="002A3003" w:rsidRDefault="002A3003" w:rsidP="002A30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03"/>
    <w:rsid w:val="002A3003"/>
    <w:rsid w:val="00566ABE"/>
    <w:rsid w:val="007F37C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E631"/>
  <w15:chartTrackingRefBased/>
  <w15:docId w15:val="{538AA44F-84DA-4D39-98F4-59B83E11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003"/>
    <w:rPr>
      <w:rFonts w:eastAsiaTheme="majorEastAsia" w:cstheme="majorBidi"/>
      <w:color w:val="272727" w:themeColor="text1" w:themeTint="D8"/>
    </w:rPr>
  </w:style>
  <w:style w:type="paragraph" w:styleId="Titel">
    <w:name w:val="Title"/>
    <w:basedOn w:val="Standaard"/>
    <w:next w:val="Standaard"/>
    <w:link w:val="TitelChar"/>
    <w:uiPriority w:val="10"/>
    <w:qFormat/>
    <w:rsid w:val="002A3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003"/>
    <w:rPr>
      <w:i/>
      <w:iCs/>
      <w:color w:val="404040" w:themeColor="text1" w:themeTint="BF"/>
    </w:rPr>
  </w:style>
  <w:style w:type="paragraph" w:styleId="Lijstalinea">
    <w:name w:val="List Paragraph"/>
    <w:basedOn w:val="Standaard"/>
    <w:uiPriority w:val="34"/>
    <w:qFormat/>
    <w:rsid w:val="002A3003"/>
    <w:pPr>
      <w:ind w:left="720"/>
      <w:contextualSpacing/>
    </w:pPr>
  </w:style>
  <w:style w:type="character" w:styleId="Intensievebenadrukking">
    <w:name w:val="Intense Emphasis"/>
    <w:basedOn w:val="Standaardalinea-lettertype"/>
    <w:uiPriority w:val="21"/>
    <w:qFormat/>
    <w:rsid w:val="002A3003"/>
    <w:rPr>
      <w:i/>
      <w:iCs/>
      <w:color w:val="0F4761" w:themeColor="accent1" w:themeShade="BF"/>
    </w:rPr>
  </w:style>
  <w:style w:type="paragraph" w:styleId="Duidelijkcitaat">
    <w:name w:val="Intense Quote"/>
    <w:basedOn w:val="Standaard"/>
    <w:next w:val="Standaard"/>
    <w:link w:val="DuidelijkcitaatChar"/>
    <w:uiPriority w:val="30"/>
    <w:qFormat/>
    <w:rsid w:val="002A3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003"/>
    <w:rPr>
      <w:i/>
      <w:iCs/>
      <w:color w:val="0F4761" w:themeColor="accent1" w:themeShade="BF"/>
    </w:rPr>
  </w:style>
  <w:style w:type="character" w:styleId="Intensieveverwijzing">
    <w:name w:val="Intense Reference"/>
    <w:basedOn w:val="Standaardalinea-lettertype"/>
    <w:uiPriority w:val="32"/>
    <w:qFormat/>
    <w:rsid w:val="002A3003"/>
    <w:rPr>
      <w:b/>
      <w:bCs/>
      <w:smallCaps/>
      <w:color w:val="0F4761" w:themeColor="accent1" w:themeShade="BF"/>
      <w:spacing w:val="5"/>
    </w:rPr>
  </w:style>
  <w:style w:type="paragraph" w:styleId="Voettekst">
    <w:name w:val="footer"/>
    <w:basedOn w:val="Standaard"/>
    <w:link w:val="VoettekstChar"/>
    <w:uiPriority w:val="99"/>
    <w:unhideWhenUsed/>
    <w:rsid w:val="002A300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A3003"/>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2A30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444</ap:Words>
  <ap:Characters>2444</ap:Characters>
  <ap:DocSecurity>0</ap:DocSecurity>
  <ap:Lines>20</ap:Lines>
  <ap:Paragraphs>5</ap:Paragraphs>
  <ap:ScaleCrop>false</ap:ScaleCrop>
  <ap:LinksUpToDate>false</ap:LinksUpToDate>
  <ap:CharactersWithSpaces>2883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2025-10-01T15:05:00.0000000Z</dcterms:created>
  <dcterms:modified xsi:type="dcterms:W3CDTF">2025-10-01T15:06:00.0000000Z</dcterms:modified>
  <version/>
  <category/>
</coreProperties>
</file>