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385D" w:rsidR="005A385D" w:rsidP="005A385D" w:rsidRDefault="005A385D" w14:paraId="3086B13B" w14:textId="36E79A10">
      <w:pPr>
        <w:rPr>
          <w:rFonts w:ascii="Calibri" w:hAnsi="Calibri" w:cs="Calibri"/>
          <w:b/>
        </w:rPr>
      </w:pPr>
      <w:r w:rsidRPr="005A385D">
        <w:rPr>
          <w:rFonts w:ascii="Calibri" w:hAnsi="Calibri" w:cs="Calibri"/>
          <w:b/>
        </w:rPr>
        <w:t>LIJST VAN VRAGEN</w:t>
      </w:r>
    </w:p>
    <w:p w:rsidRPr="005A385D" w:rsidR="005A385D" w:rsidP="005A385D" w:rsidRDefault="005A385D" w14:paraId="3A49FBE0" w14:textId="74CB20CC">
      <w:pPr>
        <w:rPr>
          <w:rFonts w:ascii="Calibri" w:hAnsi="Calibri" w:cs="Calibri"/>
        </w:rPr>
      </w:pPr>
    </w:p>
    <w:p w:rsidRPr="005A385D" w:rsidR="005A385D" w:rsidP="005A385D" w:rsidRDefault="005A385D" w14:paraId="0613A356" w14:textId="355C77A9">
      <w:pPr>
        <w:rPr>
          <w:rFonts w:ascii="Calibri" w:hAnsi="Calibri" w:cs="Calibri"/>
        </w:rPr>
      </w:pPr>
      <w:r w:rsidRPr="005A385D">
        <w:rPr>
          <w:rFonts w:ascii="Calibri" w:hAnsi="Calibri" w:cs="Calibri"/>
        </w:rPr>
        <w:t>De vaste commissie voor Financiën heeft een aantal vragen voorgelegd aan de minister van Financiën over de Vaststelling van de begrotingsstaat van het Ministerie van Financiën (IXB) en de begrotingsstaat van Nationale Schuld (IXA) voor het jaar 2026 (Kamerstuk 36</w:t>
      </w:r>
      <w:r w:rsidR="007A591F">
        <w:rPr>
          <w:rFonts w:ascii="Calibri" w:hAnsi="Calibri" w:cs="Calibri"/>
        </w:rPr>
        <w:t xml:space="preserve"> </w:t>
      </w:r>
      <w:r w:rsidRPr="005A385D">
        <w:rPr>
          <w:rFonts w:ascii="Calibri" w:hAnsi="Calibri" w:cs="Calibri"/>
        </w:rPr>
        <w:t>800-IX).</w:t>
      </w:r>
    </w:p>
    <w:p w:rsidRPr="005A385D" w:rsidR="005A385D" w:rsidP="005A385D" w:rsidRDefault="005A385D" w14:paraId="23B0240A" w14:textId="77777777">
      <w:pPr>
        <w:spacing w:after="0"/>
        <w:rPr>
          <w:rFonts w:ascii="Calibri" w:hAnsi="Calibri" w:cs="Calibri"/>
        </w:rPr>
      </w:pPr>
    </w:p>
    <w:p w:rsidRPr="005A385D" w:rsidR="005A385D" w:rsidP="005A385D" w:rsidRDefault="005A385D" w14:paraId="376366CE" w14:textId="51992BAD">
      <w:pPr>
        <w:spacing w:after="0"/>
        <w:rPr>
          <w:rFonts w:ascii="Calibri" w:hAnsi="Calibri" w:cs="Calibri"/>
        </w:rPr>
      </w:pPr>
      <w:r w:rsidRPr="005A385D">
        <w:rPr>
          <w:rFonts w:ascii="Calibri" w:hAnsi="Calibri" w:cs="Calibri"/>
        </w:rPr>
        <w:t>De v</w:t>
      </w:r>
      <w:r w:rsidRPr="005A385D">
        <w:rPr>
          <w:rFonts w:ascii="Calibri" w:hAnsi="Calibri" w:cs="Calibri"/>
        </w:rPr>
        <w:t>oorzitter van de commissie,</w:t>
      </w:r>
    </w:p>
    <w:p w:rsidRPr="005A385D" w:rsidR="005A385D" w:rsidP="005A385D" w:rsidRDefault="005A385D" w14:paraId="7B6BB823" w14:textId="72717532">
      <w:pPr>
        <w:spacing w:after="0"/>
        <w:rPr>
          <w:rFonts w:ascii="Calibri" w:hAnsi="Calibri" w:cs="Calibri"/>
        </w:rPr>
      </w:pPr>
      <w:r w:rsidRPr="005A385D">
        <w:rPr>
          <w:rFonts w:ascii="Calibri" w:hAnsi="Calibri" w:cs="Calibri"/>
        </w:rPr>
        <w:t>Nijhof-Leeuw</w:t>
      </w:r>
    </w:p>
    <w:p w:rsidRPr="005A385D" w:rsidR="005A385D" w:rsidP="005A385D" w:rsidRDefault="005A385D" w14:paraId="6E84059B" w14:textId="66B09FB7">
      <w:pPr>
        <w:spacing w:after="0"/>
        <w:rPr>
          <w:rFonts w:ascii="Calibri" w:hAnsi="Calibri" w:cs="Calibri"/>
        </w:rPr>
      </w:pPr>
    </w:p>
    <w:p w:rsidRPr="005A385D" w:rsidR="005A385D" w:rsidP="005A385D" w:rsidRDefault="005A385D" w14:paraId="59D804EA" w14:textId="1FF6BDDC">
      <w:pPr>
        <w:spacing w:after="0"/>
        <w:rPr>
          <w:rFonts w:ascii="Calibri" w:hAnsi="Calibri" w:cs="Calibri"/>
        </w:rPr>
      </w:pPr>
      <w:r w:rsidRPr="005A385D">
        <w:rPr>
          <w:rFonts w:ascii="Calibri" w:hAnsi="Calibri" w:cs="Calibri"/>
        </w:rPr>
        <w:t>Adjunct-griffier van de commissie,</w:t>
      </w:r>
    </w:p>
    <w:p w:rsidRPr="005A385D" w:rsidR="005A385D" w:rsidP="005A385D" w:rsidRDefault="005A385D" w14:paraId="4F417DB7" w14:textId="0B2CD2A1">
      <w:pPr>
        <w:spacing w:after="0"/>
        <w:rPr>
          <w:rFonts w:ascii="Calibri" w:hAnsi="Calibri" w:cs="Calibri"/>
        </w:rPr>
      </w:pPr>
      <w:r w:rsidRPr="005A385D">
        <w:rPr>
          <w:rFonts w:ascii="Calibri" w:hAnsi="Calibri" w:cs="Calibri"/>
        </w:rPr>
        <w:t>Van der Steur</w:t>
      </w:r>
    </w:p>
    <w:p w:rsidRPr="005A385D" w:rsidR="005A385D" w:rsidP="005A385D" w:rsidRDefault="005A385D" w14:paraId="1E80C739" w14:textId="77777777">
      <w:pPr>
        <w:rPr>
          <w:rFonts w:ascii="Calibri" w:hAnsi="Calibri" w:cs="Calibri"/>
        </w:rPr>
      </w:pPr>
    </w:p>
    <w:tbl>
      <w:tblPr>
        <w:tblW w:w="7727" w:type="dxa"/>
        <w:tblInd w:w="70" w:type="dxa"/>
        <w:tblCellMar>
          <w:left w:w="70" w:type="dxa"/>
          <w:right w:w="70" w:type="dxa"/>
        </w:tblCellMar>
        <w:tblLook w:val="04A0" w:firstRow="1" w:lastRow="0" w:firstColumn="1" w:lastColumn="0" w:noHBand="0" w:noVBand="1"/>
      </w:tblPr>
      <w:tblGrid>
        <w:gridCol w:w="374"/>
        <w:gridCol w:w="7353"/>
      </w:tblGrid>
      <w:tr w:rsidRPr="005A385D" w:rsidR="005A385D" w:rsidTr="005A385D" w14:paraId="0151F845" w14:textId="77777777">
        <w:trPr>
          <w:trHeight w:val="300"/>
        </w:trPr>
        <w:tc>
          <w:tcPr>
            <w:tcW w:w="374" w:type="dxa"/>
            <w:tcBorders>
              <w:top w:val="nil"/>
              <w:left w:val="nil"/>
              <w:bottom w:val="nil"/>
              <w:right w:val="nil"/>
            </w:tcBorders>
            <w:vAlign w:val="center"/>
            <w:hideMark/>
          </w:tcPr>
          <w:p w:rsidRPr="005A385D" w:rsidR="005A385D" w:rsidP="00FA5DAE" w:rsidRDefault="005A385D" w14:paraId="4D67A535" w14:textId="77777777">
            <w:pPr>
              <w:spacing w:after="0"/>
              <w:rPr>
                <w:rFonts w:ascii="Calibri" w:hAnsi="Calibri" w:cs="Calibri"/>
                <w:b/>
                <w:bCs/>
                <w:color w:val="000000"/>
              </w:rPr>
            </w:pPr>
            <w:bookmarkStart w:name="bmkStartTabel" w:id="0"/>
            <w:bookmarkEnd w:id="0"/>
            <w:r w:rsidRPr="005A385D">
              <w:rPr>
                <w:rFonts w:ascii="Calibri" w:hAnsi="Calibri" w:cs="Calibri"/>
                <w:b/>
                <w:bCs/>
                <w:color w:val="000000"/>
              </w:rPr>
              <w:t>Nr</w:t>
            </w:r>
          </w:p>
        </w:tc>
        <w:tc>
          <w:tcPr>
            <w:tcW w:w="7353" w:type="dxa"/>
            <w:tcBorders>
              <w:top w:val="nil"/>
              <w:left w:val="nil"/>
              <w:bottom w:val="nil"/>
              <w:right w:val="nil"/>
            </w:tcBorders>
            <w:vAlign w:val="center"/>
            <w:hideMark/>
          </w:tcPr>
          <w:p w:rsidRPr="005A385D" w:rsidR="005A385D" w:rsidP="00FA5DAE" w:rsidRDefault="005A385D" w14:paraId="1C39B161" w14:textId="77777777">
            <w:pPr>
              <w:spacing w:after="0"/>
              <w:rPr>
                <w:rFonts w:ascii="Calibri" w:hAnsi="Calibri" w:cs="Calibri"/>
                <w:b/>
                <w:bCs/>
                <w:color w:val="000000"/>
              </w:rPr>
            </w:pPr>
            <w:r w:rsidRPr="005A385D">
              <w:rPr>
                <w:rFonts w:ascii="Calibri" w:hAnsi="Calibri" w:cs="Calibri"/>
                <w:b/>
                <w:bCs/>
                <w:color w:val="000000"/>
              </w:rPr>
              <w:t>Vraag</w:t>
            </w:r>
          </w:p>
        </w:tc>
      </w:tr>
      <w:tr w:rsidRPr="005A385D" w:rsidR="005A385D" w:rsidTr="005A385D" w14:paraId="3D2BA98B" w14:textId="77777777">
        <w:trPr>
          <w:trHeight w:val="510"/>
        </w:trPr>
        <w:tc>
          <w:tcPr>
            <w:tcW w:w="374" w:type="dxa"/>
            <w:tcBorders>
              <w:top w:val="nil"/>
              <w:left w:val="nil"/>
              <w:bottom w:val="nil"/>
              <w:right w:val="nil"/>
            </w:tcBorders>
            <w:vAlign w:val="center"/>
            <w:hideMark/>
          </w:tcPr>
          <w:p w:rsidRPr="005A385D" w:rsidR="005A385D" w:rsidP="00FA5DAE" w:rsidRDefault="005A385D" w14:paraId="40AE2B62" w14:textId="77777777">
            <w:pPr>
              <w:spacing w:after="0"/>
              <w:jc w:val="right"/>
              <w:rPr>
                <w:rFonts w:ascii="Calibri" w:hAnsi="Calibri" w:cs="Calibri"/>
                <w:color w:val="000000"/>
              </w:rPr>
            </w:pPr>
            <w:r w:rsidRPr="005A385D">
              <w:rPr>
                <w:rFonts w:ascii="Calibri" w:hAnsi="Calibri" w:cs="Calibri"/>
                <w:color w:val="000000"/>
              </w:rPr>
              <w:t>1</w:t>
            </w:r>
          </w:p>
        </w:tc>
        <w:tc>
          <w:tcPr>
            <w:tcW w:w="7353" w:type="dxa"/>
            <w:tcBorders>
              <w:top w:val="nil"/>
              <w:left w:val="nil"/>
              <w:bottom w:val="nil"/>
              <w:right w:val="nil"/>
            </w:tcBorders>
            <w:vAlign w:val="center"/>
            <w:hideMark/>
          </w:tcPr>
          <w:p w:rsidRPr="005A385D" w:rsidR="005A385D" w:rsidP="00FA5DAE" w:rsidRDefault="005A385D" w14:paraId="74C330E8" w14:textId="77777777">
            <w:pPr>
              <w:spacing w:after="0"/>
              <w:rPr>
                <w:rFonts w:ascii="Calibri" w:hAnsi="Calibri" w:cs="Calibri"/>
                <w:color w:val="000000"/>
              </w:rPr>
            </w:pPr>
            <w:r w:rsidRPr="005A385D">
              <w:rPr>
                <w:rFonts w:ascii="Calibri" w:hAnsi="Calibri" w:cs="Calibri"/>
                <w:color w:val="000000"/>
              </w:rPr>
              <w:t>Waarom blijven de waardes ondermaats bij de afgehandelde bezwaren binnen de Awb-termijn?</w:t>
            </w:r>
          </w:p>
        </w:tc>
      </w:tr>
      <w:tr w:rsidRPr="005A385D" w:rsidR="005A385D" w:rsidTr="005A385D" w14:paraId="51414F8A" w14:textId="77777777">
        <w:trPr>
          <w:trHeight w:val="510"/>
        </w:trPr>
        <w:tc>
          <w:tcPr>
            <w:tcW w:w="374" w:type="dxa"/>
            <w:tcBorders>
              <w:top w:val="nil"/>
              <w:left w:val="nil"/>
              <w:bottom w:val="nil"/>
              <w:right w:val="nil"/>
            </w:tcBorders>
            <w:vAlign w:val="center"/>
            <w:hideMark/>
          </w:tcPr>
          <w:p w:rsidRPr="005A385D" w:rsidR="005A385D" w:rsidP="00FA5DAE" w:rsidRDefault="005A385D" w14:paraId="4F140B64" w14:textId="77777777">
            <w:pPr>
              <w:spacing w:after="0"/>
              <w:jc w:val="right"/>
              <w:rPr>
                <w:rFonts w:ascii="Calibri" w:hAnsi="Calibri" w:cs="Calibri"/>
                <w:color w:val="000000"/>
              </w:rPr>
            </w:pPr>
            <w:r w:rsidRPr="005A385D">
              <w:rPr>
                <w:rFonts w:ascii="Calibri" w:hAnsi="Calibri" w:cs="Calibri"/>
                <w:color w:val="000000"/>
              </w:rPr>
              <w:t>2</w:t>
            </w:r>
          </w:p>
        </w:tc>
        <w:tc>
          <w:tcPr>
            <w:tcW w:w="7353" w:type="dxa"/>
            <w:tcBorders>
              <w:top w:val="nil"/>
              <w:left w:val="nil"/>
              <w:bottom w:val="nil"/>
              <w:right w:val="nil"/>
            </w:tcBorders>
            <w:vAlign w:val="center"/>
            <w:hideMark/>
          </w:tcPr>
          <w:p w:rsidRPr="005A385D" w:rsidR="005A385D" w:rsidP="00FA5DAE" w:rsidRDefault="005A385D" w14:paraId="4F05E99F" w14:textId="77777777">
            <w:pPr>
              <w:spacing w:after="0"/>
              <w:rPr>
                <w:rFonts w:ascii="Calibri" w:hAnsi="Calibri" w:cs="Calibri"/>
                <w:color w:val="000000"/>
              </w:rPr>
            </w:pPr>
            <w:r w:rsidRPr="005A385D">
              <w:rPr>
                <w:rFonts w:ascii="Calibri" w:hAnsi="Calibri" w:cs="Calibri"/>
                <w:color w:val="000000"/>
              </w:rPr>
              <w:t>Waarom blijven de waardes ondermaats bij de afgehandelde klachten binnen de Awb-termijn ?</w:t>
            </w:r>
          </w:p>
        </w:tc>
      </w:tr>
      <w:tr w:rsidRPr="005A385D" w:rsidR="005A385D" w:rsidTr="005A385D" w14:paraId="6BA97526" w14:textId="77777777">
        <w:trPr>
          <w:trHeight w:val="510"/>
        </w:trPr>
        <w:tc>
          <w:tcPr>
            <w:tcW w:w="374" w:type="dxa"/>
            <w:tcBorders>
              <w:top w:val="nil"/>
              <w:left w:val="nil"/>
              <w:bottom w:val="nil"/>
              <w:right w:val="nil"/>
            </w:tcBorders>
            <w:vAlign w:val="center"/>
            <w:hideMark/>
          </w:tcPr>
          <w:p w:rsidRPr="005A385D" w:rsidR="005A385D" w:rsidP="00FA5DAE" w:rsidRDefault="005A385D" w14:paraId="51953B45" w14:textId="77777777">
            <w:pPr>
              <w:spacing w:after="0"/>
              <w:jc w:val="right"/>
              <w:rPr>
                <w:rFonts w:ascii="Calibri" w:hAnsi="Calibri" w:cs="Calibri"/>
                <w:color w:val="000000"/>
              </w:rPr>
            </w:pPr>
            <w:r w:rsidRPr="005A385D">
              <w:rPr>
                <w:rFonts w:ascii="Calibri" w:hAnsi="Calibri" w:cs="Calibri"/>
                <w:color w:val="000000"/>
              </w:rPr>
              <w:t>3</w:t>
            </w:r>
          </w:p>
        </w:tc>
        <w:tc>
          <w:tcPr>
            <w:tcW w:w="7353" w:type="dxa"/>
            <w:tcBorders>
              <w:top w:val="nil"/>
              <w:left w:val="nil"/>
              <w:bottom w:val="nil"/>
              <w:right w:val="nil"/>
            </w:tcBorders>
            <w:vAlign w:val="center"/>
            <w:hideMark/>
          </w:tcPr>
          <w:p w:rsidRPr="005A385D" w:rsidR="005A385D" w:rsidP="00FA5DAE" w:rsidRDefault="005A385D" w14:paraId="650FB39C" w14:textId="77777777">
            <w:pPr>
              <w:spacing w:after="0"/>
              <w:rPr>
                <w:rFonts w:ascii="Calibri" w:hAnsi="Calibri" w:cs="Calibri"/>
                <w:color w:val="000000"/>
              </w:rPr>
            </w:pPr>
            <w:r w:rsidRPr="005A385D">
              <w:rPr>
                <w:rFonts w:ascii="Calibri" w:hAnsi="Calibri" w:cs="Calibri"/>
                <w:color w:val="000000"/>
              </w:rPr>
              <w:t>Binnen de Douane is de daling in de inhuur van externen zichtbaar. Hoe verklaart u de omslag qua personeelsbeleid?</w:t>
            </w:r>
          </w:p>
        </w:tc>
      </w:tr>
      <w:tr w:rsidRPr="005A385D" w:rsidR="005A385D" w:rsidTr="005A385D" w14:paraId="3AF660FA" w14:textId="77777777">
        <w:trPr>
          <w:trHeight w:val="1020"/>
        </w:trPr>
        <w:tc>
          <w:tcPr>
            <w:tcW w:w="374" w:type="dxa"/>
            <w:tcBorders>
              <w:top w:val="nil"/>
              <w:left w:val="nil"/>
              <w:bottom w:val="nil"/>
              <w:right w:val="nil"/>
            </w:tcBorders>
            <w:vAlign w:val="center"/>
            <w:hideMark/>
          </w:tcPr>
          <w:p w:rsidRPr="005A385D" w:rsidR="005A385D" w:rsidP="00FA5DAE" w:rsidRDefault="005A385D" w14:paraId="5F001B2E" w14:textId="77777777">
            <w:pPr>
              <w:spacing w:after="0"/>
              <w:jc w:val="right"/>
              <w:rPr>
                <w:rFonts w:ascii="Calibri" w:hAnsi="Calibri" w:cs="Calibri"/>
                <w:color w:val="000000"/>
              </w:rPr>
            </w:pPr>
            <w:r w:rsidRPr="005A385D">
              <w:rPr>
                <w:rFonts w:ascii="Calibri" w:hAnsi="Calibri" w:cs="Calibri"/>
                <w:color w:val="000000"/>
              </w:rPr>
              <w:t>4</w:t>
            </w:r>
          </w:p>
        </w:tc>
        <w:tc>
          <w:tcPr>
            <w:tcW w:w="7353" w:type="dxa"/>
            <w:tcBorders>
              <w:top w:val="nil"/>
              <w:left w:val="nil"/>
              <w:bottom w:val="nil"/>
              <w:right w:val="nil"/>
            </w:tcBorders>
            <w:vAlign w:val="center"/>
            <w:hideMark/>
          </w:tcPr>
          <w:p w:rsidRPr="005A385D" w:rsidR="005A385D" w:rsidP="00FA5DAE" w:rsidRDefault="005A385D" w14:paraId="221F8E9A" w14:textId="77777777">
            <w:pPr>
              <w:spacing w:after="0"/>
              <w:rPr>
                <w:rFonts w:ascii="Calibri" w:hAnsi="Calibri" w:cs="Calibri"/>
                <w:color w:val="000000"/>
              </w:rPr>
            </w:pPr>
            <w:r w:rsidRPr="005A385D">
              <w:rPr>
                <w:rFonts w:ascii="Calibri" w:hAnsi="Calibri" w:cs="Calibri"/>
                <w:color w:val="000000"/>
              </w:rPr>
              <w:t>Hoe komt het dat er in 2024 verplichtingen zijn aangegaan van € 3.535.155.000, maar in de begroting voor 2025 is opgenomen € 10.133.350.000? Hoe verklaart u dit verschil tussen gerealiseerd en geraamd?</w:t>
            </w:r>
          </w:p>
        </w:tc>
      </w:tr>
      <w:tr w:rsidRPr="005A385D" w:rsidR="005A385D" w:rsidTr="005A385D" w14:paraId="4A780EC1" w14:textId="77777777">
        <w:trPr>
          <w:trHeight w:val="765"/>
        </w:trPr>
        <w:tc>
          <w:tcPr>
            <w:tcW w:w="374" w:type="dxa"/>
            <w:tcBorders>
              <w:top w:val="nil"/>
              <w:left w:val="nil"/>
              <w:bottom w:val="nil"/>
              <w:right w:val="nil"/>
            </w:tcBorders>
            <w:vAlign w:val="center"/>
            <w:hideMark/>
          </w:tcPr>
          <w:p w:rsidRPr="005A385D" w:rsidR="005A385D" w:rsidP="00FA5DAE" w:rsidRDefault="005A385D" w14:paraId="18F3353C" w14:textId="77777777">
            <w:pPr>
              <w:spacing w:after="0"/>
              <w:jc w:val="right"/>
              <w:rPr>
                <w:rFonts w:ascii="Calibri" w:hAnsi="Calibri" w:cs="Calibri"/>
                <w:color w:val="000000"/>
              </w:rPr>
            </w:pPr>
            <w:r w:rsidRPr="005A385D">
              <w:rPr>
                <w:rFonts w:ascii="Calibri" w:hAnsi="Calibri" w:cs="Calibri"/>
                <w:color w:val="000000"/>
              </w:rPr>
              <w:t>5</w:t>
            </w:r>
          </w:p>
        </w:tc>
        <w:tc>
          <w:tcPr>
            <w:tcW w:w="7353" w:type="dxa"/>
            <w:tcBorders>
              <w:top w:val="nil"/>
              <w:left w:val="nil"/>
              <w:bottom w:val="nil"/>
              <w:right w:val="nil"/>
            </w:tcBorders>
            <w:vAlign w:val="center"/>
            <w:hideMark/>
          </w:tcPr>
          <w:p w:rsidRPr="005A385D" w:rsidR="005A385D" w:rsidP="00FA5DAE" w:rsidRDefault="005A385D" w14:paraId="454DED2D" w14:textId="77777777">
            <w:pPr>
              <w:spacing w:after="0"/>
              <w:rPr>
                <w:rFonts w:ascii="Calibri" w:hAnsi="Calibri" w:cs="Calibri"/>
                <w:color w:val="000000"/>
              </w:rPr>
            </w:pPr>
            <w:r w:rsidRPr="005A385D">
              <w:rPr>
                <w:rFonts w:ascii="Calibri" w:hAnsi="Calibri" w:cs="Calibri"/>
                <w:color w:val="000000"/>
              </w:rPr>
              <w:t>Zijn er plannen voor de verdere digitalisering van schatkistbankieren en het onderzoeken van het uitgeven van eigen IBAN-nummers voor het Rijk?</w:t>
            </w:r>
          </w:p>
        </w:tc>
      </w:tr>
      <w:tr w:rsidRPr="005A385D" w:rsidR="005A385D" w:rsidTr="005A385D" w14:paraId="43CCC755" w14:textId="77777777">
        <w:trPr>
          <w:trHeight w:val="510"/>
        </w:trPr>
        <w:tc>
          <w:tcPr>
            <w:tcW w:w="374" w:type="dxa"/>
            <w:tcBorders>
              <w:top w:val="nil"/>
              <w:left w:val="nil"/>
              <w:bottom w:val="nil"/>
              <w:right w:val="nil"/>
            </w:tcBorders>
            <w:vAlign w:val="center"/>
            <w:hideMark/>
          </w:tcPr>
          <w:p w:rsidRPr="005A385D" w:rsidR="005A385D" w:rsidP="00FA5DAE" w:rsidRDefault="005A385D" w14:paraId="7ADAE22B" w14:textId="77777777">
            <w:pPr>
              <w:spacing w:after="0"/>
              <w:jc w:val="right"/>
              <w:rPr>
                <w:rFonts w:ascii="Calibri" w:hAnsi="Calibri" w:cs="Calibri"/>
                <w:color w:val="000000"/>
              </w:rPr>
            </w:pPr>
            <w:r w:rsidRPr="005A385D">
              <w:rPr>
                <w:rFonts w:ascii="Calibri" w:hAnsi="Calibri" w:cs="Calibri"/>
                <w:color w:val="000000"/>
              </w:rPr>
              <w:t>6</w:t>
            </w:r>
          </w:p>
        </w:tc>
        <w:tc>
          <w:tcPr>
            <w:tcW w:w="7353" w:type="dxa"/>
            <w:tcBorders>
              <w:top w:val="nil"/>
              <w:left w:val="nil"/>
              <w:bottom w:val="nil"/>
              <w:right w:val="nil"/>
            </w:tcBorders>
            <w:vAlign w:val="center"/>
            <w:hideMark/>
          </w:tcPr>
          <w:p w:rsidRPr="005A385D" w:rsidR="005A385D" w:rsidP="00FA5DAE" w:rsidRDefault="005A385D" w14:paraId="3A238694" w14:textId="77777777">
            <w:pPr>
              <w:spacing w:after="0"/>
              <w:rPr>
                <w:rFonts w:ascii="Calibri" w:hAnsi="Calibri" w:cs="Calibri"/>
                <w:color w:val="000000"/>
              </w:rPr>
            </w:pPr>
            <w:r w:rsidRPr="005A385D">
              <w:rPr>
                <w:rFonts w:ascii="Calibri" w:hAnsi="Calibri" w:cs="Calibri"/>
                <w:color w:val="000000"/>
              </w:rPr>
              <w:t>Welke stappen worden er in 2026 gezet om de rapportagelasten voor financiële instellingen te verminderen?</w:t>
            </w:r>
          </w:p>
        </w:tc>
      </w:tr>
      <w:tr w:rsidRPr="005A385D" w:rsidR="005A385D" w:rsidTr="005A385D" w14:paraId="390A636D" w14:textId="77777777">
        <w:trPr>
          <w:trHeight w:val="510"/>
        </w:trPr>
        <w:tc>
          <w:tcPr>
            <w:tcW w:w="374" w:type="dxa"/>
            <w:tcBorders>
              <w:top w:val="nil"/>
              <w:left w:val="nil"/>
              <w:bottom w:val="nil"/>
              <w:right w:val="nil"/>
            </w:tcBorders>
            <w:vAlign w:val="center"/>
            <w:hideMark/>
          </w:tcPr>
          <w:p w:rsidRPr="005A385D" w:rsidR="005A385D" w:rsidP="00FA5DAE" w:rsidRDefault="005A385D" w14:paraId="2207E744" w14:textId="77777777">
            <w:pPr>
              <w:spacing w:after="0"/>
              <w:jc w:val="right"/>
              <w:rPr>
                <w:rFonts w:ascii="Calibri" w:hAnsi="Calibri" w:cs="Calibri"/>
                <w:color w:val="000000"/>
              </w:rPr>
            </w:pPr>
            <w:r w:rsidRPr="005A385D">
              <w:rPr>
                <w:rFonts w:ascii="Calibri" w:hAnsi="Calibri" w:cs="Calibri"/>
                <w:color w:val="000000"/>
              </w:rPr>
              <w:t>7</w:t>
            </w:r>
          </w:p>
        </w:tc>
        <w:tc>
          <w:tcPr>
            <w:tcW w:w="7353" w:type="dxa"/>
            <w:tcBorders>
              <w:top w:val="nil"/>
              <w:left w:val="nil"/>
              <w:bottom w:val="nil"/>
              <w:right w:val="nil"/>
            </w:tcBorders>
            <w:vAlign w:val="center"/>
            <w:hideMark/>
          </w:tcPr>
          <w:p w:rsidRPr="005A385D" w:rsidR="005A385D" w:rsidP="00FA5DAE" w:rsidRDefault="005A385D" w14:paraId="243FD7F3" w14:textId="77777777">
            <w:pPr>
              <w:spacing w:after="0"/>
              <w:rPr>
                <w:rFonts w:ascii="Calibri" w:hAnsi="Calibri" w:cs="Calibri"/>
                <w:color w:val="000000"/>
              </w:rPr>
            </w:pPr>
            <w:r w:rsidRPr="005A385D">
              <w:rPr>
                <w:rFonts w:ascii="Calibri" w:hAnsi="Calibri" w:cs="Calibri"/>
                <w:color w:val="000000"/>
              </w:rPr>
              <w:t>Wanneer is de volgende periodieke rapportage over het kasbeheer van het Rijk gepland, en welke beleidsopties zullen daarin worden onderzocht?</w:t>
            </w:r>
          </w:p>
        </w:tc>
      </w:tr>
      <w:tr w:rsidRPr="005A385D" w:rsidR="005A385D" w:rsidTr="005A385D" w14:paraId="1C3F9C6D" w14:textId="77777777">
        <w:trPr>
          <w:trHeight w:val="1785"/>
        </w:trPr>
        <w:tc>
          <w:tcPr>
            <w:tcW w:w="374" w:type="dxa"/>
            <w:tcBorders>
              <w:top w:val="nil"/>
              <w:left w:val="nil"/>
              <w:bottom w:val="nil"/>
              <w:right w:val="nil"/>
            </w:tcBorders>
            <w:vAlign w:val="center"/>
            <w:hideMark/>
          </w:tcPr>
          <w:p w:rsidRPr="005A385D" w:rsidR="005A385D" w:rsidP="00FA5DAE" w:rsidRDefault="005A385D" w14:paraId="5E951EA5" w14:textId="77777777">
            <w:pPr>
              <w:spacing w:after="0"/>
              <w:jc w:val="right"/>
              <w:rPr>
                <w:rFonts w:ascii="Calibri" w:hAnsi="Calibri" w:cs="Calibri"/>
                <w:color w:val="000000"/>
              </w:rPr>
            </w:pPr>
            <w:r w:rsidRPr="005A385D">
              <w:rPr>
                <w:rFonts w:ascii="Calibri" w:hAnsi="Calibri" w:cs="Calibri"/>
                <w:color w:val="000000"/>
              </w:rPr>
              <w:t>8</w:t>
            </w:r>
          </w:p>
        </w:tc>
        <w:tc>
          <w:tcPr>
            <w:tcW w:w="7353" w:type="dxa"/>
            <w:tcBorders>
              <w:top w:val="nil"/>
              <w:left w:val="nil"/>
              <w:bottom w:val="nil"/>
              <w:right w:val="nil"/>
            </w:tcBorders>
            <w:vAlign w:val="center"/>
            <w:hideMark/>
          </w:tcPr>
          <w:p w:rsidRPr="005A385D" w:rsidR="005A385D" w:rsidP="00FA5DAE" w:rsidRDefault="005A385D" w14:paraId="19C575D0" w14:textId="77777777">
            <w:pPr>
              <w:spacing w:after="0"/>
              <w:rPr>
                <w:rFonts w:ascii="Calibri" w:hAnsi="Calibri" w:cs="Calibri"/>
                <w:color w:val="000000"/>
              </w:rPr>
            </w:pPr>
            <w:r w:rsidRPr="005A385D">
              <w:rPr>
                <w:rFonts w:ascii="Calibri" w:hAnsi="Calibri" w:cs="Calibri"/>
                <w:color w:val="000000"/>
              </w:rPr>
              <w:t>In Figuur 1 en 2 staat dat de totale geraamde uitgaven voor hoofdstuk IX (Financiën en Nationale Schuld) in 2026 € 23.890,6 miljard bedragen, tegenover geraamde ontvangsten van € 251.963,6 miljard. Klopt het dat deze bedragen de totalen uit de begroting voor 2026 zijn? Kunt u aangeven hoe deze uitgaven en ontvangsten zich verhouden tot de begrotingsontwikkeling over de meerjarenraming, en welke grote mutaties daarin optreden?</w:t>
            </w:r>
          </w:p>
        </w:tc>
      </w:tr>
      <w:tr w:rsidRPr="005A385D" w:rsidR="005A385D" w:rsidTr="005A385D" w14:paraId="0A59A88C" w14:textId="77777777">
        <w:trPr>
          <w:trHeight w:val="765"/>
        </w:trPr>
        <w:tc>
          <w:tcPr>
            <w:tcW w:w="374" w:type="dxa"/>
            <w:tcBorders>
              <w:top w:val="nil"/>
              <w:left w:val="nil"/>
              <w:bottom w:val="nil"/>
              <w:right w:val="nil"/>
            </w:tcBorders>
            <w:vAlign w:val="center"/>
            <w:hideMark/>
          </w:tcPr>
          <w:p w:rsidRPr="005A385D" w:rsidR="005A385D" w:rsidP="00FA5DAE" w:rsidRDefault="005A385D" w14:paraId="4F60B91E" w14:textId="77777777">
            <w:pPr>
              <w:spacing w:after="0"/>
              <w:jc w:val="right"/>
              <w:rPr>
                <w:rFonts w:ascii="Calibri" w:hAnsi="Calibri" w:cs="Calibri"/>
                <w:color w:val="000000"/>
              </w:rPr>
            </w:pPr>
            <w:r w:rsidRPr="005A385D">
              <w:rPr>
                <w:rFonts w:ascii="Calibri" w:hAnsi="Calibri" w:cs="Calibri"/>
                <w:color w:val="000000"/>
              </w:rPr>
              <w:t>9</w:t>
            </w:r>
          </w:p>
        </w:tc>
        <w:tc>
          <w:tcPr>
            <w:tcW w:w="7353" w:type="dxa"/>
            <w:tcBorders>
              <w:top w:val="nil"/>
              <w:left w:val="nil"/>
              <w:bottom w:val="nil"/>
              <w:right w:val="nil"/>
            </w:tcBorders>
            <w:vAlign w:val="center"/>
            <w:hideMark/>
          </w:tcPr>
          <w:p w:rsidRPr="005A385D" w:rsidR="005A385D" w:rsidP="00FA5DAE" w:rsidRDefault="005A385D" w14:paraId="4CAAA497" w14:textId="77777777">
            <w:pPr>
              <w:spacing w:after="0"/>
              <w:rPr>
                <w:rFonts w:ascii="Calibri" w:hAnsi="Calibri" w:cs="Calibri"/>
                <w:color w:val="000000"/>
              </w:rPr>
            </w:pPr>
            <w:r w:rsidRPr="005A385D">
              <w:rPr>
                <w:rFonts w:ascii="Calibri" w:hAnsi="Calibri" w:cs="Calibri"/>
                <w:color w:val="000000"/>
              </w:rPr>
              <w:t>Welke stappen worden gezet om het moderniseren van de ICT-systemen bij de Belastingdienst te versnellen? Welke onorthodoxe maatregelen zijn genomen of overwogen?</w:t>
            </w:r>
          </w:p>
        </w:tc>
      </w:tr>
      <w:tr w:rsidRPr="005A385D" w:rsidR="005A385D" w:rsidTr="005A385D" w14:paraId="2A86DF3B" w14:textId="77777777">
        <w:trPr>
          <w:trHeight w:val="510"/>
        </w:trPr>
        <w:tc>
          <w:tcPr>
            <w:tcW w:w="374" w:type="dxa"/>
            <w:tcBorders>
              <w:top w:val="nil"/>
              <w:left w:val="nil"/>
              <w:bottom w:val="nil"/>
              <w:right w:val="nil"/>
            </w:tcBorders>
            <w:vAlign w:val="center"/>
            <w:hideMark/>
          </w:tcPr>
          <w:p w:rsidRPr="005A385D" w:rsidR="005A385D" w:rsidP="00FA5DAE" w:rsidRDefault="005A385D" w14:paraId="2CA3AF71" w14:textId="77777777">
            <w:pPr>
              <w:spacing w:after="0"/>
              <w:jc w:val="right"/>
              <w:rPr>
                <w:rFonts w:ascii="Calibri" w:hAnsi="Calibri" w:cs="Calibri"/>
                <w:color w:val="000000"/>
              </w:rPr>
            </w:pPr>
            <w:r w:rsidRPr="005A385D">
              <w:rPr>
                <w:rFonts w:ascii="Calibri" w:hAnsi="Calibri" w:cs="Calibri"/>
                <w:color w:val="000000"/>
              </w:rPr>
              <w:t>10</w:t>
            </w:r>
          </w:p>
        </w:tc>
        <w:tc>
          <w:tcPr>
            <w:tcW w:w="7353" w:type="dxa"/>
            <w:tcBorders>
              <w:top w:val="nil"/>
              <w:left w:val="nil"/>
              <w:bottom w:val="nil"/>
              <w:right w:val="nil"/>
            </w:tcBorders>
            <w:vAlign w:val="center"/>
            <w:hideMark/>
          </w:tcPr>
          <w:p w:rsidRPr="005A385D" w:rsidR="005A385D" w:rsidP="00FA5DAE" w:rsidRDefault="005A385D" w14:paraId="1E8E5ED0" w14:textId="77777777">
            <w:pPr>
              <w:spacing w:after="0"/>
              <w:rPr>
                <w:rFonts w:ascii="Calibri" w:hAnsi="Calibri" w:cs="Calibri"/>
                <w:color w:val="000000"/>
              </w:rPr>
            </w:pPr>
            <w:r w:rsidRPr="005A385D">
              <w:rPr>
                <w:rFonts w:ascii="Calibri" w:hAnsi="Calibri" w:cs="Calibri"/>
                <w:color w:val="000000"/>
              </w:rPr>
              <w:t>Kan verder uitgesplitst worden waar de extra middelen voor 'Toeslagen Herstel' voor bedoeld zijn?</w:t>
            </w:r>
          </w:p>
        </w:tc>
      </w:tr>
      <w:tr w:rsidRPr="005A385D" w:rsidR="005A385D" w:rsidTr="005A385D" w14:paraId="0C83DECD" w14:textId="77777777">
        <w:trPr>
          <w:trHeight w:val="510"/>
        </w:trPr>
        <w:tc>
          <w:tcPr>
            <w:tcW w:w="374" w:type="dxa"/>
            <w:tcBorders>
              <w:top w:val="nil"/>
              <w:left w:val="nil"/>
              <w:bottom w:val="nil"/>
              <w:right w:val="nil"/>
            </w:tcBorders>
            <w:vAlign w:val="center"/>
            <w:hideMark/>
          </w:tcPr>
          <w:p w:rsidRPr="005A385D" w:rsidR="005A385D" w:rsidP="00FA5DAE" w:rsidRDefault="005A385D" w14:paraId="132EA870" w14:textId="77777777">
            <w:pPr>
              <w:spacing w:after="0"/>
              <w:jc w:val="right"/>
              <w:rPr>
                <w:rFonts w:ascii="Calibri" w:hAnsi="Calibri" w:cs="Calibri"/>
                <w:color w:val="000000"/>
              </w:rPr>
            </w:pPr>
            <w:r w:rsidRPr="005A385D">
              <w:rPr>
                <w:rFonts w:ascii="Calibri" w:hAnsi="Calibri" w:cs="Calibri"/>
                <w:color w:val="000000"/>
              </w:rPr>
              <w:t>11</w:t>
            </w:r>
          </w:p>
        </w:tc>
        <w:tc>
          <w:tcPr>
            <w:tcW w:w="7353" w:type="dxa"/>
            <w:tcBorders>
              <w:top w:val="nil"/>
              <w:left w:val="nil"/>
              <w:bottom w:val="nil"/>
              <w:right w:val="nil"/>
            </w:tcBorders>
            <w:vAlign w:val="center"/>
            <w:hideMark/>
          </w:tcPr>
          <w:p w:rsidRPr="005A385D" w:rsidR="005A385D" w:rsidP="00FA5DAE" w:rsidRDefault="005A385D" w14:paraId="0000878A" w14:textId="77777777">
            <w:pPr>
              <w:spacing w:after="0"/>
              <w:rPr>
                <w:rFonts w:ascii="Calibri" w:hAnsi="Calibri" w:cs="Calibri"/>
                <w:color w:val="000000"/>
              </w:rPr>
            </w:pPr>
            <w:r w:rsidRPr="005A385D">
              <w:rPr>
                <w:rFonts w:ascii="Calibri" w:hAnsi="Calibri" w:cs="Calibri"/>
                <w:color w:val="000000"/>
              </w:rPr>
              <w:t>Wordt verwacht dat ASN Bank ook in komende jaren geen dividend uitkeert?</w:t>
            </w:r>
          </w:p>
        </w:tc>
      </w:tr>
      <w:tr w:rsidRPr="005A385D" w:rsidR="005A385D" w:rsidTr="005A385D" w14:paraId="30884D31" w14:textId="77777777">
        <w:trPr>
          <w:trHeight w:val="765"/>
        </w:trPr>
        <w:tc>
          <w:tcPr>
            <w:tcW w:w="374" w:type="dxa"/>
            <w:tcBorders>
              <w:top w:val="nil"/>
              <w:left w:val="nil"/>
              <w:bottom w:val="nil"/>
              <w:right w:val="nil"/>
            </w:tcBorders>
            <w:vAlign w:val="center"/>
            <w:hideMark/>
          </w:tcPr>
          <w:p w:rsidRPr="005A385D" w:rsidR="005A385D" w:rsidP="00FA5DAE" w:rsidRDefault="005A385D" w14:paraId="3A07068F" w14:textId="77777777">
            <w:pPr>
              <w:spacing w:after="0"/>
              <w:jc w:val="right"/>
              <w:rPr>
                <w:rFonts w:ascii="Calibri" w:hAnsi="Calibri" w:cs="Calibri"/>
                <w:color w:val="000000"/>
              </w:rPr>
            </w:pPr>
            <w:r w:rsidRPr="005A385D">
              <w:rPr>
                <w:rFonts w:ascii="Calibri" w:hAnsi="Calibri" w:cs="Calibri"/>
                <w:color w:val="000000"/>
              </w:rPr>
              <w:t>12</w:t>
            </w:r>
          </w:p>
        </w:tc>
        <w:tc>
          <w:tcPr>
            <w:tcW w:w="7353" w:type="dxa"/>
            <w:tcBorders>
              <w:top w:val="nil"/>
              <w:left w:val="nil"/>
              <w:bottom w:val="nil"/>
              <w:right w:val="nil"/>
            </w:tcBorders>
            <w:vAlign w:val="center"/>
            <w:hideMark/>
          </w:tcPr>
          <w:p w:rsidRPr="005A385D" w:rsidR="005A385D" w:rsidP="00FA5DAE" w:rsidRDefault="005A385D" w14:paraId="3A937C9B" w14:textId="77777777">
            <w:pPr>
              <w:spacing w:after="0"/>
              <w:rPr>
                <w:rFonts w:ascii="Calibri" w:hAnsi="Calibri" w:cs="Calibri"/>
                <w:color w:val="000000"/>
              </w:rPr>
            </w:pPr>
            <w:r w:rsidRPr="005A385D">
              <w:rPr>
                <w:rFonts w:ascii="Calibri" w:hAnsi="Calibri" w:cs="Calibri"/>
                <w:color w:val="000000"/>
              </w:rPr>
              <w:t>Waarom is gekozen om in het geheel geen verwachte ontvangsten voor CBAM op te nemen in de begroting vanaf 2028? Is dit een waarschijnlijke uitkomst van onderhandelingen?</w:t>
            </w:r>
          </w:p>
        </w:tc>
      </w:tr>
      <w:tr w:rsidRPr="005A385D" w:rsidR="005A385D" w:rsidTr="005A385D" w14:paraId="211DFC40" w14:textId="77777777">
        <w:trPr>
          <w:trHeight w:val="510"/>
        </w:trPr>
        <w:tc>
          <w:tcPr>
            <w:tcW w:w="374" w:type="dxa"/>
            <w:tcBorders>
              <w:top w:val="nil"/>
              <w:left w:val="nil"/>
              <w:bottom w:val="nil"/>
              <w:right w:val="nil"/>
            </w:tcBorders>
            <w:vAlign w:val="center"/>
            <w:hideMark/>
          </w:tcPr>
          <w:p w:rsidRPr="005A385D" w:rsidR="005A385D" w:rsidP="00FA5DAE" w:rsidRDefault="005A385D" w14:paraId="7806217F" w14:textId="77777777">
            <w:pPr>
              <w:spacing w:after="0"/>
              <w:jc w:val="right"/>
              <w:rPr>
                <w:rFonts w:ascii="Calibri" w:hAnsi="Calibri" w:cs="Calibri"/>
                <w:color w:val="000000"/>
              </w:rPr>
            </w:pPr>
            <w:r w:rsidRPr="005A385D">
              <w:rPr>
                <w:rFonts w:ascii="Calibri" w:hAnsi="Calibri" w:cs="Calibri"/>
                <w:color w:val="000000"/>
              </w:rPr>
              <w:lastRenderedPageBreak/>
              <w:t>13</w:t>
            </w:r>
          </w:p>
        </w:tc>
        <w:tc>
          <w:tcPr>
            <w:tcW w:w="7353" w:type="dxa"/>
            <w:tcBorders>
              <w:top w:val="nil"/>
              <w:left w:val="nil"/>
              <w:bottom w:val="nil"/>
              <w:right w:val="nil"/>
            </w:tcBorders>
            <w:vAlign w:val="center"/>
            <w:hideMark/>
          </w:tcPr>
          <w:p w:rsidRPr="005A385D" w:rsidR="005A385D" w:rsidP="00FA5DAE" w:rsidRDefault="005A385D" w14:paraId="1E3FF708" w14:textId="77777777">
            <w:pPr>
              <w:spacing w:after="0"/>
              <w:rPr>
                <w:rFonts w:ascii="Calibri" w:hAnsi="Calibri" w:cs="Calibri"/>
                <w:color w:val="000000"/>
              </w:rPr>
            </w:pPr>
            <w:r w:rsidRPr="005A385D">
              <w:rPr>
                <w:rFonts w:ascii="Calibri" w:hAnsi="Calibri" w:cs="Calibri"/>
                <w:color w:val="000000"/>
              </w:rPr>
              <w:t>Welk niveau van begrotingsreserve wordt wenselijk geacht voor exportkredietverzekeringen?</w:t>
            </w:r>
          </w:p>
        </w:tc>
      </w:tr>
      <w:tr w:rsidRPr="005A385D" w:rsidR="005A385D" w:rsidTr="005A385D" w14:paraId="274FA859" w14:textId="77777777">
        <w:trPr>
          <w:trHeight w:val="510"/>
        </w:trPr>
        <w:tc>
          <w:tcPr>
            <w:tcW w:w="374" w:type="dxa"/>
            <w:tcBorders>
              <w:top w:val="nil"/>
              <w:left w:val="nil"/>
              <w:bottom w:val="nil"/>
              <w:right w:val="nil"/>
            </w:tcBorders>
            <w:vAlign w:val="center"/>
            <w:hideMark/>
          </w:tcPr>
          <w:p w:rsidRPr="005A385D" w:rsidR="005A385D" w:rsidP="00FA5DAE" w:rsidRDefault="005A385D" w14:paraId="1662DF6C" w14:textId="77777777">
            <w:pPr>
              <w:spacing w:after="0"/>
              <w:jc w:val="right"/>
              <w:rPr>
                <w:rFonts w:ascii="Calibri" w:hAnsi="Calibri" w:cs="Calibri"/>
                <w:color w:val="000000"/>
              </w:rPr>
            </w:pPr>
            <w:r w:rsidRPr="005A385D">
              <w:rPr>
                <w:rFonts w:ascii="Calibri" w:hAnsi="Calibri" w:cs="Calibri"/>
                <w:color w:val="000000"/>
              </w:rPr>
              <w:t>14</w:t>
            </w:r>
          </w:p>
        </w:tc>
        <w:tc>
          <w:tcPr>
            <w:tcW w:w="7353" w:type="dxa"/>
            <w:tcBorders>
              <w:top w:val="nil"/>
              <w:left w:val="nil"/>
              <w:bottom w:val="nil"/>
              <w:right w:val="nil"/>
            </w:tcBorders>
            <w:vAlign w:val="center"/>
            <w:hideMark/>
          </w:tcPr>
          <w:p w:rsidRPr="005A385D" w:rsidR="005A385D" w:rsidP="00FA5DAE" w:rsidRDefault="005A385D" w14:paraId="6A21E03D" w14:textId="77777777">
            <w:pPr>
              <w:spacing w:after="0"/>
              <w:rPr>
                <w:rFonts w:ascii="Calibri" w:hAnsi="Calibri" w:cs="Calibri"/>
                <w:color w:val="000000"/>
              </w:rPr>
            </w:pPr>
            <w:r w:rsidRPr="005A385D">
              <w:rPr>
                <w:rFonts w:ascii="Calibri" w:hAnsi="Calibri" w:cs="Calibri"/>
                <w:color w:val="000000"/>
              </w:rPr>
              <w:t>Wat is het gemiddelde rentepercentage dat wordt betaald over de staatsschuld in 2025 en 2026?</w:t>
            </w:r>
          </w:p>
        </w:tc>
      </w:tr>
      <w:tr w:rsidRPr="005A385D" w:rsidR="005A385D" w:rsidTr="005A385D" w14:paraId="6201E309" w14:textId="77777777">
        <w:trPr>
          <w:trHeight w:val="1785"/>
        </w:trPr>
        <w:tc>
          <w:tcPr>
            <w:tcW w:w="374" w:type="dxa"/>
            <w:tcBorders>
              <w:top w:val="nil"/>
              <w:left w:val="nil"/>
              <w:bottom w:val="nil"/>
              <w:right w:val="nil"/>
            </w:tcBorders>
            <w:vAlign w:val="center"/>
            <w:hideMark/>
          </w:tcPr>
          <w:p w:rsidRPr="005A385D" w:rsidR="005A385D" w:rsidP="00FA5DAE" w:rsidRDefault="005A385D" w14:paraId="35FA3254" w14:textId="77777777">
            <w:pPr>
              <w:spacing w:after="0"/>
              <w:jc w:val="right"/>
              <w:rPr>
                <w:rFonts w:ascii="Calibri" w:hAnsi="Calibri" w:cs="Calibri"/>
                <w:color w:val="000000"/>
              </w:rPr>
            </w:pPr>
            <w:r w:rsidRPr="005A385D">
              <w:rPr>
                <w:rFonts w:ascii="Calibri" w:hAnsi="Calibri" w:cs="Calibri"/>
                <w:color w:val="000000"/>
              </w:rPr>
              <w:t>15</w:t>
            </w:r>
          </w:p>
        </w:tc>
        <w:tc>
          <w:tcPr>
            <w:tcW w:w="7353" w:type="dxa"/>
            <w:tcBorders>
              <w:top w:val="nil"/>
              <w:left w:val="nil"/>
              <w:bottom w:val="nil"/>
              <w:right w:val="nil"/>
            </w:tcBorders>
            <w:vAlign w:val="center"/>
            <w:hideMark/>
          </w:tcPr>
          <w:p w:rsidRPr="005A385D" w:rsidR="005A385D" w:rsidP="00FA5DAE" w:rsidRDefault="005A385D" w14:paraId="5A698BBE" w14:textId="77777777">
            <w:pPr>
              <w:spacing w:after="0"/>
              <w:rPr>
                <w:rFonts w:ascii="Calibri" w:hAnsi="Calibri" w:cs="Calibri"/>
                <w:color w:val="000000"/>
              </w:rPr>
            </w:pPr>
            <w:r w:rsidRPr="005A385D">
              <w:rPr>
                <w:rFonts w:ascii="Calibri" w:hAnsi="Calibri" w:cs="Calibri"/>
                <w:color w:val="000000"/>
              </w:rPr>
              <w:t>In Tabel 20 staat dat de gemiddelde leverage ratio van Nederlandse banken in 2024 5,7% is en de gemiddelde CET1-ratio 15,8%. Deze waarden liggen ruim boven de wettelijke minima van respectievelijk 3–3,5% en de Europese eisen. Hoe beoordeelt u deze bufferhoogten in het licht van financiële stabiliteit? Is hieruit af te leiden dat de banken voldoende robuust zijn, en leidt dit tot beleidsmatige aanpassingen of juist versoepelingen in het toezicht?</w:t>
            </w:r>
          </w:p>
        </w:tc>
      </w:tr>
      <w:tr w:rsidRPr="005A385D" w:rsidR="005A385D" w:rsidTr="005A385D" w14:paraId="0D018F1D" w14:textId="77777777">
        <w:trPr>
          <w:trHeight w:val="2040"/>
        </w:trPr>
        <w:tc>
          <w:tcPr>
            <w:tcW w:w="374" w:type="dxa"/>
            <w:tcBorders>
              <w:top w:val="nil"/>
              <w:left w:val="nil"/>
              <w:bottom w:val="nil"/>
              <w:right w:val="nil"/>
            </w:tcBorders>
            <w:vAlign w:val="center"/>
            <w:hideMark/>
          </w:tcPr>
          <w:p w:rsidRPr="005A385D" w:rsidR="005A385D" w:rsidP="00FA5DAE" w:rsidRDefault="005A385D" w14:paraId="7D6FB87E" w14:textId="77777777">
            <w:pPr>
              <w:spacing w:after="0"/>
              <w:jc w:val="right"/>
              <w:rPr>
                <w:rFonts w:ascii="Calibri" w:hAnsi="Calibri" w:cs="Calibri"/>
                <w:color w:val="000000"/>
              </w:rPr>
            </w:pPr>
            <w:r w:rsidRPr="005A385D">
              <w:rPr>
                <w:rFonts w:ascii="Calibri" w:hAnsi="Calibri" w:cs="Calibri"/>
                <w:color w:val="000000"/>
              </w:rPr>
              <w:t>16</w:t>
            </w:r>
          </w:p>
        </w:tc>
        <w:tc>
          <w:tcPr>
            <w:tcW w:w="7353" w:type="dxa"/>
            <w:tcBorders>
              <w:top w:val="nil"/>
              <w:left w:val="nil"/>
              <w:bottom w:val="nil"/>
              <w:right w:val="nil"/>
            </w:tcBorders>
            <w:vAlign w:val="center"/>
            <w:hideMark/>
          </w:tcPr>
          <w:p w:rsidRPr="005A385D" w:rsidR="005A385D" w:rsidP="00FA5DAE" w:rsidRDefault="005A385D" w14:paraId="4205AD03" w14:textId="77777777">
            <w:pPr>
              <w:spacing w:after="0"/>
              <w:rPr>
                <w:rFonts w:ascii="Calibri" w:hAnsi="Calibri" w:cs="Calibri"/>
                <w:color w:val="000000"/>
              </w:rPr>
            </w:pPr>
            <w:r w:rsidRPr="005A385D">
              <w:rPr>
                <w:rFonts w:ascii="Calibri" w:hAnsi="Calibri" w:cs="Calibri"/>
                <w:color w:val="000000"/>
              </w:rPr>
              <w:t>In Tabel 22 wordt de beschikbaarheid van de pinnenbetaalketen voor 2024 vastgesteld op 99,89%, gelijk aan de jaren 2021–2023. Tevens staat vermeld dat de beschikbaarheid van iDEAL in 2024 99,97% is. Klopt het dat deze cijfers gelden voor het afgelopen jaar en hoe worden deze percentages gemeten en gehandhaafd? Kunt u toelichten waarom de norm voor pinbetalingen (99,88%) in 2024 vrijwel exact is bereikt, en of voor mobiel en internetbankieren ook dergelijke meetbare beschikbaarheidsnormen bestaan?</w:t>
            </w:r>
          </w:p>
        </w:tc>
      </w:tr>
      <w:tr w:rsidRPr="005A385D" w:rsidR="005A385D" w:rsidTr="005A385D" w14:paraId="6318AD1C" w14:textId="77777777">
        <w:trPr>
          <w:trHeight w:val="2040"/>
        </w:trPr>
        <w:tc>
          <w:tcPr>
            <w:tcW w:w="374" w:type="dxa"/>
            <w:tcBorders>
              <w:top w:val="nil"/>
              <w:left w:val="nil"/>
              <w:bottom w:val="nil"/>
              <w:right w:val="nil"/>
            </w:tcBorders>
            <w:vAlign w:val="center"/>
            <w:hideMark/>
          </w:tcPr>
          <w:p w:rsidRPr="005A385D" w:rsidR="005A385D" w:rsidP="00FA5DAE" w:rsidRDefault="005A385D" w14:paraId="0FDC0529" w14:textId="77777777">
            <w:pPr>
              <w:spacing w:after="0"/>
              <w:jc w:val="right"/>
              <w:rPr>
                <w:rFonts w:ascii="Calibri" w:hAnsi="Calibri" w:cs="Calibri"/>
                <w:color w:val="000000"/>
              </w:rPr>
            </w:pPr>
            <w:r w:rsidRPr="005A385D">
              <w:rPr>
                <w:rFonts w:ascii="Calibri" w:hAnsi="Calibri" w:cs="Calibri"/>
                <w:color w:val="000000"/>
              </w:rPr>
              <w:t>17</w:t>
            </w:r>
          </w:p>
        </w:tc>
        <w:tc>
          <w:tcPr>
            <w:tcW w:w="7353" w:type="dxa"/>
            <w:tcBorders>
              <w:top w:val="nil"/>
              <w:left w:val="nil"/>
              <w:bottom w:val="nil"/>
              <w:right w:val="nil"/>
            </w:tcBorders>
            <w:vAlign w:val="center"/>
            <w:hideMark/>
          </w:tcPr>
          <w:p w:rsidRPr="005A385D" w:rsidR="005A385D" w:rsidP="00FA5DAE" w:rsidRDefault="005A385D" w14:paraId="06BE9D29" w14:textId="77777777">
            <w:pPr>
              <w:spacing w:after="0"/>
              <w:rPr>
                <w:rFonts w:ascii="Calibri" w:hAnsi="Calibri" w:cs="Calibri"/>
                <w:color w:val="000000"/>
              </w:rPr>
            </w:pPr>
            <w:r w:rsidRPr="005A385D">
              <w:rPr>
                <w:rFonts w:ascii="Calibri" w:hAnsi="Calibri" w:cs="Calibri"/>
                <w:color w:val="000000"/>
              </w:rPr>
              <w:t>Tabel 21 geeft aan dat de gemiddelde solvabiliteitsratio van levensverzekeraars in 2023 189,45% is, terwijl die van schadeverzekeraars 172,1% bedraagt. De levensverzekeraars houden dus significant meer kapitaal aan. Kunt u verklaren waarom levensverzekeraars doorgaans een hogere solvabiliteitsmarge hanteren dan schadeverzekeraars en hoe deze hoge ratio’s zich verhouden tot de minimale norm van 100% (Solvency II-eis)? Ziet u aanleiding om op grond hiervan het huidige regelgevend kader aan te passen?</w:t>
            </w:r>
          </w:p>
        </w:tc>
      </w:tr>
      <w:tr w:rsidRPr="005A385D" w:rsidR="005A385D" w:rsidTr="005A385D" w14:paraId="1F5243CD" w14:textId="77777777">
        <w:trPr>
          <w:trHeight w:val="1530"/>
        </w:trPr>
        <w:tc>
          <w:tcPr>
            <w:tcW w:w="374" w:type="dxa"/>
            <w:tcBorders>
              <w:top w:val="nil"/>
              <w:left w:val="nil"/>
              <w:bottom w:val="nil"/>
              <w:right w:val="nil"/>
            </w:tcBorders>
            <w:vAlign w:val="center"/>
            <w:hideMark/>
          </w:tcPr>
          <w:p w:rsidRPr="005A385D" w:rsidR="005A385D" w:rsidP="00FA5DAE" w:rsidRDefault="005A385D" w14:paraId="44B5EC34" w14:textId="77777777">
            <w:pPr>
              <w:spacing w:after="0"/>
              <w:jc w:val="right"/>
              <w:rPr>
                <w:rFonts w:ascii="Calibri" w:hAnsi="Calibri" w:cs="Calibri"/>
                <w:color w:val="000000"/>
              </w:rPr>
            </w:pPr>
            <w:r w:rsidRPr="005A385D">
              <w:rPr>
                <w:rFonts w:ascii="Calibri" w:hAnsi="Calibri" w:cs="Calibri"/>
                <w:color w:val="000000"/>
              </w:rPr>
              <w:t>18</w:t>
            </w:r>
          </w:p>
        </w:tc>
        <w:tc>
          <w:tcPr>
            <w:tcW w:w="7353" w:type="dxa"/>
            <w:tcBorders>
              <w:top w:val="nil"/>
              <w:left w:val="nil"/>
              <w:bottom w:val="nil"/>
              <w:right w:val="nil"/>
            </w:tcBorders>
            <w:vAlign w:val="center"/>
            <w:hideMark/>
          </w:tcPr>
          <w:p w:rsidRPr="005A385D" w:rsidR="005A385D" w:rsidP="00FA5DAE" w:rsidRDefault="005A385D" w14:paraId="12336959" w14:textId="77777777">
            <w:pPr>
              <w:spacing w:after="0"/>
              <w:rPr>
                <w:rFonts w:ascii="Calibri" w:hAnsi="Calibri" w:cs="Calibri"/>
                <w:color w:val="000000"/>
              </w:rPr>
            </w:pPr>
            <w:r w:rsidRPr="005A385D">
              <w:rPr>
                <w:rFonts w:ascii="Calibri" w:hAnsi="Calibri" w:cs="Calibri"/>
                <w:color w:val="000000"/>
              </w:rPr>
              <w:t>Uit Tabel 24 blijkt dat voor de Accountantskamer in 2026 een bedrag van €1.481.000 wordt geraamd. Kunt u bevestigen dat deze uitgaven ongewijzigd zijn gebleven ten opzichte van 2025? Zo ja, uit welke specifieke werkzaamheden of toezichtstaken bestaan deze uitgaven voor de Accountantskamer, en is er een verklaring voor deze gelijke begrotingspost in opeenvolgende jaren?</w:t>
            </w:r>
          </w:p>
        </w:tc>
      </w:tr>
      <w:tr w:rsidRPr="005A385D" w:rsidR="005A385D" w:rsidTr="005A385D" w14:paraId="50A07451" w14:textId="77777777">
        <w:trPr>
          <w:trHeight w:val="510"/>
        </w:trPr>
        <w:tc>
          <w:tcPr>
            <w:tcW w:w="374" w:type="dxa"/>
            <w:tcBorders>
              <w:top w:val="nil"/>
              <w:left w:val="nil"/>
              <w:bottom w:val="nil"/>
              <w:right w:val="nil"/>
            </w:tcBorders>
            <w:vAlign w:val="center"/>
            <w:hideMark/>
          </w:tcPr>
          <w:p w:rsidRPr="005A385D" w:rsidR="005A385D" w:rsidP="00FA5DAE" w:rsidRDefault="005A385D" w14:paraId="31FFE45E" w14:textId="77777777">
            <w:pPr>
              <w:spacing w:after="0"/>
              <w:jc w:val="right"/>
              <w:rPr>
                <w:rFonts w:ascii="Calibri" w:hAnsi="Calibri" w:cs="Calibri"/>
                <w:color w:val="000000"/>
              </w:rPr>
            </w:pPr>
            <w:r w:rsidRPr="005A385D">
              <w:rPr>
                <w:rFonts w:ascii="Calibri" w:hAnsi="Calibri" w:cs="Calibri"/>
                <w:color w:val="000000"/>
              </w:rPr>
              <w:t>19</w:t>
            </w:r>
          </w:p>
        </w:tc>
        <w:tc>
          <w:tcPr>
            <w:tcW w:w="7353" w:type="dxa"/>
            <w:tcBorders>
              <w:top w:val="nil"/>
              <w:left w:val="nil"/>
              <w:bottom w:val="nil"/>
              <w:right w:val="nil"/>
            </w:tcBorders>
            <w:vAlign w:val="center"/>
            <w:hideMark/>
          </w:tcPr>
          <w:p w:rsidRPr="005A385D" w:rsidR="005A385D" w:rsidP="00FA5DAE" w:rsidRDefault="005A385D" w14:paraId="40E8BC45" w14:textId="77777777">
            <w:pPr>
              <w:spacing w:after="0"/>
              <w:rPr>
                <w:rFonts w:ascii="Calibri" w:hAnsi="Calibri" w:cs="Calibri"/>
                <w:color w:val="000000"/>
              </w:rPr>
            </w:pPr>
            <w:r w:rsidRPr="005A385D">
              <w:rPr>
                <w:rFonts w:ascii="Calibri" w:hAnsi="Calibri" w:cs="Calibri"/>
                <w:color w:val="000000"/>
              </w:rPr>
              <w:t>Heeft Invest-NL voor de komende jaren nog wel voldoende financiële middelen om aan de vraag te voldoen?</w:t>
            </w:r>
          </w:p>
        </w:tc>
      </w:tr>
      <w:tr w:rsidRPr="005A385D" w:rsidR="005A385D" w:rsidTr="005A385D" w14:paraId="395598E9" w14:textId="77777777">
        <w:trPr>
          <w:trHeight w:val="510"/>
        </w:trPr>
        <w:tc>
          <w:tcPr>
            <w:tcW w:w="374" w:type="dxa"/>
            <w:tcBorders>
              <w:top w:val="nil"/>
              <w:left w:val="nil"/>
              <w:bottom w:val="nil"/>
              <w:right w:val="nil"/>
            </w:tcBorders>
            <w:vAlign w:val="center"/>
            <w:hideMark/>
          </w:tcPr>
          <w:p w:rsidRPr="005A385D" w:rsidR="005A385D" w:rsidP="00FA5DAE" w:rsidRDefault="005A385D" w14:paraId="369B26BC" w14:textId="77777777">
            <w:pPr>
              <w:spacing w:after="0"/>
              <w:jc w:val="right"/>
              <w:rPr>
                <w:rFonts w:ascii="Calibri" w:hAnsi="Calibri" w:cs="Calibri"/>
                <w:color w:val="000000"/>
              </w:rPr>
            </w:pPr>
            <w:r w:rsidRPr="005A385D">
              <w:rPr>
                <w:rFonts w:ascii="Calibri" w:hAnsi="Calibri" w:cs="Calibri"/>
                <w:color w:val="000000"/>
              </w:rPr>
              <w:t>20</w:t>
            </w:r>
          </w:p>
        </w:tc>
        <w:tc>
          <w:tcPr>
            <w:tcW w:w="7353" w:type="dxa"/>
            <w:tcBorders>
              <w:top w:val="nil"/>
              <w:left w:val="nil"/>
              <w:bottom w:val="nil"/>
              <w:right w:val="nil"/>
            </w:tcBorders>
            <w:vAlign w:val="center"/>
            <w:hideMark/>
          </w:tcPr>
          <w:p w:rsidRPr="005A385D" w:rsidR="005A385D" w:rsidP="00FA5DAE" w:rsidRDefault="005A385D" w14:paraId="7929D5EE" w14:textId="77777777">
            <w:pPr>
              <w:spacing w:after="0"/>
              <w:rPr>
                <w:rFonts w:ascii="Calibri" w:hAnsi="Calibri" w:cs="Calibri"/>
                <w:color w:val="000000" w:themeColor="text1"/>
              </w:rPr>
            </w:pPr>
            <w:r w:rsidRPr="005A385D">
              <w:rPr>
                <w:rFonts w:ascii="Calibri" w:hAnsi="Calibri" w:cs="Calibri"/>
                <w:color w:val="000000" w:themeColor="text1"/>
              </w:rPr>
              <w:t>Waarom laat de BerB een halvering zien ten opzichte van 2021 en hoe zit het met de kostendekkingsgraad op langere termijn?</w:t>
            </w:r>
          </w:p>
        </w:tc>
      </w:tr>
      <w:tr w:rsidRPr="005A385D" w:rsidR="005A385D" w:rsidTr="005A385D" w14:paraId="1A7D89CF" w14:textId="77777777">
        <w:trPr>
          <w:trHeight w:val="1785"/>
        </w:trPr>
        <w:tc>
          <w:tcPr>
            <w:tcW w:w="374" w:type="dxa"/>
            <w:tcBorders>
              <w:top w:val="nil"/>
              <w:left w:val="nil"/>
              <w:bottom w:val="nil"/>
              <w:right w:val="nil"/>
            </w:tcBorders>
            <w:vAlign w:val="center"/>
            <w:hideMark/>
          </w:tcPr>
          <w:p w:rsidRPr="005A385D" w:rsidR="005A385D" w:rsidP="00FA5DAE" w:rsidRDefault="005A385D" w14:paraId="23D7F392" w14:textId="77777777">
            <w:pPr>
              <w:spacing w:after="0"/>
              <w:jc w:val="right"/>
              <w:rPr>
                <w:rFonts w:ascii="Calibri" w:hAnsi="Calibri" w:cs="Calibri"/>
                <w:color w:val="000000"/>
              </w:rPr>
            </w:pPr>
            <w:r w:rsidRPr="005A385D">
              <w:rPr>
                <w:rFonts w:ascii="Calibri" w:hAnsi="Calibri" w:cs="Calibri"/>
                <w:color w:val="000000"/>
              </w:rPr>
              <w:t>21</w:t>
            </w:r>
          </w:p>
        </w:tc>
        <w:tc>
          <w:tcPr>
            <w:tcW w:w="7353" w:type="dxa"/>
            <w:tcBorders>
              <w:top w:val="nil"/>
              <w:left w:val="nil"/>
              <w:bottom w:val="nil"/>
              <w:right w:val="nil"/>
            </w:tcBorders>
            <w:vAlign w:val="center"/>
            <w:hideMark/>
          </w:tcPr>
          <w:p w:rsidRPr="005A385D" w:rsidR="005A385D" w:rsidP="00FA5DAE" w:rsidRDefault="005A385D" w14:paraId="2EA7E21C" w14:textId="77777777">
            <w:pPr>
              <w:spacing w:after="0"/>
              <w:rPr>
                <w:rFonts w:ascii="Calibri" w:hAnsi="Calibri" w:cs="Calibri"/>
                <w:color w:val="000000"/>
              </w:rPr>
            </w:pPr>
            <w:r w:rsidRPr="005A385D">
              <w:rPr>
                <w:rFonts w:ascii="Calibri" w:hAnsi="Calibri" w:cs="Calibri"/>
                <w:color w:val="000000"/>
              </w:rPr>
              <w:t>Tabel 39 vermeldt dat de geraamde uitgaven voor garanties in 2026 € 79.900 miljoen bedragen. Tevens staat genoteerd dat de mutatie van de EKV-begrotingsreserve in 2026 € 72.884 miljoen is. Kunt u toelichten wat precies de componenten van deze garantiebudgetpost zijn en hoe de mutatie van de begrotingsreserve tot stand komt? Wat zijn de gevolgen van deze reserveringsmutatie voor de uitvoeringskosten of het eigen vermogen van de EKV-faciliteit?</w:t>
            </w:r>
          </w:p>
        </w:tc>
      </w:tr>
      <w:tr w:rsidRPr="005A385D" w:rsidR="005A385D" w:rsidTr="005A385D" w14:paraId="4BF0E571" w14:textId="77777777">
        <w:trPr>
          <w:trHeight w:val="1530"/>
        </w:trPr>
        <w:tc>
          <w:tcPr>
            <w:tcW w:w="374" w:type="dxa"/>
            <w:tcBorders>
              <w:top w:val="nil"/>
              <w:left w:val="nil"/>
              <w:bottom w:val="nil"/>
              <w:right w:val="nil"/>
            </w:tcBorders>
            <w:vAlign w:val="center"/>
            <w:hideMark/>
          </w:tcPr>
          <w:p w:rsidRPr="005A385D" w:rsidR="005A385D" w:rsidP="00FA5DAE" w:rsidRDefault="005A385D" w14:paraId="5D1C87DD" w14:textId="77777777">
            <w:pPr>
              <w:spacing w:after="0"/>
              <w:jc w:val="right"/>
              <w:rPr>
                <w:rFonts w:ascii="Calibri" w:hAnsi="Calibri" w:cs="Calibri"/>
                <w:color w:val="000000"/>
              </w:rPr>
            </w:pPr>
            <w:r w:rsidRPr="005A385D">
              <w:rPr>
                <w:rFonts w:ascii="Calibri" w:hAnsi="Calibri" w:cs="Calibri"/>
                <w:color w:val="000000"/>
              </w:rPr>
              <w:t>22</w:t>
            </w:r>
          </w:p>
        </w:tc>
        <w:tc>
          <w:tcPr>
            <w:tcW w:w="7353" w:type="dxa"/>
            <w:tcBorders>
              <w:top w:val="nil"/>
              <w:left w:val="nil"/>
              <w:bottom w:val="nil"/>
              <w:right w:val="nil"/>
            </w:tcBorders>
            <w:vAlign w:val="center"/>
            <w:hideMark/>
          </w:tcPr>
          <w:p w:rsidRPr="005A385D" w:rsidR="005A385D" w:rsidP="00FA5DAE" w:rsidRDefault="005A385D" w14:paraId="2A9515EF" w14:textId="77777777">
            <w:pPr>
              <w:spacing w:after="0"/>
              <w:rPr>
                <w:rFonts w:ascii="Calibri" w:hAnsi="Calibri" w:cs="Calibri"/>
                <w:color w:val="000000"/>
              </w:rPr>
            </w:pPr>
            <w:r w:rsidRPr="005A385D">
              <w:rPr>
                <w:rFonts w:ascii="Calibri" w:hAnsi="Calibri" w:cs="Calibri"/>
                <w:color w:val="000000"/>
              </w:rPr>
              <w:t>Tabel 39 geeft ook de ramingen voor EKV-ontvangsten, met name dat de premieontvangsten in 2026 € 72.244 miljoen bedragen. Hoe verhouden deze geraamde premies zich tot de uitgavenposten (zoals schadetegemoetkomingen) in dezelfde jaren? Kunt u inzicht geven in de meerjarige ontwikkeling van premies versus uitgaven binnen de EKV-faciliteit en in hoeverre het demissionaire beleid hierin een rol speelt?</w:t>
            </w:r>
          </w:p>
        </w:tc>
      </w:tr>
      <w:tr w:rsidRPr="005A385D" w:rsidR="005A385D" w:rsidTr="005A385D" w14:paraId="70113780" w14:textId="77777777">
        <w:trPr>
          <w:trHeight w:val="1530"/>
        </w:trPr>
        <w:tc>
          <w:tcPr>
            <w:tcW w:w="374" w:type="dxa"/>
            <w:tcBorders>
              <w:top w:val="nil"/>
              <w:left w:val="nil"/>
              <w:bottom w:val="nil"/>
              <w:right w:val="nil"/>
            </w:tcBorders>
            <w:vAlign w:val="center"/>
            <w:hideMark/>
          </w:tcPr>
          <w:p w:rsidRPr="005A385D" w:rsidR="005A385D" w:rsidP="00FA5DAE" w:rsidRDefault="005A385D" w14:paraId="739EF325" w14:textId="77777777">
            <w:pPr>
              <w:spacing w:after="0"/>
              <w:jc w:val="right"/>
              <w:rPr>
                <w:rFonts w:ascii="Calibri" w:hAnsi="Calibri" w:cs="Calibri"/>
                <w:color w:val="000000"/>
              </w:rPr>
            </w:pPr>
            <w:r w:rsidRPr="005A385D">
              <w:rPr>
                <w:rFonts w:ascii="Calibri" w:hAnsi="Calibri" w:cs="Calibri"/>
                <w:color w:val="000000"/>
              </w:rPr>
              <w:lastRenderedPageBreak/>
              <w:t>23</w:t>
            </w:r>
          </w:p>
        </w:tc>
        <w:tc>
          <w:tcPr>
            <w:tcW w:w="7353" w:type="dxa"/>
            <w:tcBorders>
              <w:top w:val="nil"/>
              <w:left w:val="nil"/>
              <w:bottom w:val="nil"/>
              <w:right w:val="nil"/>
            </w:tcBorders>
            <w:vAlign w:val="center"/>
            <w:hideMark/>
          </w:tcPr>
          <w:p w:rsidRPr="005A385D" w:rsidR="005A385D" w:rsidP="00FA5DAE" w:rsidRDefault="005A385D" w14:paraId="33E2BD24" w14:textId="77777777">
            <w:pPr>
              <w:spacing w:after="0"/>
              <w:rPr>
                <w:rFonts w:ascii="Calibri" w:hAnsi="Calibri" w:cs="Calibri"/>
                <w:color w:val="000000"/>
              </w:rPr>
            </w:pPr>
            <w:r w:rsidRPr="005A385D">
              <w:rPr>
                <w:rFonts w:ascii="Calibri" w:hAnsi="Calibri" w:cs="Calibri"/>
                <w:color w:val="000000"/>
              </w:rPr>
              <w:t>Tabel 48 laat zien dat voor de post ‘Bijdragen vertragingsrente EU’ in 2026 geen bedrag is geraamd, terwijl in 2024 nog € 184.146 miljoen was opgevoerd. Om welke posten van vertraagde EU-bijdragen gaat het hier, en waarom is er in de begroting van 2026 geen meerjarige voorziening nodig voor vertragingsrente, terwijl dit in voorgaande jaren wel het geval was?</w:t>
            </w:r>
          </w:p>
        </w:tc>
      </w:tr>
      <w:tr w:rsidRPr="005A385D" w:rsidR="005A385D" w:rsidTr="005A385D" w14:paraId="683331E6" w14:textId="77777777">
        <w:trPr>
          <w:trHeight w:val="1275"/>
        </w:trPr>
        <w:tc>
          <w:tcPr>
            <w:tcW w:w="374" w:type="dxa"/>
            <w:tcBorders>
              <w:top w:val="nil"/>
              <w:left w:val="nil"/>
              <w:bottom w:val="nil"/>
              <w:right w:val="nil"/>
            </w:tcBorders>
            <w:vAlign w:val="center"/>
            <w:hideMark/>
          </w:tcPr>
          <w:p w:rsidRPr="005A385D" w:rsidR="005A385D" w:rsidP="00FA5DAE" w:rsidRDefault="005A385D" w14:paraId="5F8B219C" w14:textId="77777777">
            <w:pPr>
              <w:spacing w:after="0"/>
              <w:jc w:val="right"/>
              <w:rPr>
                <w:rFonts w:ascii="Calibri" w:hAnsi="Calibri" w:cs="Calibri"/>
                <w:color w:val="000000"/>
              </w:rPr>
            </w:pPr>
            <w:r w:rsidRPr="005A385D">
              <w:rPr>
                <w:rFonts w:ascii="Calibri" w:hAnsi="Calibri" w:cs="Calibri"/>
                <w:color w:val="000000"/>
              </w:rPr>
              <w:t>24</w:t>
            </w:r>
          </w:p>
        </w:tc>
        <w:tc>
          <w:tcPr>
            <w:tcW w:w="7353" w:type="dxa"/>
            <w:tcBorders>
              <w:top w:val="nil"/>
              <w:left w:val="nil"/>
              <w:bottom w:val="nil"/>
              <w:right w:val="nil"/>
            </w:tcBorders>
            <w:vAlign w:val="center"/>
            <w:hideMark/>
          </w:tcPr>
          <w:p w:rsidRPr="005A385D" w:rsidR="005A385D" w:rsidP="00FA5DAE" w:rsidRDefault="005A385D" w14:paraId="77953E1A" w14:textId="77777777">
            <w:pPr>
              <w:spacing w:after="0"/>
              <w:rPr>
                <w:rFonts w:ascii="Calibri" w:hAnsi="Calibri" w:cs="Calibri"/>
                <w:color w:val="000000"/>
              </w:rPr>
            </w:pPr>
            <w:r w:rsidRPr="005A385D">
              <w:rPr>
                <w:rFonts w:ascii="Calibri" w:hAnsi="Calibri" w:cs="Calibri"/>
                <w:color w:val="000000"/>
              </w:rPr>
              <w:t>Uit tabel 48 blijkt dat de personele uitgaven voor het Douane-apparaat in 2026 € 591.899 miljoen bedragen, vrijwel gelijk aan € 590.992 miljoen in 2025. Kunt u aangeven waardoor deze stabiele omvang wordt verklaard? Gaat het hierbij vooral om eigen personeel of externe inhuur, en welke factoren zorgen voor het feit dat dit bedrag nauwelijks verandert?</w:t>
            </w:r>
          </w:p>
        </w:tc>
      </w:tr>
    </w:tbl>
    <w:p w:rsidRPr="005A385D" w:rsidR="005A385D" w:rsidP="005A385D" w:rsidRDefault="005A385D" w14:paraId="0F0E2D75" w14:textId="77777777">
      <w:pPr>
        <w:rPr>
          <w:rFonts w:ascii="Calibri" w:hAnsi="Calibri" w:cs="Calibri"/>
        </w:rPr>
      </w:pPr>
    </w:p>
    <w:p w:rsidRPr="005A385D" w:rsidR="00766FA0" w:rsidRDefault="00766FA0" w14:paraId="2DF2A05F" w14:textId="77777777">
      <w:pPr>
        <w:rPr>
          <w:rFonts w:ascii="Calibri" w:hAnsi="Calibri" w:cs="Calibri"/>
        </w:rPr>
      </w:pPr>
    </w:p>
    <w:sectPr w:rsidRPr="005A385D" w:rsidR="00766FA0" w:rsidSect="005A385D">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7648" w14:textId="77777777" w:rsidR="005A385D" w:rsidRDefault="005A385D" w:rsidP="005A385D">
      <w:pPr>
        <w:spacing w:after="0" w:line="240" w:lineRule="auto"/>
      </w:pPr>
      <w:r>
        <w:separator/>
      </w:r>
    </w:p>
  </w:endnote>
  <w:endnote w:type="continuationSeparator" w:id="0">
    <w:p w14:paraId="11130B98" w14:textId="77777777" w:rsidR="005A385D" w:rsidRDefault="005A385D" w:rsidP="005A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9715" w14:textId="77777777" w:rsidR="005A385D" w:rsidRPr="005A385D" w:rsidRDefault="005A385D" w:rsidP="005A38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C977" w14:textId="77777777" w:rsidR="005A385D" w:rsidRPr="005A385D" w:rsidRDefault="005A385D" w:rsidP="005A38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0F2E" w14:textId="77777777" w:rsidR="005A385D" w:rsidRPr="005A385D" w:rsidRDefault="005A385D" w:rsidP="005A38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7D1A" w14:textId="77777777" w:rsidR="005A385D" w:rsidRDefault="005A385D" w:rsidP="005A385D">
      <w:pPr>
        <w:spacing w:after="0" w:line="240" w:lineRule="auto"/>
      </w:pPr>
      <w:r>
        <w:separator/>
      </w:r>
    </w:p>
  </w:footnote>
  <w:footnote w:type="continuationSeparator" w:id="0">
    <w:p w14:paraId="21D12D1D" w14:textId="77777777" w:rsidR="005A385D" w:rsidRDefault="005A385D" w:rsidP="005A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418F" w14:textId="77777777" w:rsidR="005A385D" w:rsidRPr="005A385D" w:rsidRDefault="005A385D" w:rsidP="005A38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35C6" w14:textId="77777777" w:rsidR="005A385D" w:rsidRPr="005A385D" w:rsidRDefault="005A385D" w:rsidP="005A38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944C" w14:textId="77777777" w:rsidR="005A385D" w:rsidRPr="005A385D" w:rsidRDefault="005A385D" w:rsidP="005A38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5D"/>
    <w:rsid w:val="005A385D"/>
    <w:rsid w:val="006E15CA"/>
    <w:rsid w:val="00766FA0"/>
    <w:rsid w:val="007A591F"/>
    <w:rsid w:val="00D05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B26B"/>
  <w15:chartTrackingRefBased/>
  <w15:docId w15:val="{2A74223F-878F-41BF-9A44-D1A1B784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38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38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385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385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A385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A38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38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38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38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85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385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385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A385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A385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A38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38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38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385D"/>
    <w:rPr>
      <w:rFonts w:eastAsiaTheme="majorEastAsia" w:cstheme="majorBidi"/>
      <w:color w:val="272727" w:themeColor="text1" w:themeTint="D8"/>
    </w:rPr>
  </w:style>
  <w:style w:type="paragraph" w:styleId="Titel">
    <w:name w:val="Title"/>
    <w:basedOn w:val="Standaard"/>
    <w:next w:val="Standaard"/>
    <w:link w:val="TitelChar"/>
    <w:uiPriority w:val="10"/>
    <w:qFormat/>
    <w:rsid w:val="005A3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38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8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38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38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385D"/>
    <w:rPr>
      <w:i/>
      <w:iCs/>
      <w:color w:val="404040" w:themeColor="text1" w:themeTint="BF"/>
    </w:rPr>
  </w:style>
  <w:style w:type="paragraph" w:styleId="Lijstalinea">
    <w:name w:val="List Paragraph"/>
    <w:basedOn w:val="Standaard"/>
    <w:uiPriority w:val="34"/>
    <w:qFormat/>
    <w:rsid w:val="005A385D"/>
    <w:pPr>
      <w:ind w:left="720"/>
      <w:contextualSpacing/>
    </w:pPr>
  </w:style>
  <w:style w:type="character" w:styleId="Intensievebenadrukking">
    <w:name w:val="Intense Emphasis"/>
    <w:basedOn w:val="Standaardalinea-lettertype"/>
    <w:uiPriority w:val="21"/>
    <w:qFormat/>
    <w:rsid w:val="005A385D"/>
    <w:rPr>
      <w:i/>
      <w:iCs/>
      <w:color w:val="2F5496" w:themeColor="accent1" w:themeShade="BF"/>
    </w:rPr>
  </w:style>
  <w:style w:type="paragraph" w:styleId="Duidelijkcitaat">
    <w:name w:val="Intense Quote"/>
    <w:basedOn w:val="Standaard"/>
    <w:next w:val="Standaard"/>
    <w:link w:val="DuidelijkcitaatChar"/>
    <w:uiPriority w:val="30"/>
    <w:qFormat/>
    <w:rsid w:val="005A3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385D"/>
    <w:rPr>
      <w:i/>
      <w:iCs/>
      <w:color w:val="2F5496" w:themeColor="accent1" w:themeShade="BF"/>
    </w:rPr>
  </w:style>
  <w:style w:type="character" w:styleId="Intensieveverwijzing">
    <w:name w:val="Intense Reference"/>
    <w:basedOn w:val="Standaardalinea-lettertype"/>
    <w:uiPriority w:val="32"/>
    <w:qFormat/>
    <w:rsid w:val="005A385D"/>
    <w:rPr>
      <w:b/>
      <w:bCs/>
      <w:smallCaps/>
      <w:color w:val="2F5496" w:themeColor="accent1" w:themeShade="BF"/>
      <w:spacing w:val="5"/>
    </w:rPr>
  </w:style>
  <w:style w:type="paragraph" w:styleId="Koptekst">
    <w:name w:val="header"/>
    <w:basedOn w:val="Standaard"/>
    <w:link w:val="KoptekstChar"/>
    <w:uiPriority w:val="99"/>
    <w:unhideWhenUsed/>
    <w:rsid w:val="005A385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A385D"/>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A38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940</ap:Words>
  <ap:Characters>5171</ap:Characters>
  <ap:DocSecurity>0</ap:DocSecurity>
  <ap:Lines>43</ap:Lines>
  <ap:Paragraphs>12</ap:Paragraphs>
  <ap:ScaleCrop>false</ap:ScaleCrop>
  <ap:LinksUpToDate>false</ap:LinksUpToDate>
  <ap:CharactersWithSpaces>6099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2025-10-01T07:11:00.0000000Z</dcterms:created>
  <dcterms:modified xsi:type="dcterms:W3CDTF">2025-10-01T07:15:00.0000000Z</dcterms:modified>
  <version/>
  <category/>
</coreProperties>
</file>