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36BC" w:rsidR="009336BC" w:rsidP="009336BC" w:rsidRDefault="009336BC" w14:paraId="21BB007B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-Bold" w:cs="DejaVuSerifCondensed-Bold"/>
          <w:b/>
          <w:bCs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-Bold" w:cs="DejaVuSerifCondensed-Bold"/>
          <w:b/>
          <w:bCs/>
          <w:color w:val="000000"/>
          <w:kern w:val="0"/>
          <w:sz w:val="18"/>
          <w:szCs w:val="18"/>
        </w:rPr>
        <w:t>2025Z15754</w:t>
      </w:r>
    </w:p>
    <w:p w:rsidRPr="009336BC" w:rsidR="009336BC" w:rsidP="009336BC" w:rsidRDefault="009336BC" w14:paraId="1E0E3F0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(ingezonden 2 september 2025)</w:t>
      </w:r>
    </w:p>
    <w:p w:rsidR="009336BC" w:rsidP="009336BC" w:rsidRDefault="009336BC" w14:paraId="7FA1E3F8" w14:textId="208EEE3D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Vragen van het lid Saris (Nieuw Sociaal Contract) aan de minister van Sociale Zaken en Werkgelegenheid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over het bericht ‘Communicatieplannen grote fondsen laten tegenvallers onbesproken’</w:t>
      </w:r>
    </w:p>
    <w:p w:rsidRPr="009336BC" w:rsidR="009336BC" w:rsidP="009336BC" w:rsidRDefault="009336BC" w14:paraId="5A76DAA8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03209650" w14:textId="3FDD13F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Bent u bekend met het bericht ‘Communicatieplannen grote fondsen laten tegenvallers onbesproken’?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1)</w:t>
      </w:r>
    </w:p>
    <w:p w:rsidR="00627385" w:rsidP="00627385" w:rsidRDefault="00627385" w14:paraId="35F13A60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0176C2" w:rsidR="00627385" w:rsidP="00627385" w:rsidRDefault="00627385" w14:paraId="0FA73251" w14:textId="629F6D69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0176C2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Antwoord 1</w:t>
      </w:r>
    </w:p>
    <w:p w:rsidR="00627385" w:rsidP="00627385" w:rsidRDefault="00627385" w14:paraId="2CC4D844" w14:textId="7F0FFB94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Ja.</w:t>
      </w:r>
    </w:p>
    <w:p w:rsidRPr="00627385" w:rsidR="00627385" w:rsidP="00627385" w:rsidRDefault="00627385" w14:paraId="0403ED89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266D5921" w14:textId="15B7A16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Wat is uw duiding van de constatering van de Autoriteit Financiële Markten (AFM) dat veel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communicatieplannen lacunes bevatten? Onderschrijft u de aansporing van de AFM aan fondsen om na te denken over de communicatie bij het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scenario dat de ambities voor de overgang niet worden gehaald en dit te verwerken in het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communicatieplan? Zo ja, hoe bent u voornemens dat onder de aandacht te brengen bij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pensioenfondsen?</w:t>
      </w:r>
    </w:p>
    <w:p w:rsidR="00627385" w:rsidP="00627385" w:rsidRDefault="00627385" w14:paraId="44606D6A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7858105E" w14:textId="59C011B1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Deelt u de mening dat de recente turbulente ontwikkelingen in de wereld waar de AFM op wijst het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belang onderstrepen van tijdige en realistische communicatie aan deelnemers over de voordelen en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nadelen van de overgang naar het nieuwe pensioenstelsel?</w:t>
      </w:r>
    </w:p>
    <w:p w:rsidR="001E5180" w:rsidP="001E5180" w:rsidRDefault="001E5180" w14:paraId="2A63C9E6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0176C2" w:rsidR="001E5180" w:rsidP="001E5180" w:rsidRDefault="001E5180" w14:paraId="46AF139C" w14:textId="4F8A1B5A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0176C2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 xml:space="preserve">Antwoord </w:t>
      </w:r>
      <w:r w:rsidRPr="000176C2" w:rsidR="007B2E5D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 xml:space="preserve">2 en </w:t>
      </w:r>
      <w:r w:rsidRPr="000176C2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3</w:t>
      </w:r>
    </w:p>
    <w:p w:rsidR="007B2E5D" w:rsidP="007B2E5D" w:rsidRDefault="007B2E5D" w14:paraId="4554926C" w14:textId="02EBD553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bookmarkStart w:name="_Hlk209437033" w:id="0"/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Met de AFM deel ik dat het belangrijk is deelnemers goed mee te nemen in de transitie naar de nieuwe pensioenregelingen. </w:t>
      </w:r>
      <w:r w:rsidR="00DD2B47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ijdens de Kamerbehandeling van het wetsvoorstel verlenging pensioentransitie </w:t>
      </w:r>
      <w:r w:rsidR="00DD2B47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zijn er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aanvullende maatregelen toegezegd.</w:t>
      </w:r>
      <w:r w:rsidR="008907F8">
        <w:rPr>
          <w:rStyle w:val="Voetnootmarkering"/>
          <w:rFonts w:ascii="Verdana" w:hAnsi="Verdana" w:eastAsia="DejaVuSerifCondensed" w:cs="DejaVuSerifCondensed"/>
          <w:color w:val="000000"/>
          <w:kern w:val="0"/>
          <w:sz w:val="18"/>
          <w:szCs w:val="18"/>
        </w:rPr>
        <w:footnoteReference w:id="1"/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Onderdeel daarvan is e</w:t>
      </w:r>
      <w:r w:rsidRPr="00AE39C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en aanscherping van de regelgeving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voor </w:t>
      </w:r>
      <w:r w:rsidRPr="00AE39C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pensioenuitvoerder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s</w:t>
      </w:r>
      <w:r w:rsidRPr="00AE39C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die </w:t>
      </w:r>
      <w:r w:rsidR="00470D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er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beter dan voorheen voor zorgt </w:t>
      </w:r>
      <w:r w:rsidRPr="00AE39C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dat de getoonde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AE39C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transitie-informatie leidt tot realistische verwachtingen bij deelnemer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s. </w:t>
      </w:r>
      <w:r w:rsidR="000176C2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Het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streven is om dit voor het eind van het jaar in regelgeving op te nemen</w:t>
      </w:r>
      <w:bookmarkEnd w:id="0"/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.</w:t>
      </w:r>
    </w:p>
    <w:p w:rsidR="00AE7ACE" w:rsidP="007B2E5D" w:rsidRDefault="00AE7ACE" w14:paraId="2F1EEDAE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AE7ACE" w:rsidP="007B2E5D" w:rsidRDefault="00C01E6B" w14:paraId="63B69404" w14:textId="1359C25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Mondiale economische ontwikkelingen en fluctuaties op financiële markten kunnen van invloed zijn op de waarde van beleggingen die pensioenfondsen aanhouden en daarmee op de dekkingsgraad. </w:t>
      </w:r>
      <w:r w:rsidR="00AE7AC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In het </w:t>
      </w:r>
      <w:r w:rsidR="00F51ED2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transitie</w:t>
      </w:r>
      <w:r w:rsidR="00AE7AC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plan van het pensioenfonds moet beschreven staan welke procedure in werking treedt en welke alternatieve transitie-afspraken van toepassing worden als in aanloop naar de transitie de dekkingsgraad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zakt onder een kritische grens</w:t>
      </w:r>
      <w:r w:rsidR="00AE7AC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.</w:t>
      </w:r>
      <w:r w:rsidR="00B0520C">
        <w:rPr>
          <w:rStyle w:val="Voetnootmarkering"/>
          <w:rFonts w:ascii="Verdana" w:hAnsi="Verdana" w:eastAsia="DejaVuSerifCondensed" w:cs="DejaVuSerifCondensed"/>
          <w:color w:val="000000"/>
          <w:kern w:val="0"/>
          <w:sz w:val="18"/>
          <w:szCs w:val="18"/>
        </w:rPr>
        <w:footnoteReference w:id="2"/>
      </w:r>
      <w:r w:rsidR="00AE7AC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="000176C2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Het</w:t>
      </w:r>
      <w:r w:rsidR="00B052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beeld is dat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transitieplannen </w:t>
      </w:r>
      <w:r w:rsidR="00B052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hieraan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voldoen</w:t>
      </w:r>
      <w:r w:rsidR="00B052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.</w:t>
      </w:r>
    </w:p>
    <w:p w:rsidRPr="001E5180" w:rsidR="001E5180" w:rsidP="001E5180" w:rsidRDefault="001E5180" w14:paraId="3FC48BBD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22458398" w14:textId="672BA9A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Hoe beoordeelt u het gegeven dat diverse grote fondsen die per 1 januari 2026 overgaan naar het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nieuwe stelsel in tegenspraak met de wens van de AFM niets hebben vastgelegd in hun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communicatieplan over wat ze gaan doen bij tegenvallers?</w:t>
      </w:r>
    </w:p>
    <w:p w:rsidR="0001185F" w:rsidP="0001185F" w:rsidRDefault="0001185F" w14:paraId="37E71F9B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AE75EB" w:rsidR="0001185F" w:rsidP="0001185F" w:rsidRDefault="0001185F" w14:paraId="67B202EC" w14:textId="50C99ED1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AE75EB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Antwoord 4</w:t>
      </w:r>
    </w:p>
    <w:p w:rsidR="00105470" w:rsidP="00105470" w:rsidRDefault="0001185F" w14:paraId="1678223D" w14:textId="6E52D9A9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Het is niet </w:t>
      </w:r>
      <w:r w:rsidR="00414C4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voorgeschreven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om in het communicatieplan vast te leggen wat pensioenfondsen gaan doen bij tegenvallers</w:t>
      </w:r>
      <w:r w:rsidR="00C01E6B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; dat staat </w:t>
      </w:r>
      <w:r w:rsidR="00232F5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aangegeven </w:t>
      </w:r>
      <w:r w:rsidR="00C01E6B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in het transitieplan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. </w:t>
      </w:r>
      <w:r w:rsidR="00FE16F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Wat beschreven staat in de communicatieplannen </w:t>
      </w:r>
      <w:r w:rsidR="00B052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hoeft geen </w:t>
      </w:r>
      <w:r w:rsidR="00FE16F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uitputtende opsomming </w:t>
      </w:r>
      <w:r w:rsidR="00B0520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te zijn </w:t>
      </w:r>
      <w:r w:rsidR="00FE16FE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van </w:t>
      </w:r>
      <w:r w:rsidR="00414C4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de </w:t>
      </w:r>
      <w:r w:rsidR="003062C3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communicatie-uitingen en informatiedragers die pensioenuitvoerders </w:t>
      </w:r>
      <w:r w:rsidR="00414C4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bij de transitie (gaan) </w:t>
      </w:r>
      <w:r w:rsidR="003062C3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inzetten. </w:t>
      </w:r>
      <w:r w:rsidR="00414C4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In </w:t>
      </w:r>
      <w:r w:rsidR="003062C3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de Pensioenwet </w:t>
      </w:r>
      <w:r w:rsidR="00414C48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is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voorgeschreven dat pensioenfondsen rond de transitiedatum hun deelnemers op een duidelijke, evenwichtige en correcte wijze informeren over hun te verwachten pensioen</w:t>
      </w:r>
      <w:r w:rsidR="007B2E5D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in de oude en </w:t>
      </w:r>
      <w:r w:rsidR="003062C3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in </w:t>
      </w:r>
      <w:r w:rsidR="007B2E5D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de nieuwe situatie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; wat kon men verwachten in de oude regeling en hoeveel wordt </w:t>
      </w:r>
      <w:r w:rsidR="00970EC4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het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in de nieuwe regeling.</w:t>
      </w:r>
      <w:r w:rsidR="00F42AA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Onderdeel van dit voorschrift is </w:t>
      </w:r>
      <w:r w:rsidR="00806EE6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ook om </w:t>
      </w:r>
      <w:r w:rsidR="00F42AA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te tonen wat het verwachte pensioenbedrag wordt als het heel erg tegen zit.</w:t>
      </w:r>
      <w:r w:rsidR="00806EE6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="00F51ED2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AFM houdt hier toezicht op.</w:t>
      </w:r>
    </w:p>
    <w:p w:rsidRPr="0001185F" w:rsidR="0001185F" w:rsidP="0001185F" w:rsidRDefault="0001185F" w14:paraId="7BC8BB2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AE75EB" w:rsidRDefault="00AE75EB" w14:paraId="477C1728" w14:textId="77777777">
      <w:pP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br w:type="page"/>
      </w:r>
    </w:p>
    <w:p w:rsidR="009336BC" w:rsidP="00627385" w:rsidRDefault="009336BC" w14:paraId="334661C4" w14:textId="057DD5B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lastRenderedPageBreak/>
        <w:t>Hoeveel (gewezen) pensioendeelnemers vertegenwoordigen Pensioenfonds Zorg en Welzijn (PFZW),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Pensioenfonds Metaal en Techniek (PMT) en Detailhandel gezamenlijk?</w:t>
      </w:r>
    </w:p>
    <w:p w:rsidR="00424888" w:rsidP="00424888" w:rsidRDefault="00424888" w14:paraId="1579443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AE75EB" w:rsidR="00424888" w:rsidP="00424888" w:rsidRDefault="00424888" w14:paraId="5A647AF1" w14:textId="4AA72A1C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AE75EB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Antwoord 5</w:t>
      </w:r>
    </w:p>
    <w:p w:rsidR="00424888" w:rsidP="00424888" w:rsidRDefault="005207E5" w14:paraId="570EC654" w14:textId="75AEACEA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Volgens de jaarverslagen over 2024 hebben de genoemde pensioenfondsen gezamenlijk in totaal meer dan 5,5 miljoen (gewezen) deelnemers</w:t>
      </w:r>
      <w:r w:rsidR="00360925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.</w:t>
      </w:r>
      <w:r w:rsidR="008907F8">
        <w:rPr>
          <w:rStyle w:val="Voetnootmarkering"/>
          <w:rFonts w:ascii="Verdana" w:hAnsi="Verdana" w:eastAsia="DejaVuSerifCondensed" w:cs="DejaVuSerifCondensed"/>
          <w:color w:val="000000"/>
          <w:kern w:val="0"/>
          <w:sz w:val="18"/>
          <w:szCs w:val="18"/>
        </w:rPr>
        <w:footnoteReference w:id="3"/>
      </w:r>
    </w:p>
    <w:p w:rsidRPr="00424888" w:rsidR="00424888" w:rsidP="00424888" w:rsidRDefault="00424888" w14:paraId="36D699B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54F3D315" w14:textId="7EAC5E8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Deelt u de mening dat het hier gaat om een substantiële groep deelnemers, en dat deze groep in de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communicatie ook gewezen moet worden op mogelijke tegenvallers? Zo nee, waarom niet?</w:t>
      </w:r>
    </w:p>
    <w:p w:rsidR="001E5180" w:rsidP="001E5180" w:rsidRDefault="001E5180" w14:paraId="61A1AE1C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AE75EB" w:rsidR="001E5180" w:rsidP="001E5180" w:rsidRDefault="001E5180" w14:paraId="01343D49" w14:textId="05A05A8A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AE75EB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Antwoord 6</w:t>
      </w:r>
    </w:p>
    <w:p w:rsidR="001E5180" w:rsidP="001E5180" w:rsidRDefault="00467B14" w14:paraId="5DB29CF7" w14:textId="55113074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Alle deelnemers aan pensioenregelingen 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moet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en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in de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communicatie 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van de pensioenuitvoerder </w:t>
      </w:r>
      <w:r w:rsidRPr="009336BC"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ook gewezen worden op mogelijke tegenvallers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die voor hun verwacht pensioen kunnen ontstaan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. </w:t>
      </w:r>
      <w:r w:rsidR="003062C3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De wijze waarop tegenvallende pensioenuitkomsten getoond en berekend moeten worden, 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is wettelijk voorgeschreven in de </w:t>
      </w:r>
      <w:r w:rsidR="003C0257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Pensioenwet en in de </w:t>
      </w:r>
      <w:r w:rsidR="001E5180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regels van de uniforme rekenmethode.</w:t>
      </w:r>
      <w:r w:rsidR="001E5180">
        <w:rPr>
          <w:rStyle w:val="Voetnootmarkering"/>
          <w:rFonts w:ascii="Verdana" w:hAnsi="Verdana" w:eastAsia="DejaVuSerifCondensed" w:cs="DejaVuSerifCondensed"/>
          <w:color w:val="000000"/>
          <w:kern w:val="0"/>
          <w:sz w:val="18"/>
          <w:szCs w:val="18"/>
        </w:rPr>
        <w:footnoteReference w:id="4"/>
      </w:r>
    </w:p>
    <w:p w:rsidRPr="001E5180" w:rsidR="001E5180" w:rsidP="001E5180" w:rsidRDefault="001E5180" w14:paraId="262BFB74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="009336BC" w:rsidP="00627385" w:rsidRDefault="009336BC" w14:paraId="721465DE" w14:textId="087B1BC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Ziet u aanleiding om de wettelijke vereisten voor pensioencommunicatie aan te scherpen op basis van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</w:t>
      </w: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de ervaringen met de koplopers en het recente transitiebulletin van de AFM? Zo nee, waarom niet?</w:t>
      </w:r>
    </w:p>
    <w:p w:rsidR="001E5180" w:rsidP="001E5180" w:rsidRDefault="001E5180" w14:paraId="75510466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AE75EB" w:rsidR="001E5180" w:rsidP="001E5180" w:rsidRDefault="001E5180" w14:paraId="01CD370C" w14:textId="366C38E3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</w:pPr>
      <w:r w:rsidRPr="00AE75EB">
        <w:rPr>
          <w:rFonts w:ascii="Verdana" w:hAnsi="Verdana" w:eastAsia="DejaVuSerifCondensed" w:cs="DejaVuSerifCondensed"/>
          <w:b/>
          <w:bCs/>
          <w:color w:val="000000"/>
          <w:kern w:val="0"/>
          <w:sz w:val="18"/>
          <w:szCs w:val="18"/>
        </w:rPr>
        <w:t>Antwoord 7</w:t>
      </w:r>
    </w:p>
    <w:p w:rsidRPr="001E5180" w:rsidR="001E5180" w:rsidP="001E5180" w:rsidRDefault="001E5180" w14:paraId="54556EB2" w14:textId="3E2D9EF9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Zoals </w:t>
      </w:r>
      <w:r w:rsidR="00AE75EB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aangegeven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bij antwoord 2</w:t>
      </w:r>
      <w:r w:rsidR="003C0257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en 3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, </w:t>
      </w:r>
      <w:r w:rsidR="00AE75EB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is het streven</w:t>
      </w:r>
      <w:r w:rsidR="006F1336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voor het einde van het jaar de betreffende regelgeving 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aan</w:t>
      </w:r>
      <w:r w:rsidR="006F1336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 te passen</w:t>
      </w:r>
      <w:r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.</w:t>
      </w:r>
    </w:p>
    <w:p w:rsidR="009336BC" w:rsidP="009336BC" w:rsidRDefault="009336BC" w14:paraId="575A5D74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9336BC" w:rsidR="009336BC" w:rsidP="009336BC" w:rsidRDefault="009336BC" w14:paraId="0953F591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</w:p>
    <w:p w:rsidRPr="009336BC" w:rsidR="009336BC" w:rsidP="009336BC" w:rsidRDefault="009336BC" w14:paraId="1394EE10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>1) PensioenPro, 29 augustus 2025, 'Communicatieplannen grote fondsen laten tegenvallers</w:t>
      </w:r>
    </w:p>
    <w:p w:rsidRPr="009336BC" w:rsidR="009336BC" w:rsidP="009336BC" w:rsidRDefault="009336BC" w14:paraId="537D8B64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color w:val="0000FF"/>
          <w:kern w:val="0"/>
          <w:sz w:val="18"/>
          <w:szCs w:val="18"/>
        </w:rPr>
      </w:pPr>
      <w:r w:rsidRPr="009336BC">
        <w:rPr>
          <w:rFonts w:ascii="Verdana" w:hAnsi="Verdana" w:eastAsia="DejaVuSerifCondensed" w:cs="DejaVuSerifCondensed"/>
          <w:color w:val="000000"/>
          <w:kern w:val="0"/>
          <w:sz w:val="18"/>
          <w:szCs w:val="18"/>
        </w:rPr>
        <w:t xml:space="preserve">onbesproken', </w:t>
      </w:r>
      <w:r w:rsidRPr="009336BC">
        <w:rPr>
          <w:rFonts w:ascii="Verdana" w:hAnsi="Verdana" w:eastAsia="DejaVuSerifCondensed" w:cs="DejaVuSerifCondensed"/>
          <w:color w:val="0000FF"/>
          <w:kern w:val="0"/>
          <w:sz w:val="18"/>
          <w:szCs w:val="18"/>
        </w:rPr>
        <w:t>pensioenpro.nl/communicatieplannen-grote-fondsen-laten-tegenvallers-onbesproken/</w:t>
      </w:r>
    </w:p>
    <w:p w:rsidRPr="009336BC" w:rsidR="00836E2B" w:rsidP="009336BC" w:rsidRDefault="00836E2B" w14:paraId="03B13058" w14:textId="76108D80">
      <w:pPr>
        <w:rPr>
          <w:rFonts w:ascii="Verdana" w:hAnsi="Verdana"/>
          <w:sz w:val="18"/>
          <w:szCs w:val="18"/>
        </w:rPr>
      </w:pPr>
    </w:p>
    <w:sectPr w:rsidRPr="009336BC" w:rsidR="00836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4CA9" w14:textId="77777777" w:rsidR="00CC7094" w:rsidRDefault="00CC7094" w:rsidP="00CC7094">
      <w:pPr>
        <w:spacing w:after="0" w:line="240" w:lineRule="auto"/>
      </w:pPr>
      <w:r>
        <w:separator/>
      </w:r>
    </w:p>
  </w:endnote>
  <w:endnote w:type="continuationSeparator" w:id="0">
    <w:p w14:paraId="738E7EFB" w14:textId="77777777" w:rsidR="00CC7094" w:rsidRDefault="00CC7094" w:rsidP="00CC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FD7A" w14:textId="77777777" w:rsidR="004563CA" w:rsidRDefault="004563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425A" w14:textId="77777777" w:rsidR="004563CA" w:rsidRDefault="004563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EF34" w14:textId="77777777" w:rsidR="004563CA" w:rsidRDefault="004563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809A" w14:textId="77777777" w:rsidR="00CC7094" w:rsidRDefault="00CC7094" w:rsidP="00CC7094">
      <w:pPr>
        <w:spacing w:after="0" w:line="240" w:lineRule="auto"/>
      </w:pPr>
      <w:r>
        <w:separator/>
      </w:r>
    </w:p>
  </w:footnote>
  <w:footnote w:type="continuationSeparator" w:id="0">
    <w:p w14:paraId="4908543B" w14:textId="77777777" w:rsidR="00CC7094" w:rsidRDefault="00CC7094" w:rsidP="00CC7094">
      <w:pPr>
        <w:spacing w:after="0" w:line="240" w:lineRule="auto"/>
      </w:pPr>
      <w:r>
        <w:continuationSeparator/>
      </w:r>
    </w:p>
  </w:footnote>
  <w:footnote w:id="1">
    <w:p w14:paraId="0BE0F194" w14:textId="77777777" w:rsidR="008907F8" w:rsidRPr="00470D0C" w:rsidRDefault="008907F8" w:rsidP="008907F8">
      <w:pPr>
        <w:pStyle w:val="Voetnoottekst"/>
        <w:rPr>
          <w:rFonts w:ascii="Verdana" w:hAnsi="Verdana"/>
          <w:sz w:val="16"/>
          <w:szCs w:val="16"/>
        </w:rPr>
      </w:pPr>
      <w:r w:rsidRPr="00470D0C">
        <w:rPr>
          <w:rStyle w:val="Voetnootmarker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Kamerstukken II 2024/25, 36 578 nr. 28</w:t>
      </w:r>
    </w:p>
  </w:footnote>
  <w:footnote w:id="2">
    <w:p w14:paraId="6EB6C898" w14:textId="3A91D7DE" w:rsidR="00B0520C" w:rsidRPr="00470D0C" w:rsidRDefault="00B0520C">
      <w:pPr>
        <w:pStyle w:val="Voetnoottekst"/>
        <w:rPr>
          <w:rFonts w:ascii="Verdana" w:hAnsi="Verdana"/>
          <w:sz w:val="16"/>
          <w:szCs w:val="16"/>
        </w:rPr>
      </w:pPr>
      <w:r w:rsidRPr="00470D0C">
        <w:rPr>
          <w:rStyle w:val="Voetnootmarkering"/>
          <w:rFonts w:ascii="Verdana" w:hAnsi="Verdana"/>
          <w:sz w:val="16"/>
          <w:szCs w:val="16"/>
        </w:rPr>
        <w:footnoteRef/>
      </w:r>
      <w:r w:rsidRPr="00470D0C">
        <w:rPr>
          <w:rFonts w:ascii="Verdana" w:hAnsi="Verdana"/>
          <w:sz w:val="16"/>
          <w:szCs w:val="16"/>
        </w:rPr>
        <w:t xml:space="preserve"> Artikel 44, eerste lid, onderdeel e, Besluit uitvoering Pensioenwet en Wet verplichte beroepspensioenregelingen</w:t>
      </w:r>
    </w:p>
  </w:footnote>
  <w:footnote w:id="3">
    <w:p w14:paraId="1B57FCEA" w14:textId="6B4BADEF" w:rsidR="008907F8" w:rsidRPr="008907F8" w:rsidRDefault="008907F8">
      <w:pPr>
        <w:pStyle w:val="Voetnoottekst"/>
        <w:rPr>
          <w:rFonts w:ascii="Verdana" w:hAnsi="Verdana"/>
          <w:sz w:val="16"/>
          <w:szCs w:val="16"/>
        </w:rPr>
      </w:pPr>
      <w:r w:rsidRPr="008907F8">
        <w:rPr>
          <w:rStyle w:val="Voetnootmarkering"/>
          <w:rFonts w:ascii="Verdana" w:hAnsi="Verdana"/>
          <w:sz w:val="16"/>
          <w:szCs w:val="16"/>
        </w:rPr>
        <w:footnoteRef/>
      </w:r>
      <w:r w:rsidRPr="008907F8">
        <w:rPr>
          <w:rFonts w:ascii="Verdana" w:hAnsi="Verdana"/>
          <w:sz w:val="16"/>
          <w:szCs w:val="16"/>
        </w:rPr>
        <w:t xml:space="preserve"> Zie jaarverslagen 2024 van de genoemde pensioenfondsen</w:t>
      </w:r>
      <w:r w:rsidR="005207E5">
        <w:rPr>
          <w:rFonts w:ascii="Verdana" w:hAnsi="Verdana"/>
          <w:sz w:val="16"/>
          <w:szCs w:val="16"/>
        </w:rPr>
        <w:t xml:space="preserve">: </w:t>
      </w:r>
      <w:hyperlink r:id="rId1" w:history="1">
        <w:r w:rsidR="005207E5" w:rsidRPr="005207E5">
          <w:rPr>
            <w:rStyle w:val="Hyperlink"/>
            <w:rFonts w:ascii="Verdana" w:hAnsi="Verdana"/>
            <w:sz w:val="16"/>
            <w:szCs w:val="16"/>
          </w:rPr>
          <w:t>PFZW Jaarverslag 2024</w:t>
        </w:r>
      </w:hyperlink>
      <w:r w:rsidR="005207E5">
        <w:rPr>
          <w:rFonts w:ascii="Verdana" w:hAnsi="Verdana"/>
          <w:sz w:val="16"/>
          <w:szCs w:val="16"/>
        </w:rPr>
        <w:t xml:space="preserve">, </w:t>
      </w:r>
      <w:hyperlink r:id="rId2" w:history="1">
        <w:r w:rsidR="005207E5" w:rsidRPr="005207E5">
          <w:rPr>
            <w:rStyle w:val="Hyperlink"/>
            <w:rFonts w:ascii="Verdana" w:hAnsi="Verdana"/>
            <w:sz w:val="16"/>
            <w:szCs w:val="16"/>
          </w:rPr>
          <w:t>pmt-algemeen-jaarverslag-2024_253511.pdf</w:t>
        </w:r>
      </w:hyperlink>
      <w:r w:rsidR="005207E5">
        <w:rPr>
          <w:rFonts w:ascii="Verdana" w:hAnsi="Verdana"/>
          <w:sz w:val="16"/>
          <w:szCs w:val="16"/>
        </w:rPr>
        <w:t xml:space="preserve">, </w:t>
      </w:r>
      <w:hyperlink r:id="rId3" w:history="1">
        <w:r w:rsidR="005207E5" w:rsidRPr="005207E5">
          <w:rPr>
            <w:rStyle w:val="Hyperlink"/>
            <w:rFonts w:ascii="Verdana" w:hAnsi="Verdana"/>
            <w:sz w:val="16"/>
            <w:szCs w:val="16"/>
          </w:rPr>
          <w:t>Jaarverslag-2024.pdf</w:t>
        </w:r>
      </w:hyperlink>
    </w:p>
  </w:footnote>
  <w:footnote w:id="4">
    <w:p w14:paraId="04F06549" w14:textId="420C5BE8" w:rsidR="001E5180" w:rsidRPr="00470D0C" w:rsidRDefault="001E5180">
      <w:pPr>
        <w:pStyle w:val="Voetnoottekst"/>
        <w:rPr>
          <w:rFonts w:ascii="Verdana" w:hAnsi="Verdana"/>
          <w:sz w:val="16"/>
          <w:szCs w:val="16"/>
        </w:rPr>
      </w:pPr>
      <w:r w:rsidRPr="00470D0C">
        <w:rPr>
          <w:rStyle w:val="Voetnootmarkering"/>
          <w:rFonts w:ascii="Verdana" w:hAnsi="Verdana"/>
          <w:sz w:val="16"/>
          <w:szCs w:val="16"/>
        </w:rPr>
        <w:footnoteRef/>
      </w:r>
      <w:r w:rsidRPr="00470D0C">
        <w:rPr>
          <w:rFonts w:ascii="Verdana" w:hAnsi="Verdana"/>
          <w:sz w:val="16"/>
          <w:szCs w:val="16"/>
        </w:rPr>
        <w:t xml:space="preserve"> </w:t>
      </w:r>
      <w:r w:rsidR="00470D0C" w:rsidRPr="00470D0C">
        <w:rPr>
          <w:rFonts w:ascii="Verdana" w:hAnsi="Verdana"/>
          <w:sz w:val="16"/>
          <w:szCs w:val="16"/>
        </w:rPr>
        <w:t>Artikel 14a en verder van de Regeling Pensioenwet en Wet verplichte beroepspensioenregeling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AEB9" w14:textId="77777777" w:rsidR="004563CA" w:rsidRDefault="004563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AA47" w14:textId="77777777" w:rsidR="004563CA" w:rsidRDefault="004563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4B84" w14:textId="77777777" w:rsidR="004563CA" w:rsidRDefault="004563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63F"/>
    <w:multiLevelType w:val="hybridMultilevel"/>
    <w:tmpl w:val="D72EBF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0B2"/>
    <w:multiLevelType w:val="hybridMultilevel"/>
    <w:tmpl w:val="55504A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4E55"/>
    <w:multiLevelType w:val="hybridMultilevel"/>
    <w:tmpl w:val="D6A8A2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234235">
    <w:abstractNumId w:val="2"/>
  </w:num>
  <w:num w:numId="2" w16cid:durableId="1633828462">
    <w:abstractNumId w:val="1"/>
  </w:num>
  <w:num w:numId="3" w16cid:durableId="82405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BC"/>
    <w:rsid w:val="0001185F"/>
    <w:rsid w:val="000176C2"/>
    <w:rsid w:val="000B7D78"/>
    <w:rsid w:val="00105470"/>
    <w:rsid w:val="001E5180"/>
    <w:rsid w:val="002304E7"/>
    <w:rsid w:val="00232F5E"/>
    <w:rsid w:val="002613E3"/>
    <w:rsid w:val="003062C3"/>
    <w:rsid w:val="00334273"/>
    <w:rsid w:val="00360925"/>
    <w:rsid w:val="003A17EE"/>
    <w:rsid w:val="003C0257"/>
    <w:rsid w:val="00404D98"/>
    <w:rsid w:val="00414C48"/>
    <w:rsid w:val="00424888"/>
    <w:rsid w:val="00445382"/>
    <w:rsid w:val="004563CA"/>
    <w:rsid w:val="00467B14"/>
    <w:rsid w:val="00470D0C"/>
    <w:rsid w:val="005207E5"/>
    <w:rsid w:val="00525A7C"/>
    <w:rsid w:val="00570FB4"/>
    <w:rsid w:val="00605C42"/>
    <w:rsid w:val="00627385"/>
    <w:rsid w:val="006B3A1C"/>
    <w:rsid w:val="006B7D1D"/>
    <w:rsid w:val="006F1336"/>
    <w:rsid w:val="00763858"/>
    <w:rsid w:val="007B2E5D"/>
    <w:rsid w:val="007F44C2"/>
    <w:rsid w:val="00806EE6"/>
    <w:rsid w:val="00822287"/>
    <w:rsid w:val="00836E2B"/>
    <w:rsid w:val="008907F8"/>
    <w:rsid w:val="008F6122"/>
    <w:rsid w:val="009336BC"/>
    <w:rsid w:val="00970EC4"/>
    <w:rsid w:val="009A16E4"/>
    <w:rsid w:val="00AA5386"/>
    <w:rsid w:val="00AE75EB"/>
    <w:rsid w:val="00AE7ACE"/>
    <w:rsid w:val="00B0520C"/>
    <w:rsid w:val="00B96022"/>
    <w:rsid w:val="00C01E6B"/>
    <w:rsid w:val="00C44EDE"/>
    <w:rsid w:val="00C4536A"/>
    <w:rsid w:val="00CC7094"/>
    <w:rsid w:val="00D17A0B"/>
    <w:rsid w:val="00D402B1"/>
    <w:rsid w:val="00DD2B47"/>
    <w:rsid w:val="00E014A3"/>
    <w:rsid w:val="00E862F7"/>
    <w:rsid w:val="00F004E2"/>
    <w:rsid w:val="00F165B0"/>
    <w:rsid w:val="00F415E3"/>
    <w:rsid w:val="00F42AA0"/>
    <w:rsid w:val="00F51E19"/>
    <w:rsid w:val="00F51ED2"/>
    <w:rsid w:val="00F5423B"/>
    <w:rsid w:val="00F87A16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7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3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3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3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36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36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3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3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3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3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3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3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36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36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36BC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C709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709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C709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C70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709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B2E5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06E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6E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06E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6E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6EE6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07E5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5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3CA"/>
  </w:style>
  <w:style w:type="paragraph" w:styleId="Voettekst">
    <w:name w:val="footer"/>
    <w:basedOn w:val="Standaard"/>
    <w:link w:val="VoettekstChar"/>
    <w:uiPriority w:val="99"/>
    <w:unhideWhenUsed/>
    <w:rsid w:val="0045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ensioenfondsdetailhandel.nl/content/publications/Jaarverslag-2024.pdf" TargetMode="External"/><Relationship Id="rId2" Type="http://schemas.openxmlformats.org/officeDocument/2006/relationships/hyperlink" Target="https://www.pmt.nl/media/ucnmiqv2/pmt-algemeen-jaarverslag-2024_253511.pdf" TargetMode="External"/><Relationship Id="rId1" Type="http://schemas.openxmlformats.org/officeDocument/2006/relationships/hyperlink" Target="https://www.pfzw.nl/content/dam/pfzw/web/over-ons/jaarverslagen/PFZW%20jaarverslag%202024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691</ap:Words>
  <ap:Characters>3805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2025-09-02T10:51:00.0000000Z</dcterms:created>
  <dcterms:modified xsi:type="dcterms:W3CDTF">2025-09-22T15:04:00.0000000Z</dcterms:modified>
  <version/>
  <category/>
</coreProperties>
</file>