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B73" w:rsidP="00B30B73" w:rsidRDefault="00B30B73" w14:paraId="5C5E34D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0074AA8F" w14:textId="4E0C437A">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AH 88</w:t>
      </w:r>
    </w:p>
    <w:p w:rsidR="00B30B73" w:rsidP="00B30B73" w:rsidRDefault="00B30B73" w14:paraId="680CD9FA" w14:textId="3EAE6E51">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2025Z15754</w:t>
      </w:r>
    </w:p>
    <w:p w:rsidR="00B30B73" w:rsidP="00B30B73" w:rsidRDefault="00B30B73" w14:paraId="37BE1691" w14:textId="0A862E72">
      <w:pPr>
        <w:autoSpaceDE w:val="0"/>
        <w:autoSpaceDN w:val="0"/>
        <w:adjustRightInd w:val="0"/>
        <w:spacing w:after="0" w:line="240" w:lineRule="auto"/>
        <w:rPr>
          <w:rFonts w:ascii="Verdana" w:hAnsi="Verdana" w:eastAsia="DejaVuSerifCondensed" w:cs="DejaVuSerifCondensed"/>
          <w:color w:val="000000"/>
          <w:kern w:val="0"/>
          <w:sz w:val="18"/>
          <w:szCs w:val="18"/>
        </w:rPr>
      </w:pPr>
      <w:r w:rsidRPr="00B30B73">
        <w:rPr>
          <w:rFonts w:ascii="Verdana" w:hAnsi="Verdana" w:eastAsia="DejaVuSerifCondensed" w:cs="DejaVuSerifCondensed"/>
          <w:color w:val="000000"/>
          <w:kern w:val="0"/>
          <w:sz w:val="24"/>
          <w:szCs w:val="24"/>
        </w:rPr>
        <w:t xml:space="preserve">Antwoord van minister </w:t>
      </w:r>
      <w:r>
        <w:rPr>
          <w:rFonts w:ascii="Verdana" w:hAnsi="Verdana" w:eastAsia="DejaVuSerifCondensed" w:cs="DejaVuSerifCondensed"/>
          <w:color w:val="000000"/>
          <w:kern w:val="0"/>
          <w:sz w:val="24"/>
          <w:szCs w:val="24"/>
        </w:rPr>
        <w:t>Paul</w:t>
      </w:r>
      <w:r w:rsidRPr="00B30B73">
        <w:rPr>
          <w:rFonts w:ascii="Verdana" w:hAnsi="Verdana" w:eastAsia="DejaVuSerifCondensed" w:cs="DejaVuSerifCondensed"/>
          <w:color w:val="000000"/>
          <w:kern w:val="0"/>
          <w:sz w:val="24"/>
          <w:szCs w:val="24"/>
        </w:rPr>
        <w:t xml:space="preserve"> (Sociale Zaken en Werkgelegenheid) (ontvangen</w:t>
      </w:r>
      <w:r>
        <w:rPr>
          <w:rFonts w:ascii="Verdana" w:hAnsi="Verdana" w:eastAsia="DejaVuSerifCondensed" w:cs="DejaVuSerifCondensed"/>
          <w:color w:val="000000"/>
          <w:kern w:val="0"/>
          <w:sz w:val="24"/>
          <w:szCs w:val="24"/>
        </w:rPr>
        <w:t xml:space="preserve"> 22 september 2025)</w:t>
      </w:r>
    </w:p>
    <w:p w:rsidR="00B30B73" w:rsidP="00B30B73" w:rsidRDefault="00B30B73" w14:paraId="5A28A26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9336BC" w:rsidR="00B30B73" w:rsidP="00B30B73" w:rsidRDefault="00B30B73" w14:paraId="58A00A6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251EC5DF"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Bent u bekend met het bericht ‘Communicatieplannen grote fondsen laten tegenvallers onbesproken’?</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1)</w:t>
      </w:r>
    </w:p>
    <w:p w:rsidR="00B30B73" w:rsidP="00B30B73" w:rsidRDefault="00B30B73" w14:paraId="2899CFB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0176C2" w:rsidR="00B30B73" w:rsidP="00B30B73" w:rsidRDefault="00B30B73" w14:paraId="2FC22879"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0176C2">
        <w:rPr>
          <w:rFonts w:ascii="Verdana" w:hAnsi="Verdana" w:eastAsia="DejaVuSerifCondensed" w:cs="DejaVuSerifCondensed"/>
          <w:b/>
          <w:bCs/>
          <w:color w:val="000000"/>
          <w:kern w:val="0"/>
          <w:sz w:val="18"/>
          <w:szCs w:val="18"/>
        </w:rPr>
        <w:t>Antwoord 1</w:t>
      </w:r>
    </w:p>
    <w:p w:rsidR="00B30B73" w:rsidP="00B30B73" w:rsidRDefault="00B30B73" w14:paraId="46977C0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Ja.</w:t>
      </w:r>
    </w:p>
    <w:p w:rsidRPr="00627385" w:rsidR="00B30B73" w:rsidP="00B30B73" w:rsidRDefault="00B30B73" w14:paraId="3C7D083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23B19F6B"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Wat is uw duiding van de constatering van de Autoriteit Financiële Markten (AFM) dat veel</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communicatieplannen lacunes bevatten? Onderschrijft u de aansporing van de AFM aan fondsen om na te denken over de communicatie bij het</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scenario dat de ambities voor de overgang niet worden gehaald en dit te verwerken in het</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communicatieplan? Zo ja, hoe bent u voornemens dat onder de aandacht te brengen bij</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pensioenfondsen?</w:t>
      </w:r>
    </w:p>
    <w:p w:rsidR="00B30B73" w:rsidP="00B30B73" w:rsidRDefault="00B30B73" w14:paraId="703D997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06367DDF"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Deelt u de mening dat de recente turbulente ontwikkelingen in de wereld waar de AFM op wijst het</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belang onderstrepen van tijdige en realistische communicatie aan deelnemers over de voordelen en</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nadelen van de overgang naar het nieuwe pensioenstelsel?</w:t>
      </w:r>
    </w:p>
    <w:p w:rsidR="00B30B73" w:rsidP="00B30B73" w:rsidRDefault="00B30B73" w14:paraId="73879AA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0176C2" w:rsidR="00B30B73" w:rsidP="00B30B73" w:rsidRDefault="00B30B73" w14:paraId="344576FA"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0176C2">
        <w:rPr>
          <w:rFonts w:ascii="Verdana" w:hAnsi="Verdana" w:eastAsia="DejaVuSerifCondensed" w:cs="DejaVuSerifCondensed"/>
          <w:b/>
          <w:bCs/>
          <w:color w:val="000000"/>
          <w:kern w:val="0"/>
          <w:sz w:val="18"/>
          <w:szCs w:val="18"/>
        </w:rPr>
        <w:t>Antwoord 2 en 3</w:t>
      </w:r>
    </w:p>
    <w:p w:rsidR="00B30B73" w:rsidP="00B30B73" w:rsidRDefault="00B30B73" w14:paraId="67F21B2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bookmarkStart w:name="_Hlk209437033" w:id="0"/>
      <w:r>
        <w:rPr>
          <w:rFonts w:ascii="Verdana" w:hAnsi="Verdana" w:eastAsia="DejaVuSerifCondensed" w:cs="DejaVuSerifCondensed"/>
          <w:color w:val="000000"/>
          <w:kern w:val="0"/>
          <w:sz w:val="18"/>
          <w:szCs w:val="18"/>
        </w:rPr>
        <w:t>Met de AFM deel ik dat het belangrijk is deelnemers goed mee te nemen in de transitie naar de nieuwe pensioenregelingen. Tijdens de Kamerbehandeling van het wetsvoorstel verlenging pensioentransitie zijn er aanvullende maatregelen toegezegd.</w:t>
      </w:r>
      <w:r>
        <w:rPr>
          <w:rStyle w:val="Voetnootmarkering"/>
          <w:rFonts w:ascii="Verdana" w:hAnsi="Verdana" w:eastAsia="DejaVuSerifCondensed" w:cs="DejaVuSerifCondensed"/>
          <w:color w:val="000000"/>
          <w:kern w:val="0"/>
          <w:sz w:val="18"/>
          <w:szCs w:val="18"/>
        </w:rPr>
        <w:footnoteReference w:id="1"/>
      </w:r>
      <w:r>
        <w:rPr>
          <w:rFonts w:ascii="Verdana" w:hAnsi="Verdana" w:eastAsia="DejaVuSerifCondensed" w:cs="DejaVuSerifCondensed"/>
          <w:color w:val="000000"/>
          <w:kern w:val="0"/>
          <w:sz w:val="18"/>
          <w:szCs w:val="18"/>
        </w:rPr>
        <w:t xml:space="preserve"> Onderdeel daarvan is e</w:t>
      </w:r>
      <w:r w:rsidRPr="00AE39C8">
        <w:rPr>
          <w:rFonts w:ascii="Verdana" w:hAnsi="Verdana" w:eastAsia="DejaVuSerifCondensed" w:cs="DejaVuSerifCondensed"/>
          <w:color w:val="000000"/>
          <w:kern w:val="0"/>
          <w:sz w:val="18"/>
          <w:szCs w:val="18"/>
        </w:rPr>
        <w:t xml:space="preserve">en aanscherping van de regelgeving </w:t>
      </w:r>
      <w:r>
        <w:rPr>
          <w:rFonts w:ascii="Verdana" w:hAnsi="Verdana" w:eastAsia="DejaVuSerifCondensed" w:cs="DejaVuSerifCondensed"/>
          <w:color w:val="000000"/>
          <w:kern w:val="0"/>
          <w:sz w:val="18"/>
          <w:szCs w:val="18"/>
        </w:rPr>
        <w:t xml:space="preserve">voor </w:t>
      </w:r>
      <w:r w:rsidRPr="00AE39C8">
        <w:rPr>
          <w:rFonts w:ascii="Verdana" w:hAnsi="Verdana" w:eastAsia="DejaVuSerifCondensed" w:cs="DejaVuSerifCondensed"/>
          <w:color w:val="000000"/>
          <w:kern w:val="0"/>
          <w:sz w:val="18"/>
          <w:szCs w:val="18"/>
        </w:rPr>
        <w:t>pensioenuitvoerder</w:t>
      </w:r>
      <w:r>
        <w:rPr>
          <w:rFonts w:ascii="Verdana" w:hAnsi="Verdana" w:eastAsia="DejaVuSerifCondensed" w:cs="DejaVuSerifCondensed"/>
          <w:color w:val="000000"/>
          <w:kern w:val="0"/>
          <w:sz w:val="18"/>
          <w:szCs w:val="18"/>
        </w:rPr>
        <w:t>s</w:t>
      </w:r>
      <w:r w:rsidRPr="00AE39C8">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die er beter dan voorheen voor zorgt </w:t>
      </w:r>
      <w:r w:rsidRPr="00AE39C8">
        <w:rPr>
          <w:rFonts w:ascii="Verdana" w:hAnsi="Verdana" w:eastAsia="DejaVuSerifCondensed" w:cs="DejaVuSerifCondensed"/>
          <w:color w:val="000000"/>
          <w:kern w:val="0"/>
          <w:sz w:val="18"/>
          <w:szCs w:val="18"/>
        </w:rPr>
        <w:t>dat de getoonde</w:t>
      </w:r>
      <w:r>
        <w:rPr>
          <w:rFonts w:ascii="Verdana" w:hAnsi="Verdana" w:eastAsia="DejaVuSerifCondensed" w:cs="DejaVuSerifCondensed"/>
          <w:color w:val="000000"/>
          <w:kern w:val="0"/>
          <w:sz w:val="18"/>
          <w:szCs w:val="18"/>
        </w:rPr>
        <w:t xml:space="preserve"> </w:t>
      </w:r>
      <w:r w:rsidRPr="00AE39C8">
        <w:rPr>
          <w:rFonts w:ascii="Verdana" w:hAnsi="Verdana" w:eastAsia="DejaVuSerifCondensed" w:cs="DejaVuSerifCondensed"/>
          <w:color w:val="000000"/>
          <w:kern w:val="0"/>
          <w:sz w:val="18"/>
          <w:szCs w:val="18"/>
        </w:rPr>
        <w:t>transitie-informatie leidt tot realistische verwachtingen bij deelnemer</w:t>
      </w:r>
      <w:r>
        <w:rPr>
          <w:rFonts w:ascii="Verdana" w:hAnsi="Verdana" w:eastAsia="DejaVuSerifCondensed" w:cs="DejaVuSerifCondensed"/>
          <w:color w:val="000000"/>
          <w:kern w:val="0"/>
          <w:sz w:val="18"/>
          <w:szCs w:val="18"/>
        </w:rPr>
        <w:t>s. Het streven is om dit voor het eind van het jaar in regelgeving op te nemen</w:t>
      </w:r>
      <w:bookmarkEnd w:id="0"/>
      <w:r>
        <w:rPr>
          <w:rFonts w:ascii="Verdana" w:hAnsi="Verdana" w:eastAsia="DejaVuSerifCondensed" w:cs="DejaVuSerifCondensed"/>
          <w:color w:val="000000"/>
          <w:kern w:val="0"/>
          <w:sz w:val="18"/>
          <w:szCs w:val="18"/>
        </w:rPr>
        <w:t>.</w:t>
      </w:r>
    </w:p>
    <w:p w:rsidR="00B30B73" w:rsidP="00B30B73" w:rsidRDefault="00B30B73" w14:paraId="4E097CB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5D0168F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Mondiale economische ontwikkelingen en fluctuaties op financiële markten kunnen van invloed zijn op de waarde van beleggingen die pensioenfondsen aanhouden en daarmee op de dekkingsgraad. In het transitieplan van het pensioenfonds moet beschreven staan welke procedure in werking treedt en welke alternatieve transitie-afspraken van toepassing worden als in aanloop naar de transitie de dekkingsgraad zakt onder een kritische grens.</w:t>
      </w:r>
      <w:r>
        <w:rPr>
          <w:rStyle w:val="Voetnootmarkering"/>
          <w:rFonts w:ascii="Verdana" w:hAnsi="Verdana" w:eastAsia="DejaVuSerifCondensed" w:cs="DejaVuSerifCondensed"/>
          <w:color w:val="000000"/>
          <w:kern w:val="0"/>
          <w:sz w:val="18"/>
          <w:szCs w:val="18"/>
        </w:rPr>
        <w:footnoteReference w:id="2"/>
      </w:r>
      <w:r>
        <w:rPr>
          <w:rFonts w:ascii="Verdana" w:hAnsi="Verdana" w:eastAsia="DejaVuSerifCondensed" w:cs="DejaVuSerifCondensed"/>
          <w:color w:val="000000"/>
          <w:kern w:val="0"/>
          <w:sz w:val="18"/>
          <w:szCs w:val="18"/>
        </w:rPr>
        <w:t xml:space="preserve"> Het beeld is dat transitieplannen hieraan voldoen.</w:t>
      </w:r>
    </w:p>
    <w:p w:rsidRPr="001E5180" w:rsidR="00B30B73" w:rsidP="00B30B73" w:rsidRDefault="00B30B73" w14:paraId="1A25B82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3417A9BC"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Hoe beoordeelt u het gegeven dat diverse grote fondsen die per 1 januari 2026 overgaan naar het</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nieuwe stelsel in tegenspraak met de wens van de AFM niets hebben vastgelegd in hun</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communicatieplan over wat ze gaan doen bij tegenvallers?</w:t>
      </w:r>
    </w:p>
    <w:p w:rsidR="00B30B73" w:rsidP="00B30B73" w:rsidRDefault="00B30B73" w14:paraId="0AD74FC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AE75EB" w:rsidR="00B30B73" w:rsidP="00B30B73" w:rsidRDefault="00B30B73" w14:paraId="011CBE9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AE75EB">
        <w:rPr>
          <w:rFonts w:ascii="Verdana" w:hAnsi="Verdana" w:eastAsia="DejaVuSerifCondensed" w:cs="DejaVuSerifCondensed"/>
          <w:b/>
          <w:bCs/>
          <w:color w:val="000000"/>
          <w:kern w:val="0"/>
          <w:sz w:val="18"/>
          <w:szCs w:val="18"/>
        </w:rPr>
        <w:t>Antwoord 4</w:t>
      </w:r>
    </w:p>
    <w:p w:rsidR="00B30B73" w:rsidP="00B30B73" w:rsidRDefault="00B30B73" w14:paraId="46C8884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is niet voorgeschreven om in het communicatieplan vast te leggen wat pensioenfondsen gaan doen bij tegenvallers; dat staat aangegeven in het transitieplan. Wat beschreven staat in de communicatieplannen hoeft geen uitputtende opsomming te zijn van de communicatie-uitingen en informatiedragers die pensioenuitvoerders bij de transitie (gaan) inzetten. In de Pensioenwet is voorgeschreven dat pensioenfondsen rond de transitiedatum hun deelnemers op een duidelijke, evenwichtige en correcte wijze informeren over hun te verwachten pensioen in de oude en in de nieuwe situatie; wat kon men verwachten in de oude regeling en hoeveel wordt het in de nieuwe regeling. Onderdeel van dit voorschrift is ook om te tonen wat het verwachte pensioenbedrag wordt als het heel erg tegen zit. AFM houdt hier toezicht op.</w:t>
      </w:r>
    </w:p>
    <w:p w:rsidRPr="0001185F" w:rsidR="00B30B73" w:rsidP="00B30B73" w:rsidRDefault="00B30B73" w14:paraId="1620514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70DAD50D" w14:textId="77777777">
      <w:pPr>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br w:type="page"/>
      </w:r>
    </w:p>
    <w:p w:rsidR="00B30B73" w:rsidP="00B30B73" w:rsidRDefault="00B30B73" w14:paraId="162C3FC6"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lastRenderedPageBreak/>
        <w:t>Hoeveel (gewezen) pensioendeelnemers vertegenwoordigen Pensioenfonds Zorg en Welzijn (PFZW),</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Pensioenfonds Metaal en Techniek (PMT) en Detailhandel gezamenlijk?</w:t>
      </w:r>
    </w:p>
    <w:p w:rsidR="00B30B73" w:rsidP="00B30B73" w:rsidRDefault="00B30B73" w14:paraId="3A973FB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AE75EB" w:rsidR="00B30B73" w:rsidP="00B30B73" w:rsidRDefault="00B30B73" w14:paraId="5773E61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AE75EB">
        <w:rPr>
          <w:rFonts w:ascii="Verdana" w:hAnsi="Verdana" w:eastAsia="DejaVuSerifCondensed" w:cs="DejaVuSerifCondensed"/>
          <w:b/>
          <w:bCs/>
          <w:color w:val="000000"/>
          <w:kern w:val="0"/>
          <w:sz w:val="18"/>
          <w:szCs w:val="18"/>
        </w:rPr>
        <w:t>Antwoord 5</w:t>
      </w:r>
    </w:p>
    <w:p w:rsidR="00B30B73" w:rsidP="00B30B73" w:rsidRDefault="00B30B73" w14:paraId="144F947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Volgens de jaarverslagen over 2024 hebben de genoemde pensioenfondsen gezamenlijk in totaal meer dan 5,5 miljoen (gewezen) deelnemers.</w:t>
      </w:r>
      <w:r>
        <w:rPr>
          <w:rStyle w:val="Voetnootmarkering"/>
          <w:rFonts w:ascii="Verdana" w:hAnsi="Verdana" w:eastAsia="DejaVuSerifCondensed" w:cs="DejaVuSerifCondensed"/>
          <w:color w:val="000000"/>
          <w:kern w:val="0"/>
          <w:sz w:val="18"/>
          <w:szCs w:val="18"/>
        </w:rPr>
        <w:footnoteReference w:id="3"/>
      </w:r>
    </w:p>
    <w:p w:rsidRPr="00424888" w:rsidR="00B30B73" w:rsidP="00B30B73" w:rsidRDefault="00B30B73" w14:paraId="4BFF805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23EB1452"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Deelt u de mening dat het hier gaat om een substantiële groep deelnemers, en dat deze groep in de</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communicatie ook gewezen moet worden op mogelijke tegenvallers? Zo nee, waarom niet?</w:t>
      </w:r>
    </w:p>
    <w:p w:rsidR="00B30B73" w:rsidP="00B30B73" w:rsidRDefault="00B30B73" w14:paraId="0C7766A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AE75EB" w:rsidR="00B30B73" w:rsidP="00B30B73" w:rsidRDefault="00B30B73" w14:paraId="5BA9FED7"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AE75EB">
        <w:rPr>
          <w:rFonts w:ascii="Verdana" w:hAnsi="Verdana" w:eastAsia="DejaVuSerifCondensed" w:cs="DejaVuSerifCondensed"/>
          <w:b/>
          <w:bCs/>
          <w:color w:val="000000"/>
          <w:kern w:val="0"/>
          <w:sz w:val="18"/>
          <w:szCs w:val="18"/>
        </w:rPr>
        <w:t>Antwoord 6</w:t>
      </w:r>
    </w:p>
    <w:p w:rsidR="00B30B73" w:rsidP="00B30B73" w:rsidRDefault="00B30B73" w14:paraId="23A266B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Alle deelnemers aan pensioenregelingen moeten </w:t>
      </w:r>
      <w:r w:rsidRPr="009336BC">
        <w:rPr>
          <w:rFonts w:ascii="Verdana" w:hAnsi="Verdana" w:eastAsia="DejaVuSerifCondensed" w:cs="DejaVuSerifCondensed"/>
          <w:color w:val="000000"/>
          <w:kern w:val="0"/>
          <w:sz w:val="18"/>
          <w:szCs w:val="18"/>
        </w:rPr>
        <w:t>in de</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 xml:space="preserve">communicatie </w:t>
      </w:r>
      <w:r>
        <w:rPr>
          <w:rFonts w:ascii="Verdana" w:hAnsi="Verdana" w:eastAsia="DejaVuSerifCondensed" w:cs="DejaVuSerifCondensed"/>
          <w:color w:val="000000"/>
          <w:kern w:val="0"/>
          <w:sz w:val="18"/>
          <w:szCs w:val="18"/>
        </w:rPr>
        <w:t xml:space="preserve">van de pensioenuitvoerder </w:t>
      </w:r>
      <w:r w:rsidRPr="009336BC">
        <w:rPr>
          <w:rFonts w:ascii="Verdana" w:hAnsi="Verdana" w:eastAsia="DejaVuSerifCondensed" w:cs="DejaVuSerifCondensed"/>
          <w:color w:val="000000"/>
          <w:kern w:val="0"/>
          <w:sz w:val="18"/>
          <w:szCs w:val="18"/>
        </w:rPr>
        <w:t>ook gewezen worden op mogelijke tegenvallers</w:t>
      </w:r>
      <w:r>
        <w:rPr>
          <w:rFonts w:ascii="Verdana" w:hAnsi="Verdana" w:eastAsia="DejaVuSerifCondensed" w:cs="DejaVuSerifCondensed"/>
          <w:color w:val="000000"/>
          <w:kern w:val="0"/>
          <w:sz w:val="18"/>
          <w:szCs w:val="18"/>
        </w:rPr>
        <w:t xml:space="preserve"> die voor hun verwacht pensioen kunnen ontstaan. De wijze waarop tegenvallende pensioenuitkomsten getoond en berekend moeten worden, is wettelijk voorgeschreven in de Pensioenwet en in de regels van de uniforme rekenmethode.</w:t>
      </w:r>
      <w:r>
        <w:rPr>
          <w:rStyle w:val="Voetnootmarkering"/>
          <w:rFonts w:ascii="Verdana" w:hAnsi="Verdana" w:eastAsia="DejaVuSerifCondensed" w:cs="DejaVuSerifCondensed"/>
          <w:color w:val="000000"/>
          <w:kern w:val="0"/>
          <w:sz w:val="18"/>
          <w:szCs w:val="18"/>
        </w:rPr>
        <w:footnoteReference w:id="4"/>
      </w:r>
    </w:p>
    <w:p w:rsidRPr="001E5180" w:rsidR="00B30B73" w:rsidP="00B30B73" w:rsidRDefault="00B30B73" w14:paraId="284AF71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5EF6C057"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Ziet u aanleiding om de wettelijke vereisten voor pensioencommunicatie aan te scherpen op basis van</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de ervaringen met de koplopers en het recente transitiebulletin van de AFM? Zo nee, waarom niet?</w:t>
      </w:r>
    </w:p>
    <w:p w:rsidR="00B30B73" w:rsidP="00B30B73" w:rsidRDefault="00B30B73" w14:paraId="3B3DBB4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AE75EB" w:rsidR="00B30B73" w:rsidP="00B30B73" w:rsidRDefault="00B30B73" w14:paraId="4A4634F6"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AE75EB">
        <w:rPr>
          <w:rFonts w:ascii="Verdana" w:hAnsi="Verdana" w:eastAsia="DejaVuSerifCondensed" w:cs="DejaVuSerifCondensed"/>
          <w:b/>
          <w:bCs/>
          <w:color w:val="000000"/>
          <w:kern w:val="0"/>
          <w:sz w:val="18"/>
          <w:szCs w:val="18"/>
        </w:rPr>
        <w:t>Antwoord 7</w:t>
      </w:r>
    </w:p>
    <w:p w:rsidRPr="001E5180" w:rsidR="00B30B73" w:rsidP="00B30B73" w:rsidRDefault="00B30B73" w14:paraId="026A949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Zoals aangegeven bij antwoord 2 en 3, is het streven voor het einde van het jaar de betreffende regelgeving aan te passen.</w:t>
      </w:r>
    </w:p>
    <w:p w:rsidR="00B30B73" w:rsidP="00B30B73" w:rsidRDefault="00B30B73" w14:paraId="4DD41D4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9336BC" w:rsidR="00B30B73" w:rsidP="00B30B73" w:rsidRDefault="00B30B73" w14:paraId="5D75241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9336BC" w:rsidR="00B30B73" w:rsidP="00B30B73" w:rsidRDefault="00B30B73" w14:paraId="71F730C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1) PensioenPro, 29 augustus 2025, 'Communicatieplannen grote fondsen laten tegenvallers</w:t>
      </w:r>
    </w:p>
    <w:p w:rsidRPr="009336BC" w:rsidR="00B30B73" w:rsidP="00B30B73" w:rsidRDefault="00B30B73" w14:paraId="3317C7CB" w14:textId="77777777">
      <w:pPr>
        <w:autoSpaceDE w:val="0"/>
        <w:autoSpaceDN w:val="0"/>
        <w:adjustRightInd w:val="0"/>
        <w:spacing w:after="0" w:line="240" w:lineRule="auto"/>
        <w:rPr>
          <w:rFonts w:ascii="Verdana" w:hAnsi="Verdana" w:eastAsia="DejaVuSerifCondensed" w:cs="DejaVuSerifCondensed"/>
          <w:color w:val="0000FF"/>
          <w:kern w:val="0"/>
          <w:sz w:val="18"/>
          <w:szCs w:val="18"/>
        </w:rPr>
      </w:pPr>
      <w:r w:rsidRPr="009336BC">
        <w:rPr>
          <w:rFonts w:ascii="Verdana" w:hAnsi="Verdana" w:eastAsia="DejaVuSerifCondensed" w:cs="DejaVuSerifCondensed"/>
          <w:color w:val="000000"/>
          <w:kern w:val="0"/>
          <w:sz w:val="18"/>
          <w:szCs w:val="18"/>
        </w:rPr>
        <w:t xml:space="preserve">onbesproken', </w:t>
      </w:r>
      <w:r w:rsidRPr="009336BC">
        <w:rPr>
          <w:rFonts w:ascii="Verdana" w:hAnsi="Verdana" w:eastAsia="DejaVuSerifCondensed" w:cs="DejaVuSerifCondensed"/>
          <w:color w:val="0000FF"/>
          <w:kern w:val="0"/>
          <w:sz w:val="18"/>
          <w:szCs w:val="18"/>
        </w:rPr>
        <w:t>pensioenpro.nl/communicatieplannen-grote-fondsen-laten-tegenvallers-onbesproken/</w:t>
      </w:r>
    </w:p>
    <w:p w:rsidRPr="009336BC" w:rsidR="00B30B73" w:rsidP="00B30B73" w:rsidRDefault="00B30B73" w14:paraId="32588DE4" w14:textId="77777777">
      <w:pPr>
        <w:rPr>
          <w:rFonts w:ascii="Verdana" w:hAnsi="Verdana"/>
          <w:sz w:val="18"/>
          <w:szCs w:val="18"/>
        </w:rPr>
      </w:pPr>
    </w:p>
    <w:p w:rsidR="00D6759D" w:rsidRDefault="00D6759D" w14:paraId="0A4820D3" w14:textId="77777777"/>
    <w:sectPr w:rsidR="00D6759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EEC8" w14:textId="77777777" w:rsidR="00B30B73" w:rsidRDefault="00B30B73" w:rsidP="00B30B73">
      <w:pPr>
        <w:spacing w:after="0" w:line="240" w:lineRule="auto"/>
      </w:pPr>
      <w:r>
        <w:separator/>
      </w:r>
    </w:p>
  </w:endnote>
  <w:endnote w:type="continuationSeparator" w:id="0">
    <w:p w14:paraId="2D1CD850" w14:textId="77777777" w:rsidR="00B30B73" w:rsidRDefault="00B30B73" w:rsidP="00B3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F769" w14:textId="77777777" w:rsidR="00B30B73" w:rsidRPr="00B30B73" w:rsidRDefault="00B30B73" w:rsidP="00B30B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F2D1" w14:textId="77777777" w:rsidR="00B30B73" w:rsidRPr="00B30B73" w:rsidRDefault="00B30B73" w:rsidP="00B30B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2E70" w14:textId="77777777" w:rsidR="00B30B73" w:rsidRPr="00B30B73" w:rsidRDefault="00B30B73" w:rsidP="00B30B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DB44" w14:textId="77777777" w:rsidR="00B30B73" w:rsidRDefault="00B30B73" w:rsidP="00B30B73">
      <w:pPr>
        <w:spacing w:after="0" w:line="240" w:lineRule="auto"/>
      </w:pPr>
      <w:r>
        <w:separator/>
      </w:r>
    </w:p>
  </w:footnote>
  <w:footnote w:type="continuationSeparator" w:id="0">
    <w:p w14:paraId="064EA6E2" w14:textId="77777777" w:rsidR="00B30B73" w:rsidRDefault="00B30B73" w:rsidP="00B30B73">
      <w:pPr>
        <w:spacing w:after="0" w:line="240" w:lineRule="auto"/>
      </w:pPr>
      <w:r>
        <w:continuationSeparator/>
      </w:r>
    </w:p>
  </w:footnote>
  <w:footnote w:id="1">
    <w:p w14:paraId="26AABC37" w14:textId="77777777" w:rsidR="00B30B73" w:rsidRPr="00470D0C" w:rsidRDefault="00B30B73" w:rsidP="00B30B73">
      <w:pPr>
        <w:pStyle w:val="Voetnoottekst"/>
        <w:rPr>
          <w:rFonts w:ascii="Verdana" w:hAnsi="Verdana"/>
          <w:sz w:val="16"/>
          <w:szCs w:val="16"/>
        </w:rPr>
      </w:pPr>
      <w:r w:rsidRPr="00470D0C">
        <w:rPr>
          <w:rStyle w:val="Voetnootmarkering"/>
          <w:rFonts w:ascii="Verdana" w:hAnsi="Verdana"/>
          <w:sz w:val="16"/>
          <w:szCs w:val="16"/>
        </w:rPr>
        <w:footnoteRef/>
      </w:r>
      <w:r>
        <w:rPr>
          <w:rFonts w:ascii="Verdana" w:hAnsi="Verdana"/>
          <w:sz w:val="16"/>
          <w:szCs w:val="16"/>
        </w:rPr>
        <w:t xml:space="preserve"> Kamerstukken II 2024/25, 36 578 nr. 28</w:t>
      </w:r>
    </w:p>
  </w:footnote>
  <w:footnote w:id="2">
    <w:p w14:paraId="7F034279" w14:textId="77777777" w:rsidR="00B30B73" w:rsidRPr="00470D0C" w:rsidRDefault="00B30B73" w:rsidP="00B30B73">
      <w:pPr>
        <w:pStyle w:val="Voetnoottekst"/>
        <w:rPr>
          <w:rFonts w:ascii="Verdana" w:hAnsi="Verdana"/>
          <w:sz w:val="16"/>
          <w:szCs w:val="16"/>
        </w:rPr>
      </w:pPr>
      <w:r w:rsidRPr="00470D0C">
        <w:rPr>
          <w:rStyle w:val="Voetnootmarkering"/>
          <w:rFonts w:ascii="Verdana" w:hAnsi="Verdana"/>
          <w:sz w:val="16"/>
          <w:szCs w:val="16"/>
        </w:rPr>
        <w:footnoteRef/>
      </w:r>
      <w:r w:rsidRPr="00470D0C">
        <w:rPr>
          <w:rFonts w:ascii="Verdana" w:hAnsi="Verdana"/>
          <w:sz w:val="16"/>
          <w:szCs w:val="16"/>
        </w:rPr>
        <w:t xml:space="preserve"> Artikel 44, eerste lid, onderdeel e, Besluit uitvoering Pensioenwet en Wet verplichte beroepspensioenregelingen</w:t>
      </w:r>
    </w:p>
  </w:footnote>
  <w:footnote w:id="3">
    <w:p w14:paraId="3B1A1A83" w14:textId="77777777" w:rsidR="00B30B73" w:rsidRPr="008907F8" w:rsidRDefault="00B30B73" w:rsidP="00B30B73">
      <w:pPr>
        <w:pStyle w:val="Voetnoottekst"/>
        <w:rPr>
          <w:rFonts w:ascii="Verdana" w:hAnsi="Verdana"/>
          <w:sz w:val="16"/>
          <w:szCs w:val="16"/>
        </w:rPr>
      </w:pPr>
      <w:r w:rsidRPr="008907F8">
        <w:rPr>
          <w:rStyle w:val="Voetnootmarkering"/>
          <w:rFonts w:ascii="Verdana" w:hAnsi="Verdana"/>
          <w:sz w:val="16"/>
          <w:szCs w:val="16"/>
        </w:rPr>
        <w:footnoteRef/>
      </w:r>
      <w:r w:rsidRPr="008907F8">
        <w:rPr>
          <w:rFonts w:ascii="Verdana" w:hAnsi="Verdana"/>
          <w:sz w:val="16"/>
          <w:szCs w:val="16"/>
        </w:rPr>
        <w:t xml:space="preserve"> Zie jaarverslagen 2024 van de genoemde pensioenfondsen</w:t>
      </w:r>
      <w:r>
        <w:rPr>
          <w:rFonts w:ascii="Verdana" w:hAnsi="Verdana"/>
          <w:sz w:val="16"/>
          <w:szCs w:val="16"/>
        </w:rPr>
        <w:t xml:space="preserve">: </w:t>
      </w:r>
      <w:hyperlink r:id="rId1" w:history="1">
        <w:r w:rsidRPr="005207E5">
          <w:rPr>
            <w:rStyle w:val="Hyperlink"/>
            <w:rFonts w:ascii="Verdana" w:hAnsi="Verdana"/>
            <w:sz w:val="16"/>
            <w:szCs w:val="16"/>
          </w:rPr>
          <w:t>PFZW Jaarverslag 2024</w:t>
        </w:r>
      </w:hyperlink>
      <w:r>
        <w:rPr>
          <w:rFonts w:ascii="Verdana" w:hAnsi="Verdana"/>
          <w:sz w:val="16"/>
          <w:szCs w:val="16"/>
        </w:rPr>
        <w:t xml:space="preserve">, </w:t>
      </w:r>
      <w:hyperlink r:id="rId2" w:history="1">
        <w:r w:rsidRPr="005207E5">
          <w:rPr>
            <w:rStyle w:val="Hyperlink"/>
            <w:rFonts w:ascii="Verdana" w:hAnsi="Verdana"/>
            <w:sz w:val="16"/>
            <w:szCs w:val="16"/>
          </w:rPr>
          <w:t>pmt-algemeen-jaarverslag-2024_253511.pdf</w:t>
        </w:r>
      </w:hyperlink>
      <w:r>
        <w:rPr>
          <w:rFonts w:ascii="Verdana" w:hAnsi="Verdana"/>
          <w:sz w:val="16"/>
          <w:szCs w:val="16"/>
        </w:rPr>
        <w:t xml:space="preserve">, </w:t>
      </w:r>
      <w:hyperlink r:id="rId3" w:history="1">
        <w:r w:rsidRPr="005207E5">
          <w:rPr>
            <w:rStyle w:val="Hyperlink"/>
            <w:rFonts w:ascii="Verdana" w:hAnsi="Verdana"/>
            <w:sz w:val="16"/>
            <w:szCs w:val="16"/>
          </w:rPr>
          <w:t>Jaarverslag-2024.pdf</w:t>
        </w:r>
      </w:hyperlink>
    </w:p>
  </w:footnote>
  <w:footnote w:id="4">
    <w:p w14:paraId="7377E57C" w14:textId="77777777" w:rsidR="00B30B73" w:rsidRPr="00470D0C" w:rsidRDefault="00B30B73" w:rsidP="00B30B73">
      <w:pPr>
        <w:pStyle w:val="Voetnoottekst"/>
        <w:rPr>
          <w:rFonts w:ascii="Verdana" w:hAnsi="Verdana"/>
          <w:sz w:val="16"/>
          <w:szCs w:val="16"/>
        </w:rPr>
      </w:pPr>
      <w:r w:rsidRPr="00470D0C">
        <w:rPr>
          <w:rStyle w:val="Voetnootmarkering"/>
          <w:rFonts w:ascii="Verdana" w:hAnsi="Verdana"/>
          <w:sz w:val="16"/>
          <w:szCs w:val="16"/>
        </w:rPr>
        <w:footnoteRef/>
      </w:r>
      <w:r w:rsidRPr="00470D0C">
        <w:rPr>
          <w:rFonts w:ascii="Verdana" w:hAnsi="Verdana"/>
          <w:sz w:val="16"/>
          <w:szCs w:val="16"/>
        </w:rPr>
        <w:t xml:space="preserve"> Artikel 14a en verder van de Regeling Pensioenwet en Wet verplichte beroepspensioenregeling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5ACE" w14:textId="77777777" w:rsidR="00B30B73" w:rsidRPr="00B30B73" w:rsidRDefault="00B30B73" w:rsidP="00B30B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DCDD" w14:textId="77777777" w:rsidR="00B30B73" w:rsidRPr="00B30B73" w:rsidRDefault="00B30B73" w:rsidP="00B30B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B6DD" w14:textId="77777777" w:rsidR="00B30B73" w:rsidRPr="00B30B73" w:rsidRDefault="00B30B73" w:rsidP="00B30B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D30B2"/>
    <w:multiLevelType w:val="hybridMultilevel"/>
    <w:tmpl w:val="55504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382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73"/>
    <w:rsid w:val="007B1E2B"/>
    <w:rsid w:val="00B30B73"/>
    <w:rsid w:val="00D675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670D"/>
  <w15:chartTrackingRefBased/>
  <w15:docId w15:val="{E4BB3D32-8D5E-433F-B50D-347C3C90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0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30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30B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30B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30B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30B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0B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0B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0B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0B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30B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30B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30B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30B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30B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0B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0B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0B73"/>
    <w:rPr>
      <w:rFonts w:eastAsiaTheme="majorEastAsia" w:cstheme="majorBidi"/>
      <w:color w:val="272727" w:themeColor="text1" w:themeTint="D8"/>
    </w:rPr>
  </w:style>
  <w:style w:type="paragraph" w:styleId="Titel">
    <w:name w:val="Title"/>
    <w:basedOn w:val="Standaard"/>
    <w:next w:val="Standaard"/>
    <w:link w:val="TitelChar"/>
    <w:uiPriority w:val="10"/>
    <w:qFormat/>
    <w:rsid w:val="00B30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0B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0B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0B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0B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0B73"/>
    <w:rPr>
      <w:i/>
      <w:iCs/>
      <w:color w:val="404040" w:themeColor="text1" w:themeTint="BF"/>
    </w:rPr>
  </w:style>
  <w:style w:type="paragraph" w:styleId="Lijstalinea">
    <w:name w:val="List Paragraph"/>
    <w:basedOn w:val="Standaard"/>
    <w:uiPriority w:val="34"/>
    <w:qFormat/>
    <w:rsid w:val="00B30B73"/>
    <w:pPr>
      <w:ind w:left="720"/>
      <w:contextualSpacing/>
    </w:pPr>
  </w:style>
  <w:style w:type="character" w:styleId="Intensievebenadrukking">
    <w:name w:val="Intense Emphasis"/>
    <w:basedOn w:val="Standaardalinea-lettertype"/>
    <w:uiPriority w:val="21"/>
    <w:qFormat/>
    <w:rsid w:val="00B30B73"/>
    <w:rPr>
      <w:i/>
      <w:iCs/>
      <w:color w:val="2F5496" w:themeColor="accent1" w:themeShade="BF"/>
    </w:rPr>
  </w:style>
  <w:style w:type="paragraph" w:styleId="Duidelijkcitaat">
    <w:name w:val="Intense Quote"/>
    <w:basedOn w:val="Standaard"/>
    <w:next w:val="Standaard"/>
    <w:link w:val="DuidelijkcitaatChar"/>
    <w:uiPriority w:val="30"/>
    <w:qFormat/>
    <w:rsid w:val="00B30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30B73"/>
    <w:rPr>
      <w:i/>
      <w:iCs/>
      <w:color w:val="2F5496" w:themeColor="accent1" w:themeShade="BF"/>
    </w:rPr>
  </w:style>
  <w:style w:type="character" w:styleId="Intensieveverwijzing">
    <w:name w:val="Intense Reference"/>
    <w:basedOn w:val="Standaardalinea-lettertype"/>
    <w:uiPriority w:val="32"/>
    <w:qFormat/>
    <w:rsid w:val="00B30B73"/>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B30B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30B73"/>
    <w:rPr>
      <w:sz w:val="20"/>
      <w:szCs w:val="20"/>
    </w:rPr>
  </w:style>
  <w:style w:type="character" w:styleId="Voetnootmarkering">
    <w:name w:val="footnote reference"/>
    <w:basedOn w:val="Standaardalinea-lettertype"/>
    <w:uiPriority w:val="99"/>
    <w:semiHidden/>
    <w:unhideWhenUsed/>
    <w:rsid w:val="00B30B73"/>
    <w:rPr>
      <w:vertAlign w:val="superscript"/>
    </w:rPr>
  </w:style>
  <w:style w:type="character" w:styleId="Hyperlink">
    <w:name w:val="Hyperlink"/>
    <w:basedOn w:val="Standaardalinea-lettertype"/>
    <w:uiPriority w:val="99"/>
    <w:unhideWhenUsed/>
    <w:rsid w:val="00B30B73"/>
    <w:rPr>
      <w:color w:val="0563C1" w:themeColor="hyperlink"/>
      <w:u w:val="single"/>
    </w:rPr>
  </w:style>
  <w:style w:type="paragraph" w:styleId="Koptekst">
    <w:name w:val="header"/>
    <w:basedOn w:val="Standaard"/>
    <w:link w:val="KoptekstChar"/>
    <w:uiPriority w:val="99"/>
    <w:unhideWhenUsed/>
    <w:rsid w:val="00B30B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0B73"/>
  </w:style>
  <w:style w:type="paragraph" w:styleId="Voettekst">
    <w:name w:val="footer"/>
    <w:basedOn w:val="Standaard"/>
    <w:link w:val="VoettekstChar"/>
    <w:uiPriority w:val="99"/>
    <w:unhideWhenUsed/>
    <w:rsid w:val="00B30B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0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ensioenfondsdetailhandel.nl/content/publications/Jaarverslag-2024.pdf" TargetMode="External"/><Relationship Id="rId2" Type="http://schemas.openxmlformats.org/officeDocument/2006/relationships/hyperlink" Target="https://www.pmt.nl/media/ucnmiqv2/pmt-algemeen-jaarverslag-2024_253511.pdf" TargetMode="External"/><Relationship Id="rId1" Type="http://schemas.openxmlformats.org/officeDocument/2006/relationships/hyperlink" Target="https://www.pfzw.nl/content/dam/pfzw/web/over-ons/jaarverslagen/PFZW%20jaarverslag%20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673</ap:Words>
  <ap:Characters>3707</ap:Characters>
  <ap:DocSecurity>0</ap:DocSecurity>
  <ap:Lines>30</ap:Lines>
  <ap:Paragraphs>8</ap:Paragraphs>
  <ap:ScaleCrop>false</ap:ScaleCrop>
  <ap:LinksUpToDate>false</ap:LinksUpToDate>
  <ap:CharactersWithSpaces>4372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2025-09-23T13:19:00.0000000Z</dcterms:created>
  <dcterms:modified xsi:type="dcterms:W3CDTF">2025-09-23T13:20:00.0000000Z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