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6291" w:rsidR="00E76291" w:rsidP="00E76291" w:rsidRDefault="00764CA5" w14:paraId="31B8A162" w14:textId="025C0DD2">
      <w:pPr>
        <w:ind w:left="1416" w:hanging="1416"/>
        <w:rPr>
          <w:rFonts w:ascii="Calibri" w:hAnsi="Calibri" w:cs="Calibri"/>
        </w:rPr>
      </w:pPr>
      <w:r w:rsidRPr="00E76291">
        <w:rPr>
          <w:rFonts w:ascii="Calibri" w:hAnsi="Calibri" w:cs="Calibri"/>
        </w:rPr>
        <w:t>36800</w:t>
      </w:r>
      <w:r w:rsidRPr="00E76291" w:rsidR="00E76291">
        <w:rPr>
          <w:rFonts w:ascii="Calibri" w:hAnsi="Calibri" w:cs="Calibri"/>
        </w:rPr>
        <w:t xml:space="preserve"> </w:t>
      </w:r>
      <w:r w:rsidRPr="00E76291">
        <w:rPr>
          <w:rFonts w:ascii="Calibri" w:hAnsi="Calibri" w:cs="Calibri"/>
        </w:rPr>
        <w:t>XIII</w:t>
      </w:r>
      <w:r w:rsidRPr="00E76291" w:rsidR="00E76291">
        <w:rPr>
          <w:rFonts w:ascii="Calibri" w:hAnsi="Calibri" w:cs="Calibri"/>
        </w:rPr>
        <w:tab/>
        <w:t>Vaststelling van de begrotingsstaten van het Ministerie van Economische Zaken (XIII) voor het jaar 2026</w:t>
      </w:r>
    </w:p>
    <w:p w:rsidRPr="00E76291" w:rsidR="00E76291" w:rsidP="00E76291" w:rsidRDefault="00E76291" w14:paraId="19DFA7BC" w14:textId="3E021322">
      <w:pPr>
        <w:rPr>
          <w:rFonts w:ascii="Calibri" w:hAnsi="Calibri" w:cs="Calibri"/>
        </w:rPr>
      </w:pPr>
      <w:r w:rsidRPr="00E76291">
        <w:rPr>
          <w:rFonts w:ascii="Calibri" w:hAnsi="Calibri" w:cs="Calibri"/>
        </w:rPr>
        <w:t xml:space="preserve">Nr. </w:t>
      </w:r>
      <w:r w:rsidRPr="00E76291">
        <w:rPr>
          <w:rFonts w:ascii="Calibri" w:hAnsi="Calibri" w:cs="Calibri"/>
        </w:rPr>
        <w:t>5</w:t>
      </w:r>
      <w:r w:rsidRPr="00E76291">
        <w:rPr>
          <w:rFonts w:ascii="Calibri" w:hAnsi="Calibri" w:cs="Calibri"/>
        </w:rPr>
        <w:tab/>
      </w:r>
      <w:r w:rsidRPr="00E76291">
        <w:rPr>
          <w:rFonts w:ascii="Calibri" w:hAnsi="Calibri" w:cs="Calibri"/>
        </w:rPr>
        <w:tab/>
        <w:t>Brief van de Algemene Rekenkamer</w:t>
      </w:r>
    </w:p>
    <w:p w:rsidRPr="00E76291" w:rsidR="00E76291" w:rsidP="00E76291" w:rsidRDefault="00E76291" w14:paraId="7EE521B4" w14:textId="255D34CD">
      <w:pPr>
        <w:rPr>
          <w:rFonts w:ascii="Calibri" w:hAnsi="Calibri" w:cs="Calibri"/>
        </w:rPr>
      </w:pPr>
      <w:r w:rsidRPr="00E76291">
        <w:rPr>
          <w:rFonts w:ascii="Calibri" w:hAnsi="Calibri" w:cs="Calibri"/>
        </w:rPr>
        <w:t>Aan de Voorzitter van de Tweede Kamer der Staten-Generaal</w:t>
      </w:r>
    </w:p>
    <w:p w:rsidRPr="00E76291" w:rsidR="00E76291" w:rsidP="00E76291" w:rsidRDefault="00E76291" w14:paraId="627B549F" w14:textId="0D89AC67">
      <w:pPr>
        <w:rPr>
          <w:rFonts w:ascii="Calibri" w:hAnsi="Calibri" w:cs="Calibri"/>
        </w:rPr>
      </w:pPr>
      <w:r w:rsidRPr="00E76291">
        <w:rPr>
          <w:rFonts w:ascii="Calibri" w:hAnsi="Calibri" w:cs="Calibri"/>
        </w:rPr>
        <w:t>Den Haag, 23 september 2025</w:t>
      </w:r>
    </w:p>
    <w:p w:rsidRPr="00E76291" w:rsidR="00E76291" w:rsidP="00764CA5" w:rsidRDefault="00E76291" w14:paraId="5A7D00FD" w14:textId="34329664">
      <w:pPr>
        <w:rPr>
          <w:rFonts w:ascii="Calibri" w:hAnsi="Calibri" w:cs="Calibri"/>
        </w:rPr>
      </w:pPr>
    </w:p>
    <w:p w:rsidRPr="00E76291" w:rsidR="00764CA5" w:rsidP="00764CA5" w:rsidRDefault="00764CA5" w14:paraId="0058A427" w14:textId="0444A5E3">
      <w:pPr>
        <w:rPr>
          <w:rFonts w:ascii="Calibri" w:hAnsi="Calibri" w:cs="Calibri"/>
        </w:rPr>
      </w:pPr>
      <w:r w:rsidRPr="00E76291">
        <w:rPr>
          <w:rFonts w:ascii="Calibri" w:hAnsi="Calibri" w:cs="Calibri"/>
        </w:rPr>
        <w:t xml:space="preserve">Het budgetrecht is één van de belangrijkste parlementaire rechten. Het begint met het vooraf goedkeuren van begrotingswetsvoorstellen door het parlement. Ieder jaar stuurt de Algemene Rekenkamer de Tweede Kamer daarom aandachtspunten bij de ontwerpbegrotingen van de ministeries ten behoeve van de begrotingsbehandeling. </w:t>
      </w:r>
    </w:p>
    <w:p w:rsidRPr="00E76291" w:rsidR="00764CA5" w:rsidP="00764CA5" w:rsidRDefault="00764CA5" w14:paraId="639E2064" w14:textId="77777777">
      <w:pPr>
        <w:rPr>
          <w:rFonts w:ascii="Calibri" w:hAnsi="Calibri" w:cs="Calibri"/>
        </w:rPr>
      </w:pPr>
      <w:r w:rsidRPr="00E76291">
        <w:rPr>
          <w:rFonts w:ascii="Calibri" w:hAnsi="Calibri" w:cs="Calibri"/>
        </w:rPr>
        <w:t>Deze brief gaat in op de ontwerpbegroting 2026, begrotingshoofdstuk XIII van het ministerie van Economische Zaken.</w:t>
      </w:r>
    </w:p>
    <w:p w:rsidRPr="00E76291" w:rsidR="00764CA5" w:rsidP="00764CA5" w:rsidRDefault="00764CA5" w14:paraId="444D8D52" w14:textId="77777777">
      <w:pPr>
        <w:rPr>
          <w:rFonts w:ascii="Calibri" w:hAnsi="Calibri" w:cs="Calibri"/>
        </w:rPr>
      </w:pPr>
      <w:r w:rsidRPr="00E76291">
        <w:rPr>
          <w:rFonts w:ascii="Calibri" w:hAnsi="Calibri" w:cs="Calibri"/>
        </w:rPr>
        <w:t>De onderwerpen in deze begrotingsbrief zijn:</w:t>
      </w:r>
    </w:p>
    <w:p w:rsidRPr="00E76291" w:rsidR="00764CA5" w:rsidP="00764CA5" w:rsidRDefault="00764CA5" w14:paraId="6E3367B7" w14:textId="77777777">
      <w:pPr>
        <w:pStyle w:val="Lijstalinea"/>
        <w:numPr>
          <w:ilvl w:val="0"/>
          <w:numId w:val="1"/>
        </w:numPr>
        <w:autoSpaceDN w:val="0"/>
        <w:spacing w:after="0" w:line="320" w:lineRule="exact"/>
        <w:textAlignment w:val="baseline"/>
        <w:rPr>
          <w:rFonts w:ascii="Calibri" w:hAnsi="Calibri" w:cs="Calibri"/>
        </w:rPr>
      </w:pPr>
      <w:r w:rsidRPr="00E76291">
        <w:rPr>
          <w:rFonts w:ascii="Calibri" w:hAnsi="Calibri" w:cs="Calibri"/>
        </w:rPr>
        <w:t>Geld</w:t>
      </w:r>
    </w:p>
    <w:p w:rsidRPr="00E76291" w:rsidR="00764CA5" w:rsidP="00764CA5" w:rsidRDefault="00764CA5" w14:paraId="451ECB05" w14:textId="77777777">
      <w:pPr>
        <w:pStyle w:val="Lijstalinea"/>
        <w:numPr>
          <w:ilvl w:val="0"/>
          <w:numId w:val="1"/>
        </w:numPr>
        <w:autoSpaceDN w:val="0"/>
        <w:spacing w:after="0" w:line="320" w:lineRule="exact"/>
        <w:textAlignment w:val="baseline"/>
        <w:rPr>
          <w:rFonts w:ascii="Calibri" w:hAnsi="Calibri" w:cs="Calibri"/>
        </w:rPr>
      </w:pPr>
      <w:r w:rsidRPr="00E76291">
        <w:rPr>
          <w:rFonts w:ascii="Calibri" w:hAnsi="Calibri" w:cs="Calibri"/>
        </w:rPr>
        <w:t>Sturen op resultaten</w:t>
      </w:r>
    </w:p>
    <w:p w:rsidRPr="00E76291" w:rsidR="00764CA5" w:rsidP="00764CA5" w:rsidRDefault="00764CA5" w14:paraId="495F5C40" w14:textId="77777777">
      <w:pPr>
        <w:pStyle w:val="Lijstalinea"/>
        <w:numPr>
          <w:ilvl w:val="0"/>
          <w:numId w:val="1"/>
        </w:numPr>
        <w:autoSpaceDN w:val="0"/>
        <w:spacing w:after="0" w:line="320" w:lineRule="exact"/>
        <w:textAlignment w:val="baseline"/>
        <w:rPr>
          <w:rFonts w:ascii="Calibri" w:hAnsi="Calibri" w:cs="Calibri"/>
        </w:rPr>
      </w:pPr>
      <w:r w:rsidRPr="00E76291">
        <w:rPr>
          <w:rFonts w:ascii="Calibri" w:hAnsi="Calibri" w:cs="Calibri"/>
        </w:rPr>
        <w:t>Risico’s en beheer</w:t>
      </w:r>
    </w:p>
    <w:p w:rsidRPr="00E76291" w:rsidR="00764CA5" w:rsidP="00764CA5" w:rsidRDefault="00764CA5" w14:paraId="6A62F07E" w14:textId="77777777">
      <w:pPr>
        <w:rPr>
          <w:rFonts w:ascii="Calibri" w:hAnsi="Calibri" w:cs="Calibri"/>
          <w:highlight w:val="yellow"/>
        </w:rPr>
      </w:pPr>
    </w:p>
    <w:p w:rsidRPr="00E76291" w:rsidR="00764CA5" w:rsidP="00764CA5" w:rsidRDefault="00764CA5" w14:paraId="70B10B87" w14:textId="77777777">
      <w:pPr>
        <w:rPr>
          <w:rFonts w:ascii="Calibri" w:hAnsi="Calibri" w:cs="Calibri"/>
          <w:highlight w:val="yellow"/>
        </w:rPr>
      </w:pPr>
      <w:r w:rsidRPr="00E76291">
        <w:rPr>
          <w:rFonts w:ascii="Calibri" w:hAnsi="Calibri" w:cs="Calibri"/>
        </w:rPr>
        <w:t>Wij verwachten dat de minister de Kamer op inzichtelijke wijze informeert over deze onderwerpen.</w:t>
      </w:r>
      <w:r w:rsidRPr="00E76291">
        <w:rPr>
          <w:rFonts w:ascii="Calibri" w:hAnsi="Calibri" w:cs="Calibri"/>
          <w:highlight w:val="yellow"/>
        </w:rPr>
        <w:t xml:space="preserve"> </w:t>
      </w:r>
    </w:p>
    <w:p w:rsidRPr="00E76291" w:rsidR="00764CA5" w:rsidP="00764CA5" w:rsidRDefault="00764CA5" w14:paraId="5314409D" w14:textId="77777777">
      <w:pPr>
        <w:rPr>
          <w:rFonts w:ascii="Calibri" w:hAnsi="Calibri" w:cs="Calibri"/>
        </w:rPr>
      </w:pPr>
    </w:p>
    <w:p w:rsidRPr="00E76291" w:rsidR="00764CA5" w:rsidP="00764CA5" w:rsidRDefault="00764CA5" w14:paraId="4AFFA991" w14:textId="77777777">
      <w:pPr>
        <w:pStyle w:val="Kop1"/>
        <w:numPr>
          <w:ilvl w:val="0"/>
          <w:numId w:val="2"/>
        </w:numPr>
        <w:ind w:left="720"/>
        <w:rPr>
          <w:rFonts w:ascii="Calibri" w:hAnsi="Calibri" w:cs="Calibri"/>
          <w:sz w:val="22"/>
          <w:szCs w:val="22"/>
        </w:rPr>
      </w:pPr>
      <w:r w:rsidRPr="00E76291">
        <w:rPr>
          <w:rFonts w:ascii="Calibri" w:hAnsi="Calibri" w:cs="Calibri"/>
          <w:sz w:val="22"/>
          <w:szCs w:val="22"/>
        </w:rPr>
        <w:t>Geld</w:t>
      </w:r>
    </w:p>
    <w:p w:rsidRPr="00E76291" w:rsidR="00764CA5" w:rsidP="00764CA5" w:rsidRDefault="00764CA5" w14:paraId="4D18F40B" w14:textId="77777777">
      <w:pPr>
        <w:rPr>
          <w:rFonts w:ascii="Calibri" w:hAnsi="Calibri" w:cs="Calibri"/>
        </w:rPr>
      </w:pPr>
      <w:r w:rsidRPr="00E76291">
        <w:rPr>
          <w:rFonts w:ascii="Calibri" w:hAnsi="Calibri" w:cs="Calibri"/>
        </w:rPr>
        <w:t xml:space="preserve">De ontwerpbegrotingen moeten de Kamer inzicht bieden in de beleidsvoornemens van het kabinet en de daarmee gemoeide uitgaven en ontvangsten. </w:t>
      </w:r>
    </w:p>
    <w:p w:rsidRPr="00E76291" w:rsidR="00764CA5" w:rsidP="00764CA5" w:rsidRDefault="00764CA5" w14:paraId="51573811" w14:textId="77777777">
      <w:pPr>
        <w:rPr>
          <w:rFonts w:ascii="Calibri" w:hAnsi="Calibri" w:cs="Calibri"/>
        </w:rPr>
      </w:pPr>
      <w:r w:rsidRPr="00E76291">
        <w:rPr>
          <w:rFonts w:ascii="Calibri" w:hAnsi="Calibri" w:cs="Calibri"/>
        </w:rPr>
        <w:t>De begrote uitgaven voor 2026 zijn € 3,32 miljard. In de ontwerpbegroting 2025 was de stand €  2,93</w:t>
      </w:r>
      <w:r w:rsidRPr="00E76291">
        <w:rPr>
          <w:rFonts w:ascii="Calibri" w:hAnsi="Calibri" w:cs="Calibri"/>
          <w:b/>
        </w:rPr>
        <w:t xml:space="preserve"> </w:t>
      </w:r>
      <w:r w:rsidRPr="00E76291">
        <w:rPr>
          <w:rFonts w:ascii="Calibri" w:hAnsi="Calibri" w:cs="Calibri"/>
        </w:rPr>
        <w:t>miljard. Het verschil bedraagt dus + € 0,39 miljard. Hieronder lichten we enkele grote mutaties uit en geven we aan welke toelichting de minister daarbij geeft in zijn begroting.</w:t>
      </w:r>
    </w:p>
    <w:p w:rsidRPr="00E76291" w:rsidR="00764CA5" w:rsidP="00764CA5" w:rsidRDefault="00764CA5" w14:paraId="1A0EB780" w14:textId="77777777">
      <w:pPr>
        <w:rPr>
          <w:rFonts w:ascii="Calibri" w:hAnsi="Calibri" w:cs="Calibri"/>
        </w:rPr>
      </w:pPr>
    </w:p>
    <w:p w:rsidRPr="00E76291" w:rsidR="00764CA5" w:rsidP="00764CA5" w:rsidRDefault="00764CA5" w14:paraId="41A25C60" w14:textId="77777777">
      <w:pPr>
        <w:rPr>
          <w:rFonts w:ascii="Calibri" w:hAnsi="Calibri" w:cs="Calibri"/>
        </w:rPr>
      </w:pPr>
    </w:p>
    <w:p w:rsidRPr="00E76291" w:rsidR="00764CA5" w:rsidP="00764CA5" w:rsidRDefault="00764CA5" w14:paraId="0CBEB588" w14:textId="77777777">
      <w:pPr>
        <w:rPr>
          <w:rFonts w:ascii="Calibri" w:hAnsi="Calibri" w:cs="Calibri"/>
          <w:b/>
        </w:rPr>
      </w:pPr>
      <w:r w:rsidRPr="00E76291">
        <w:rPr>
          <w:rFonts w:ascii="Calibri" w:hAnsi="Calibri" w:cs="Calibri"/>
          <w:b/>
        </w:rPr>
        <w:t xml:space="preserve">Tabel 1: Grote mutaties 2026, ontwerpbegroting 2026 ten opzichte van begroting 2025 </w:t>
      </w:r>
    </w:p>
    <w:tbl>
      <w:tblPr>
        <w:tblStyle w:val="Tabelraster"/>
        <w:tblW w:w="8359" w:type="dxa"/>
        <w:tblLayout w:type="fixed"/>
        <w:tblLook w:val="04A0" w:firstRow="1" w:lastRow="0" w:firstColumn="1" w:lastColumn="0" w:noHBand="0" w:noVBand="1"/>
      </w:tblPr>
      <w:tblGrid>
        <w:gridCol w:w="988"/>
        <w:gridCol w:w="1842"/>
        <w:gridCol w:w="1093"/>
        <w:gridCol w:w="1317"/>
        <w:gridCol w:w="3119"/>
      </w:tblGrid>
      <w:tr w:rsidRPr="00E76291" w:rsidR="00764CA5" w:rsidTr="002F0CED" w14:paraId="099CFF46" w14:textId="77777777">
        <w:tc>
          <w:tcPr>
            <w:tcW w:w="988" w:type="dxa"/>
          </w:tcPr>
          <w:p w:rsidRPr="00E76291" w:rsidR="00764CA5" w:rsidP="002F0CED" w:rsidRDefault="00764CA5" w14:paraId="0B46D00B" w14:textId="77777777">
            <w:pPr>
              <w:rPr>
                <w:rFonts w:ascii="Calibri" w:hAnsi="Calibri" w:cs="Calibri"/>
                <w:b/>
                <w:sz w:val="22"/>
                <w:szCs w:val="22"/>
              </w:rPr>
            </w:pPr>
            <w:r w:rsidRPr="00E76291">
              <w:rPr>
                <w:rFonts w:ascii="Calibri" w:hAnsi="Calibri" w:cs="Calibri"/>
                <w:b/>
                <w:sz w:val="22"/>
                <w:szCs w:val="22"/>
              </w:rPr>
              <w:t xml:space="preserve">Artikel </w:t>
            </w:r>
          </w:p>
        </w:tc>
        <w:tc>
          <w:tcPr>
            <w:tcW w:w="1842" w:type="dxa"/>
          </w:tcPr>
          <w:p w:rsidRPr="00E76291" w:rsidR="00764CA5" w:rsidP="002F0CED" w:rsidRDefault="00764CA5" w14:paraId="36A7DADD" w14:textId="77777777">
            <w:pPr>
              <w:rPr>
                <w:rFonts w:ascii="Calibri" w:hAnsi="Calibri" w:cs="Calibri"/>
                <w:b/>
                <w:sz w:val="22"/>
                <w:szCs w:val="22"/>
              </w:rPr>
            </w:pPr>
            <w:r w:rsidRPr="00E76291">
              <w:rPr>
                <w:rFonts w:ascii="Calibri" w:hAnsi="Calibri" w:cs="Calibri"/>
                <w:b/>
                <w:sz w:val="22"/>
                <w:szCs w:val="22"/>
              </w:rPr>
              <w:t>Maatregel</w:t>
            </w:r>
          </w:p>
        </w:tc>
        <w:tc>
          <w:tcPr>
            <w:tcW w:w="1093" w:type="dxa"/>
          </w:tcPr>
          <w:p w:rsidRPr="00E76291" w:rsidR="00764CA5" w:rsidP="002F0CED" w:rsidRDefault="00764CA5" w14:paraId="608411D9" w14:textId="77777777">
            <w:pPr>
              <w:jc w:val="right"/>
              <w:rPr>
                <w:rFonts w:ascii="Calibri" w:hAnsi="Calibri" w:cs="Calibri"/>
                <w:b/>
                <w:sz w:val="22"/>
                <w:szCs w:val="22"/>
              </w:rPr>
            </w:pPr>
            <w:r w:rsidRPr="00E76291">
              <w:rPr>
                <w:rFonts w:ascii="Calibri" w:hAnsi="Calibri" w:cs="Calibri"/>
                <w:b/>
                <w:sz w:val="22"/>
                <w:szCs w:val="22"/>
              </w:rPr>
              <w:t xml:space="preserve">Mutatie </w:t>
            </w:r>
          </w:p>
          <w:p w:rsidRPr="00E76291" w:rsidR="00764CA5" w:rsidP="002F0CED" w:rsidRDefault="00764CA5" w14:paraId="45AD8933" w14:textId="77777777">
            <w:pPr>
              <w:jc w:val="right"/>
              <w:rPr>
                <w:rFonts w:ascii="Calibri" w:hAnsi="Calibri" w:cs="Calibri"/>
                <w:b/>
                <w:sz w:val="22"/>
                <w:szCs w:val="22"/>
              </w:rPr>
            </w:pPr>
            <w:r w:rsidRPr="00E76291">
              <w:rPr>
                <w:rFonts w:ascii="Calibri" w:hAnsi="Calibri" w:cs="Calibri"/>
                <w:b/>
                <w:sz w:val="22"/>
                <w:szCs w:val="22"/>
              </w:rPr>
              <w:t xml:space="preserve">(x </w:t>
            </w:r>
            <w:proofErr w:type="spellStart"/>
            <w:r w:rsidRPr="00E76291">
              <w:rPr>
                <w:rFonts w:ascii="Calibri" w:hAnsi="Calibri" w:cs="Calibri"/>
                <w:b/>
                <w:sz w:val="22"/>
                <w:szCs w:val="22"/>
              </w:rPr>
              <w:t>mln</w:t>
            </w:r>
            <w:proofErr w:type="spellEnd"/>
            <w:r w:rsidRPr="00E76291">
              <w:rPr>
                <w:rFonts w:ascii="Calibri" w:hAnsi="Calibri" w:cs="Calibri"/>
                <w:b/>
                <w:sz w:val="22"/>
                <w:szCs w:val="22"/>
              </w:rPr>
              <w:t xml:space="preserve"> euro)</w:t>
            </w:r>
          </w:p>
        </w:tc>
        <w:tc>
          <w:tcPr>
            <w:tcW w:w="1317" w:type="dxa"/>
          </w:tcPr>
          <w:p w:rsidRPr="00E76291" w:rsidR="00764CA5" w:rsidP="002F0CED" w:rsidRDefault="00764CA5" w14:paraId="2D753B6D" w14:textId="77777777">
            <w:pPr>
              <w:jc w:val="right"/>
              <w:rPr>
                <w:rFonts w:ascii="Calibri" w:hAnsi="Calibri" w:cs="Calibri"/>
                <w:b/>
                <w:sz w:val="22"/>
                <w:szCs w:val="22"/>
              </w:rPr>
            </w:pPr>
            <w:r w:rsidRPr="00E76291">
              <w:rPr>
                <w:rFonts w:ascii="Calibri" w:hAnsi="Calibri" w:cs="Calibri"/>
                <w:b/>
                <w:sz w:val="22"/>
                <w:szCs w:val="22"/>
              </w:rPr>
              <w:t xml:space="preserve">% mutatie </w:t>
            </w:r>
            <w:proofErr w:type="spellStart"/>
            <w:r w:rsidRPr="00E76291">
              <w:rPr>
                <w:rFonts w:ascii="Calibri" w:hAnsi="Calibri" w:cs="Calibri"/>
                <w:b/>
                <w:sz w:val="22"/>
                <w:szCs w:val="22"/>
              </w:rPr>
              <w:t>t.o.v</w:t>
            </w:r>
            <w:proofErr w:type="spellEnd"/>
            <w:r w:rsidRPr="00E76291">
              <w:rPr>
                <w:rFonts w:ascii="Calibri" w:hAnsi="Calibri" w:cs="Calibri"/>
                <w:b/>
                <w:sz w:val="22"/>
                <w:szCs w:val="22"/>
              </w:rPr>
              <w:t xml:space="preserve"> </w:t>
            </w:r>
            <w:r w:rsidRPr="00E76291">
              <w:rPr>
                <w:rFonts w:ascii="Calibri" w:hAnsi="Calibri" w:cs="Calibri"/>
                <w:b/>
                <w:sz w:val="22"/>
                <w:szCs w:val="22"/>
              </w:rPr>
              <w:lastRenderedPageBreak/>
              <w:t>beleidsartikel</w:t>
            </w:r>
          </w:p>
        </w:tc>
        <w:tc>
          <w:tcPr>
            <w:tcW w:w="3119" w:type="dxa"/>
          </w:tcPr>
          <w:p w:rsidRPr="00E76291" w:rsidR="00764CA5" w:rsidP="002F0CED" w:rsidRDefault="00764CA5" w14:paraId="05758C88" w14:textId="77777777">
            <w:pPr>
              <w:rPr>
                <w:rFonts w:ascii="Calibri" w:hAnsi="Calibri" w:cs="Calibri"/>
                <w:b/>
                <w:sz w:val="22"/>
                <w:szCs w:val="22"/>
              </w:rPr>
            </w:pPr>
            <w:r w:rsidRPr="00E76291">
              <w:rPr>
                <w:rFonts w:ascii="Calibri" w:hAnsi="Calibri" w:cs="Calibri"/>
                <w:b/>
                <w:sz w:val="22"/>
                <w:szCs w:val="22"/>
              </w:rPr>
              <w:lastRenderedPageBreak/>
              <w:t>Toelichting op mutatie door minister</w:t>
            </w:r>
          </w:p>
        </w:tc>
      </w:tr>
      <w:tr w:rsidRPr="00E76291" w:rsidR="00764CA5" w:rsidTr="002F0CED" w14:paraId="2CD84BF9" w14:textId="77777777">
        <w:tc>
          <w:tcPr>
            <w:tcW w:w="988" w:type="dxa"/>
          </w:tcPr>
          <w:p w:rsidRPr="00E76291" w:rsidR="00764CA5" w:rsidP="002F0CED" w:rsidRDefault="00764CA5" w14:paraId="66F9C6F1" w14:textId="77777777">
            <w:pPr>
              <w:rPr>
                <w:rFonts w:ascii="Calibri" w:hAnsi="Calibri" w:cs="Calibri"/>
                <w:b/>
                <w:sz w:val="22"/>
                <w:szCs w:val="22"/>
              </w:rPr>
            </w:pPr>
            <w:r w:rsidRPr="00E76291">
              <w:rPr>
                <w:rFonts w:ascii="Calibri" w:hAnsi="Calibri" w:cs="Calibri"/>
                <w:b/>
                <w:sz w:val="22"/>
                <w:szCs w:val="22"/>
              </w:rPr>
              <w:t>3</w:t>
            </w:r>
          </w:p>
        </w:tc>
        <w:tc>
          <w:tcPr>
            <w:tcW w:w="1842" w:type="dxa"/>
          </w:tcPr>
          <w:p w:rsidRPr="00E76291" w:rsidR="00764CA5" w:rsidP="002F0CED" w:rsidRDefault="00764CA5" w14:paraId="1751F354" w14:textId="77777777">
            <w:pPr>
              <w:rPr>
                <w:rFonts w:ascii="Calibri" w:hAnsi="Calibri" w:cs="Calibri"/>
                <w:sz w:val="22"/>
                <w:szCs w:val="22"/>
                <w:lang w:val="en-GB"/>
              </w:rPr>
            </w:pPr>
            <w:r w:rsidRPr="00E76291">
              <w:rPr>
                <w:rFonts w:ascii="Calibri" w:hAnsi="Calibri" w:cs="Calibri"/>
                <w:sz w:val="22"/>
                <w:szCs w:val="22"/>
                <w:lang w:val="en-GB"/>
              </w:rPr>
              <w:t>European Tech Champions Initiative (ETCI) 2.0</w:t>
            </w:r>
          </w:p>
        </w:tc>
        <w:tc>
          <w:tcPr>
            <w:tcW w:w="1093" w:type="dxa"/>
          </w:tcPr>
          <w:p w:rsidRPr="00E76291" w:rsidR="00764CA5" w:rsidP="002F0CED" w:rsidRDefault="00764CA5" w14:paraId="3DF0A6F2" w14:textId="77777777">
            <w:pPr>
              <w:jc w:val="right"/>
              <w:rPr>
                <w:rFonts w:ascii="Calibri" w:hAnsi="Calibri" w:cs="Calibri"/>
                <w:sz w:val="22"/>
                <w:szCs w:val="22"/>
              </w:rPr>
            </w:pPr>
            <w:r w:rsidRPr="00E76291">
              <w:rPr>
                <w:rFonts w:ascii="Calibri" w:hAnsi="Calibri" w:cs="Calibri"/>
                <w:sz w:val="22"/>
                <w:szCs w:val="22"/>
              </w:rPr>
              <w:t>200,0</w:t>
            </w:r>
          </w:p>
        </w:tc>
        <w:tc>
          <w:tcPr>
            <w:tcW w:w="1317" w:type="dxa"/>
          </w:tcPr>
          <w:p w:rsidRPr="00E76291" w:rsidR="00764CA5" w:rsidP="002F0CED" w:rsidRDefault="00764CA5" w14:paraId="54416C0D" w14:textId="77777777">
            <w:pPr>
              <w:jc w:val="right"/>
              <w:rPr>
                <w:rFonts w:ascii="Calibri" w:hAnsi="Calibri" w:cs="Calibri"/>
                <w:b/>
                <w:sz w:val="22"/>
                <w:szCs w:val="22"/>
              </w:rPr>
            </w:pPr>
            <w:r w:rsidRPr="00E76291">
              <w:rPr>
                <w:rFonts w:ascii="Calibri" w:hAnsi="Calibri" w:cs="Calibri"/>
                <w:b/>
                <w:sz w:val="22"/>
                <w:szCs w:val="22"/>
              </w:rPr>
              <w:t>+  53,8 %</w:t>
            </w:r>
          </w:p>
        </w:tc>
        <w:tc>
          <w:tcPr>
            <w:tcW w:w="3119" w:type="dxa"/>
          </w:tcPr>
          <w:p w:rsidRPr="00E76291" w:rsidR="00764CA5" w:rsidP="002F0CED" w:rsidRDefault="00764CA5" w14:paraId="6CDB1C44" w14:textId="77777777">
            <w:pPr>
              <w:rPr>
                <w:rFonts w:ascii="Calibri" w:hAnsi="Calibri" w:cs="Calibri"/>
                <w:sz w:val="22"/>
                <w:szCs w:val="22"/>
              </w:rPr>
            </w:pPr>
            <w:r w:rsidRPr="00E76291">
              <w:rPr>
                <w:rFonts w:ascii="Calibri" w:hAnsi="Calibri" w:cs="Calibri"/>
                <w:sz w:val="22"/>
                <w:szCs w:val="22"/>
              </w:rPr>
              <w:t xml:space="preserve">Bijdrage (eenmalig) aan Europees Investeringsfonds voor innovatieve </w:t>
            </w:r>
            <w:proofErr w:type="spellStart"/>
            <w:r w:rsidRPr="00E76291">
              <w:rPr>
                <w:rFonts w:ascii="Calibri" w:hAnsi="Calibri" w:cs="Calibri"/>
                <w:sz w:val="22"/>
                <w:szCs w:val="22"/>
              </w:rPr>
              <w:t>scale</w:t>
            </w:r>
            <w:proofErr w:type="spellEnd"/>
            <w:r w:rsidRPr="00E76291">
              <w:rPr>
                <w:rFonts w:ascii="Calibri" w:hAnsi="Calibri" w:cs="Calibri"/>
                <w:sz w:val="22"/>
                <w:szCs w:val="22"/>
              </w:rPr>
              <w:t xml:space="preserve">-ups, met als doel vergroten slagkracht Europese risicokapitaalfondsen en verminderen afhankelijkheid van niet-Europees risicokapitaal.  </w:t>
            </w:r>
          </w:p>
        </w:tc>
      </w:tr>
      <w:tr w:rsidRPr="00E76291" w:rsidR="00764CA5" w:rsidTr="002F0CED" w14:paraId="1BBF38CB" w14:textId="77777777">
        <w:tc>
          <w:tcPr>
            <w:tcW w:w="988" w:type="dxa"/>
          </w:tcPr>
          <w:p w:rsidRPr="00E76291" w:rsidR="00764CA5" w:rsidP="002F0CED" w:rsidRDefault="00764CA5" w14:paraId="00E75F43" w14:textId="77777777">
            <w:pPr>
              <w:rPr>
                <w:rFonts w:ascii="Calibri" w:hAnsi="Calibri" w:cs="Calibri"/>
                <w:b/>
                <w:sz w:val="22"/>
                <w:szCs w:val="22"/>
              </w:rPr>
            </w:pPr>
            <w:r w:rsidRPr="00E76291">
              <w:rPr>
                <w:rFonts w:ascii="Calibri" w:hAnsi="Calibri" w:cs="Calibri"/>
                <w:b/>
                <w:sz w:val="22"/>
                <w:szCs w:val="22"/>
              </w:rPr>
              <w:t>2</w:t>
            </w:r>
          </w:p>
        </w:tc>
        <w:tc>
          <w:tcPr>
            <w:tcW w:w="1842" w:type="dxa"/>
          </w:tcPr>
          <w:p w:rsidRPr="00E76291" w:rsidR="00764CA5" w:rsidP="002F0CED" w:rsidRDefault="00764CA5" w14:paraId="473E2B9C" w14:textId="77777777">
            <w:pPr>
              <w:rPr>
                <w:rFonts w:ascii="Calibri" w:hAnsi="Calibri" w:cs="Calibri"/>
                <w:sz w:val="22"/>
                <w:szCs w:val="22"/>
              </w:rPr>
            </w:pPr>
            <w:r w:rsidRPr="00E76291">
              <w:rPr>
                <w:rFonts w:ascii="Calibri" w:hAnsi="Calibri" w:cs="Calibri"/>
                <w:sz w:val="22"/>
                <w:szCs w:val="22"/>
              </w:rPr>
              <w:t>Toekenning aan 2 NGF projecten op de EZ begroting:</w:t>
            </w:r>
          </w:p>
          <w:p w:rsidRPr="00E76291" w:rsidR="00764CA5" w:rsidP="002F0CED" w:rsidRDefault="00764CA5" w14:paraId="371BE833" w14:textId="77777777">
            <w:pPr>
              <w:rPr>
                <w:rFonts w:ascii="Calibri" w:hAnsi="Calibri" w:cs="Calibri"/>
                <w:sz w:val="22"/>
                <w:szCs w:val="22"/>
              </w:rPr>
            </w:pPr>
            <w:proofErr w:type="spellStart"/>
            <w:r w:rsidRPr="00E76291">
              <w:rPr>
                <w:rFonts w:ascii="Calibri" w:hAnsi="Calibri" w:cs="Calibri"/>
                <w:sz w:val="22"/>
                <w:szCs w:val="22"/>
              </w:rPr>
              <w:t>Photon</w:t>
            </w:r>
            <w:proofErr w:type="spellEnd"/>
            <w:r w:rsidRPr="00E76291">
              <w:rPr>
                <w:rFonts w:ascii="Calibri" w:hAnsi="Calibri" w:cs="Calibri"/>
                <w:sz w:val="22"/>
                <w:szCs w:val="22"/>
              </w:rPr>
              <w:t xml:space="preserve">-Delta: </w:t>
            </w:r>
            <w:proofErr w:type="spellStart"/>
            <w:r w:rsidRPr="00E76291">
              <w:rPr>
                <w:rFonts w:ascii="Calibri" w:hAnsi="Calibri" w:cs="Calibri"/>
                <w:sz w:val="22"/>
                <w:szCs w:val="22"/>
              </w:rPr>
              <w:t>Oncode</w:t>
            </w:r>
            <w:proofErr w:type="spellEnd"/>
            <w:r w:rsidRPr="00E76291">
              <w:rPr>
                <w:rFonts w:ascii="Calibri" w:hAnsi="Calibri" w:cs="Calibri"/>
                <w:sz w:val="22"/>
                <w:szCs w:val="22"/>
              </w:rPr>
              <w:t xml:space="preserve">-Pact: </w:t>
            </w:r>
          </w:p>
        </w:tc>
        <w:tc>
          <w:tcPr>
            <w:tcW w:w="1093" w:type="dxa"/>
          </w:tcPr>
          <w:p w:rsidRPr="00E76291" w:rsidR="00764CA5" w:rsidP="002F0CED" w:rsidRDefault="00764CA5" w14:paraId="44A7BA61" w14:textId="77777777">
            <w:pPr>
              <w:jc w:val="right"/>
              <w:rPr>
                <w:rFonts w:ascii="Calibri" w:hAnsi="Calibri" w:cs="Calibri"/>
                <w:sz w:val="22"/>
                <w:szCs w:val="22"/>
              </w:rPr>
            </w:pPr>
          </w:p>
          <w:p w:rsidRPr="00E76291" w:rsidR="00764CA5" w:rsidP="002F0CED" w:rsidRDefault="00764CA5" w14:paraId="71A5EA82" w14:textId="77777777">
            <w:pPr>
              <w:jc w:val="right"/>
              <w:rPr>
                <w:rFonts w:ascii="Calibri" w:hAnsi="Calibri" w:cs="Calibri"/>
                <w:sz w:val="22"/>
                <w:szCs w:val="22"/>
              </w:rPr>
            </w:pPr>
          </w:p>
          <w:p w:rsidRPr="00E76291" w:rsidR="00764CA5" w:rsidP="002F0CED" w:rsidRDefault="00764CA5" w14:paraId="0522842D" w14:textId="77777777">
            <w:pPr>
              <w:jc w:val="right"/>
              <w:rPr>
                <w:rFonts w:ascii="Calibri" w:hAnsi="Calibri" w:cs="Calibri"/>
                <w:sz w:val="22"/>
                <w:szCs w:val="22"/>
              </w:rPr>
            </w:pPr>
          </w:p>
          <w:p w:rsidRPr="00E76291" w:rsidR="00764CA5" w:rsidP="002F0CED" w:rsidRDefault="00764CA5" w14:paraId="18356B12" w14:textId="77777777">
            <w:pPr>
              <w:jc w:val="right"/>
              <w:rPr>
                <w:rFonts w:ascii="Calibri" w:hAnsi="Calibri" w:cs="Calibri"/>
                <w:sz w:val="22"/>
                <w:szCs w:val="22"/>
              </w:rPr>
            </w:pPr>
            <w:r w:rsidRPr="00E76291">
              <w:rPr>
                <w:rFonts w:ascii="Calibri" w:hAnsi="Calibri" w:cs="Calibri"/>
                <w:sz w:val="22"/>
                <w:szCs w:val="22"/>
              </w:rPr>
              <w:t>91,4</w:t>
            </w:r>
            <w:r w:rsidRPr="00E76291">
              <w:rPr>
                <w:rStyle w:val="Voetnootmarkering"/>
                <w:rFonts w:ascii="Calibri" w:hAnsi="Calibri" w:cs="Calibri"/>
                <w:sz w:val="22"/>
                <w:szCs w:val="22"/>
              </w:rPr>
              <w:footnoteReference w:id="1"/>
            </w:r>
          </w:p>
          <w:p w:rsidRPr="00E76291" w:rsidR="00764CA5" w:rsidP="002F0CED" w:rsidRDefault="00764CA5" w14:paraId="54595845" w14:textId="77777777">
            <w:pPr>
              <w:jc w:val="right"/>
              <w:rPr>
                <w:rFonts w:ascii="Calibri" w:hAnsi="Calibri" w:cs="Calibri"/>
                <w:sz w:val="22"/>
                <w:szCs w:val="22"/>
              </w:rPr>
            </w:pPr>
            <w:r w:rsidRPr="00E76291">
              <w:rPr>
                <w:rFonts w:ascii="Calibri" w:hAnsi="Calibri" w:cs="Calibri"/>
                <w:sz w:val="22"/>
                <w:szCs w:val="22"/>
              </w:rPr>
              <w:t>22,0</w:t>
            </w:r>
          </w:p>
        </w:tc>
        <w:tc>
          <w:tcPr>
            <w:tcW w:w="1317" w:type="dxa"/>
          </w:tcPr>
          <w:p w:rsidRPr="00E76291" w:rsidR="00764CA5" w:rsidP="002F0CED" w:rsidRDefault="00764CA5" w14:paraId="029C3AE4" w14:textId="77777777">
            <w:pPr>
              <w:jc w:val="right"/>
              <w:rPr>
                <w:rFonts w:ascii="Calibri" w:hAnsi="Calibri" w:cs="Calibri"/>
                <w:b/>
                <w:sz w:val="22"/>
                <w:szCs w:val="22"/>
              </w:rPr>
            </w:pPr>
            <w:r w:rsidRPr="00E76291">
              <w:rPr>
                <w:rFonts w:ascii="Calibri" w:hAnsi="Calibri" w:cs="Calibri"/>
                <w:b/>
                <w:sz w:val="22"/>
                <w:szCs w:val="22"/>
              </w:rPr>
              <w:t>+  6,8 %</w:t>
            </w:r>
          </w:p>
        </w:tc>
        <w:tc>
          <w:tcPr>
            <w:tcW w:w="3119" w:type="dxa"/>
          </w:tcPr>
          <w:p w:rsidRPr="00E76291" w:rsidR="00764CA5" w:rsidP="002F0CED" w:rsidRDefault="00764CA5" w14:paraId="3E8BFEEA" w14:textId="77777777">
            <w:pPr>
              <w:rPr>
                <w:rFonts w:ascii="Calibri" w:hAnsi="Calibri" w:cs="Calibri"/>
                <w:sz w:val="22"/>
                <w:szCs w:val="22"/>
              </w:rPr>
            </w:pPr>
            <w:r w:rsidRPr="00E76291">
              <w:rPr>
                <w:rFonts w:ascii="Calibri" w:hAnsi="Calibri" w:cs="Calibri"/>
                <w:sz w:val="22"/>
                <w:szCs w:val="22"/>
              </w:rPr>
              <w:t xml:space="preserve">Voor </w:t>
            </w:r>
            <w:proofErr w:type="spellStart"/>
            <w:r w:rsidRPr="00E76291">
              <w:rPr>
                <w:rFonts w:ascii="Calibri" w:hAnsi="Calibri" w:cs="Calibri"/>
                <w:sz w:val="22"/>
                <w:szCs w:val="22"/>
              </w:rPr>
              <w:t>PhotonDelta</w:t>
            </w:r>
            <w:proofErr w:type="spellEnd"/>
            <w:r w:rsidRPr="00E76291">
              <w:rPr>
                <w:rFonts w:ascii="Calibri" w:hAnsi="Calibri" w:cs="Calibri"/>
                <w:sz w:val="22"/>
                <w:szCs w:val="22"/>
              </w:rPr>
              <w:t xml:space="preserve"> (versnelling Nederlandse fotonica ecosysteem) is nu cumulatief over de jaren € 421,2 </w:t>
            </w:r>
            <w:proofErr w:type="spellStart"/>
            <w:r w:rsidRPr="00E76291">
              <w:rPr>
                <w:rFonts w:ascii="Calibri" w:hAnsi="Calibri" w:cs="Calibri"/>
                <w:sz w:val="22"/>
                <w:szCs w:val="22"/>
              </w:rPr>
              <w:t>mln</w:t>
            </w:r>
            <w:proofErr w:type="spellEnd"/>
            <w:r w:rsidRPr="00E76291">
              <w:rPr>
                <w:rFonts w:ascii="Calibri" w:hAnsi="Calibri" w:cs="Calibri"/>
                <w:sz w:val="22"/>
                <w:szCs w:val="22"/>
              </w:rPr>
              <w:t xml:space="preserve"> definitief toegekend, en voor </w:t>
            </w:r>
            <w:proofErr w:type="spellStart"/>
            <w:r w:rsidRPr="00E76291">
              <w:rPr>
                <w:rFonts w:ascii="Calibri" w:hAnsi="Calibri" w:cs="Calibri"/>
                <w:sz w:val="22"/>
                <w:szCs w:val="22"/>
              </w:rPr>
              <w:t>Oncode</w:t>
            </w:r>
            <w:proofErr w:type="spellEnd"/>
            <w:r w:rsidRPr="00E76291">
              <w:rPr>
                <w:rFonts w:ascii="Calibri" w:hAnsi="Calibri" w:cs="Calibri"/>
                <w:sz w:val="22"/>
                <w:szCs w:val="22"/>
              </w:rPr>
              <w:t xml:space="preserve">-Pact (medicijnontwikkeling) is € 284,0 </w:t>
            </w:r>
            <w:proofErr w:type="spellStart"/>
            <w:r w:rsidRPr="00E76291">
              <w:rPr>
                <w:rFonts w:ascii="Calibri" w:hAnsi="Calibri" w:cs="Calibri"/>
                <w:sz w:val="22"/>
                <w:szCs w:val="22"/>
              </w:rPr>
              <w:t>mln</w:t>
            </w:r>
            <w:proofErr w:type="spellEnd"/>
            <w:r w:rsidRPr="00E76291">
              <w:rPr>
                <w:rFonts w:ascii="Calibri" w:hAnsi="Calibri" w:cs="Calibri"/>
                <w:sz w:val="22"/>
                <w:szCs w:val="22"/>
              </w:rPr>
              <w:t xml:space="preserve"> definitief toegekend. </w:t>
            </w:r>
          </w:p>
        </w:tc>
      </w:tr>
    </w:tbl>
    <w:p w:rsidRPr="00E76291" w:rsidR="00764CA5" w:rsidP="00764CA5" w:rsidRDefault="00764CA5" w14:paraId="11F28FCD" w14:textId="77777777">
      <w:pPr>
        <w:rPr>
          <w:rFonts w:ascii="Calibri" w:hAnsi="Calibri" w:cs="Calibri"/>
          <w:b/>
        </w:rPr>
      </w:pPr>
    </w:p>
    <w:p w:rsidRPr="00E76291" w:rsidR="00764CA5" w:rsidP="00764CA5" w:rsidRDefault="00764CA5" w14:paraId="21836CF6" w14:textId="77777777">
      <w:pPr>
        <w:rPr>
          <w:rFonts w:ascii="Calibri" w:hAnsi="Calibri" w:cs="Calibri"/>
        </w:rPr>
      </w:pPr>
      <w:r w:rsidRPr="00E76291">
        <w:rPr>
          <w:rFonts w:ascii="Calibri" w:hAnsi="Calibri" w:cs="Calibri"/>
        </w:rPr>
        <w:t xml:space="preserve">Daarnaast wijzen we nog op twee relatief grote aanpassingen </w:t>
      </w:r>
      <w:r w:rsidRPr="00E76291">
        <w:rPr>
          <w:rFonts w:ascii="Calibri" w:hAnsi="Calibri" w:cs="Calibri"/>
          <w:b/>
          <w:i/>
        </w:rPr>
        <w:t>op de lopende begroting van 2025</w:t>
      </w:r>
      <w:r w:rsidRPr="00E76291">
        <w:rPr>
          <w:rFonts w:ascii="Calibri" w:hAnsi="Calibri" w:cs="Calibri"/>
        </w:rPr>
        <w:t xml:space="preserve"> (onderdeel van de september suppletoire begroting), en een wijziging vanaf 2027. </w:t>
      </w:r>
    </w:p>
    <w:p w:rsidRPr="00E76291" w:rsidR="00764CA5" w:rsidP="00764CA5" w:rsidRDefault="00764CA5" w14:paraId="49F7E9C4" w14:textId="77777777">
      <w:pPr>
        <w:pStyle w:val="Lijstalinea"/>
        <w:numPr>
          <w:ilvl w:val="0"/>
          <w:numId w:val="5"/>
        </w:numPr>
        <w:autoSpaceDN w:val="0"/>
        <w:spacing w:after="0" w:line="320" w:lineRule="exact"/>
        <w:textAlignment w:val="baseline"/>
        <w:rPr>
          <w:rFonts w:ascii="Calibri" w:hAnsi="Calibri" w:cs="Calibri"/>
        </w:rPr>
      </w:pPr>
      <w:r w:rsidRPr="00E76291">
        <w:rPr>
          <w:rFonts w:ascii="Calibri" w:hAnsi="Calibri" w:cs="Calibri"/>
        </w:rPr>
        <w:t xml:space="preserve">Er wordt nog € 99,4 </w:t>
      </w:r>
      <w:proofErr w:type="spellStart"/>
      <w:r w:rsidRPr="00E76291">
        <w:rPr>
          <w:rFonts w:ascii="Calibri" w:hAnsi="Calibri" w:cs="Calibri"/>
        </w:rPr>
        <w:t>mln</w:t>
      </w:r>
      <w:proofErr w:type="spellEnd"/>
      <w:r w:rsidRPr="00E76291">
        <w:rPr>
          <w:rFonts w:ascii="Calibri" w:hAnsi="Calibri" w:cs="Calibri"/>
        </w:rPr>
        <w:t xml:space="preserve"> in 2025 gereserveerd voor de zogenoemde </w:t>
      </w:r>
      <w:r w:rsidRPr="00E76291">
        <w:rPr>
          <w:rFonts w:ascii="Calibri" w:hAnsi="Calibri" w:cs="Calibri"/>
          <w:b/>
          <w:i/>
        </w:rPr>
        <w:t>AI-fabriek</w:t>
      </w:r>
      <w:r w:rsidRPr="00E76291">
        <w:rPr>
          <w:rFonts w:ascii="Calibri" w:hAnsi="Calibri" w:cs="Calibri"/>
        </w:rPr>
        <w:t xml:space="preserve"> in Groningen, met een supercomputer en AI-kenniscentrum voor onderzoekers en bedrijfsleven. De reservering is onder voorbehoud van honorering van het voorstel voor Europese cofinancieringen en instemming met de financiering door de Staten-Generaal. In totaal wordt t/m 2030 € 127,9 </w:t>
      </w:r>
      <w:proofErr w:type="spellStart"/>
      <w:r w:rsidRPr="00E76291">
        <w:rPr>
          <w:rFonts w:ascii="Calibri" w:hAnsi="Calibri" w:cs="Calibri"/>
        </w:rPr>
        <w:t>mln</w:t>
      </w:r>
      <w:proofErr w:type="spellEnd"/>
      <w:r w:rsidRPr="00E76291">
        <w:rPr>
          <w:rFonts w:ascii="Calibri" w:hAnsi="Calibri" w:cs="Calibri"/>
        </w:rPr>
        <w:t xml:space="preserve"> gereserveerd voor de AI-fabriek.</w:t>
      </w:r>
    </w:p>
    <w:p w:rsidRPr="00E76291" w:rsidR="00764CA5" w:rsidP="00764CA5" w:rsidRDefault="00764CA5" w14:paraId="46CFDA39" w14:textId="77777777">
      <w:pPr>
        <w:pStyle w:val="Lijstalinea"/>
        <w:numPr>
          <w:ilvl w:val="0"/>
          <w:numId w:val="5"/>
        </w:numPr>
        <w:autoSpaceDN w:val="0"/>
        <w:spacing w:after="0" w:line="320" w:lineRule="exact"/>
        <w:textAlignment w:val="baseline"/>
        <w:rPr>
          <w:rFonts w:ascii="Calibri" w:hAnsi="Calibri" w:cs="Calibri"/>
        </w:rPr>
      </w:pPr>
      <w:r w:rsidRPr="00E76291">
        <w:rPr>
          <w:rFonts w:ascii="Calibri" w:hAnsi="Calibri" w:cs="Calibri"/>
        </w:rPr>
        <w:t xml:space="preserve">Daarnaast is er in 2025 € 270 </w:t>
      </w:r>
      <w:proofErr w:type="spellStart"/>
      <w:r w:rsidRPr="00E76291">
        <w:rPr>
          <w:rFonts w:ascii="Calibri" w:hAnsi="Calibri" w:cs="Calibri"/>
        </w:rPr>
        <w:t>mln</w:t>
      </w:r>
      <w:proofErr w:type="spellEnd"/>
      <w:r w:rsidRPr="00E76291">
        <w:rPr>
          <w:rFonts w:ascii="Calibri" w:hAnsi="Calibri" w:cs="Calibri"/>
        </w:rPr>
        <w:t xml:space="preserve"> toegekend als </w:t>
      </w:r>
      <w:r w:rsidRPr="00E76291">
        <w:rPr>
          <w:rFonts w:ascii="Calibri" w:hAnsi="Calibri" w:cs="Calibri"/>
          <w:b/>
          <w:i/>
        </w:rPr>
        <w:t>bedrijfssteun</w:t>
      </w:r>
      <w:r w:rsidRPr="00E76291">
        <w:rPr>
          <w:rFonts w:ascii="Calibri" w:hAnsi="Calibri" w:cs="Calibri"/>
        </w:rPr>
        <w:t>, voor een specifieke casus waarover de Kamer vertrouwelijk is geïnformeerd</w:t>
      </w:r>
      <w:r w:rsidRPr="00E76291">
        <w:rPr>
          <w:rFonts w:ascii="Calibri" w:hAnsi="Calibri" w:cs="Calibri"/>
          <w:b/>
          <w:i/>
        </w:rPr>
        <w:t>.</w:t>
      </w:r>
      <w:r w:rsidRPr="00E76291">
        <w:rPr>
          <w:rFonts w:ascii="Calibri" w:hAnsi="Calibri" w:cs="Calibri"/>
        </w:rPr>
        <w:t xml:space="preserve"> </w:t>
      </w:r>
    </w:p>
    <w:p w:rsidRPr="00E76291" w:rsidR="00764CA5" w:rsidP="00764CA5" w:rsidRDefault="00764CA5" w14:paraId="2EF38444" w14:textId="77777777">
      <w:pPr>
        <w:pStyle w:val="Lijstalinea"/>
        <w:numPr>
          <w:ilvl w:val="0"/>
          <w:numId w:val="5"/>
        </w:numPr>
        <w:autoSpaceDN w:val="0"/>
        <w:spacing w:after="0" w:line="320" w:lineRule="exact"/>
        <w:textAlignment w:val="baseline"/>
        <w:rPr>
          <w:rFonts w:ascii="Calibri" w:hAnsi="Calibri" w:cs="Calibri"/>
        </w:rPr>
      </w:pPr>
      <w:r w:rsidRPr="00E76291">
        <w:rPr>
          <w:rFonts w:ascii="Calibri" w:hAnsi="Calibri" w:cs="Calibri"/>
        </w:rPr>
        <w:t xml:space="preserve">Een laatste grote wijziging die relevant is om te noemen, met effect op de begroting vanaf 2027, is een reservering van in totaal € 230 </w:t>
      </w:r>
      <w:proofErr w:type="spellStart"/>
      <w:r w:rsidRPr="00E76291">
        <w:rPr>
          <w:rFonts w:ascii="Calibri" w:hAnsi="Calibri" w:cs="Calibri"/>
        </w:rPr>
        <w:t>mln</w:t>
      </w:r>
      <w:proofErr w:type="spellEnd"/>
      <w:r w:rsidRPr="00E76291">
        <w:rPr>
          <w:rFonts w:ascii="Calibri" w:hAnsi="Calibri" w:cs="Calibri"/>
        </w:rPr>
        <w:t xml:space="preserve"> voor het </w:t>
      </w:r>
      <w:r w:rsidRPr="00E76291">
        <w:rPr>
          <w:rFonts w:ascii="Calibri" w:hAnsi="Calibri" w:cs="Calibri"/>
          <w:b/>
          <w:i/>
        </w:rPr>
        <w:t>IPCEI</w:t>
      </w:r>
      <w:r w:rsidRPr="00E76291">
        <w:rPr>
          <w:rFonts w:ascii="Calibri" w:hAnsi="Calibri" w:cs="Calibri"/>
        </w:rPr>
        <w:t xml:space="preserve"> (International Project of Common European Interest) voor </w:t>
      </w:r>
      <w:r w:rsidRPr="00E76291">
        <w:rPr>
          <w:rFonts w:ascii="Calibri" w:hAnsi="Calibri" w:cs="Calibri"/>
          <w:b/>
          <w:i/>
        </w:rPr>
        <w:t>Advanced Semiconductor Technologies</w:t>
      </w:r>
      <w:r w:rsidRPr="00E76291">
        <w:rPr>
          <w:rFonts w:ascii="Calibri" w:hAnsi="Calibri" w:cs="Calibri"/>
        </w:rPr>
        <w:t xml:space="preserve">. Het kabinet stelt de middelen voor dit project beschikbaar uit de algemene middelen. Het bedrag wordt voor € 200 </w:t>
      </w:r>
      <w:proofErr w:type="spellStart"/>
      <w:r w:rsidRPr="00E76291">
        <w:rPr>
          <w:rFonts w:ascii="Calibri" w:hAnsi="Calibri" w:cs="Calibri"/>
        </w:rPr>
        <w:t>mln</w:t>
      </w:r>
      <w:proofErr w:type="spellEnd"/>
      <w:r w:rsidRPr="00E76291">
        <w:rPr>
          <w:rFonts w:ascii="Calibri" w:hAnsi="Calibri" w:cs="Calibri"/>
        </w:rPr>
        <w:t xml:space="preserve"> gedekt uit een NGF-project dat niet doorging en voor € 30 </w:t>
      </w:r>
      <w:proofErr w:type="spellStart"/>
      <w:r w:rsidRPr="00E76291">
        <w:rPr>
          <w:rFonts w:ascii="Calibri" w:hAnsi="Calibri" w:cs="Calibri"/>
        </w:rPr>
        <w:t>mln</w:t>
      </w:r>
      <w:proofErr w:type="spellEnd"/>
      <w:r w:rsidRPr="00E76291">
        <w:rPr>
          <w:rFonts w:ascii="Calibri" w:hAnsi="Calibri" w:cs="Calibri"/>
        </w:rPr>
        <w:t xml:space="preserve"> uit het Toekomstfonds. De Kamer wordt hier nader over geïnformeerd. </w:t>
      </w:r>
    </w:p>
    <w:p w:rsidRPr="00E76291" w:rsidR="00764CA5" w:rsidP="00764CA5" w:rsidRDefault="00764CA5" w14:paraId="4F25EA16" w14:textId="77777777">
      <w:pPr>
        <w:rPr>
          <w:rFonts w:ascii="Calibri" w:hAnsi="Calibri" w:cs="Calibri"/>
        </w:rPr>
      </w:pPr>
      <w:r w:rsidRPr="00E76291">
        <w:rPr>
          <w:rFonts w:ascii="Calibri" w:hAnsi="Calibri" w:cs="Calibri"/>
        </w:rPr>
        <w:t xml:space="preserve">Tot slot zien we ook aan de fiscale kant aanpassingen die mede betrekking hebben op het EZ beleidsterrein. Zo is er een aanpassing in de CO2-heffing, om tegemoet te komen </w:t>
      </w:r>
      <w:r w:rsidRPr="00E76291">
        <w:rPr>
          <w:rFonts w:ascii="Calibri" w:hAnsi="Calibri" w:cs="Calibri"/>
        </w:rPr>
        <w:lastRenderedPageBreak/>
        <w:t xml:space="preserve">aan de lastige internationale positie van bedrijven met ETS1- en lachgasinstallaties. Dit leidt tot € 61 </w:t>
      </w:r>
      <w:proofErr w:type="spellStart"/>
      <w:r w:rsidRPr="00E76291">
        <w:rPr>
          <w:rFonts w:ascii="Calibri" w:hAnsi="Calibri" w:cs="Calibri"/>
        </w:rPr>
        <w:t>mln</w:t>
      </w:r>
      <w:proofErr w:type="spellEnd"/>
      <w:r w:rsidRPr="00E76291">
        <w:rPr>
          <w:rFonts w:ascii="Calibri" w:hAnsi="Calibri" w:cs="Calibri"/>
        </w:rPr>
        <w:t xml:space="preserve"> minder belastinginkomsten in 2026.  </w:t>
      </w:r>
    </w:p>
    <w:p w:rsidRPr="00E76291" w:rsidR="00764CA5" w:rsidP="00764CA5" w:rsidRDefault="00764CA5" w14:paraId="7C922F78" w14:textId="77777777">
      <w:pPr>
        <w:rPr>
          <w:rFonts w:ascii="Calibri" w:hAnsi="Calibri" w:cs="Calibri"/>
        </w:rPr>
      </w:pPr>
    </w:p>
    <w:p w:rsidRPr="00E76291" w:rsidR="00764CA5" w:rsidP="00764CA5" w:rsidRDefault="00764CA5" w14:paraId="0F341ADD" w14:textId="77777777">
      <w:pPr>
        <w:pStyle w:val="Lijstalinea"/>
        <w:numPr>
          <w:ilvl w:val="0"/>
          <w:numId w:val="2"/>
        </w:numPr>
        <w:autoSpaceDN w:val="0"/>
        <w:spacing w:after="0" w:line="320" w:lineRule="exact"/>
        <w:textAlignment w:val="baseline"/>
        <w:rPr>
          <w:rFonts w:ascii="Calibri" w:hAnsi="Calibri" w:cs="Calibri"/>
          <w:b/>
        </w:rPr>
      </w:pPr>
      <w:r w:rsidRPr="00E76291">
        <w:rPr>
          <w:rFonts w:ascii="Calibri" w:hAnsi="Calibri" w:cs="Calibri"/>
          <w:b/>
        </w:rPr>
        <w:t>Sturen op Resultaten</w:t>
      </w:r>
    </w:p>
    <w:p w:rsidRPr="00E76291" w:rsidR="00764CA5" w:rsidP="00764CA5" w:rsidRDefault="00764CA5" w14:paraId="5CF744F5" w14:textId="77777777">
      <w:pPr>
        <w:rPr>
          <w:rFonts w:ascii="Calibri" w:hAnsi="Calibri" w:cs="Calibri"/>
          <w:i/>
        </w:rPr>
      </w:pPr>
    </w:p>
    <w:p w:rsidRPr="00E76291" w:rsidR="00764CA5" w:rsidP="00764CA5" w:rsidRDefault="00764CA5" w14:paraId="151D5F72" w14:textId="77777777">
      <w:pPr>
        <w:rPr>
          <w:rFonts w:ascii="Calibri" w:hAnsi="Calibri" w:cs="Calibri"/>
          <w:i/>
        </w:rPr>
      </w:pPr>
      <w:r w:rsidRPr="00E76291">
        <w:rPr>
          <w:rFonts w:ascii="Calibri" w:hAnsi="Calibri" w:cs="Calibri"/>
          <w:i/>
        </w:rPr>
        <w:t>Doelen</w:t>
      </w:r>
    </w:p>
    <w:p w:rsidRPr="00E76291" w:rsidR="00764CA5" w:rsidP="00764CA5" w:rsidRDefault="00764CA5" w14:paraId="22E3563B" w14:textId="77777777">
      <w:pPr>
        <w:rPr>
          <w:rFonts w:ascii="Calibri" w:hAnsi="Calibri" w:cs="Calibri"/>
        </w:rPr>
      </w:pPr>
      <w:r w:rsidRPr="00E76291">
        <w:rPr>
          <w:rFonts w:ascii="Calibri" w:hAnsi="Calibri" w:cs="Calibri"/>
        </w:rPr>
        <w:t xml:space="preserve">In de Staat van de Rijksverantwoording 2024 deden wij de aanbeveling om een aantal specifieke en meetbare hoofddoelen van het kabinetsbeleid voor de lange en korte termijn te kiezen (zoals stikstofreductie, woningen, vestigingsklimaat, migratie) en deze op te nemen in de beleidsagenda in de begroting. In het jaarverslag kunnen vervolgens de concrete resultaten van het beleid in relatie tot het doel worden gemeld. Op deze wijze kunnen doelen en resultaten beter worden gevolgd. </w:t>
      </w:r>
    </w:p>
    <w:p w:rsidRPr="00E76291" w:rsidR="00764CA5" w:rsidP="00764CA5" w:rsidRDefault="00764CA5" w14:paraId="066FE9A8" w14:textId="77777777">
      <w:pPr>
        <w:rPr>
          <w:rFonts w:ascii="Calibri" w:hAnsi="Calibri" w:cs="Calibri"/>
        </w:rPr>
      </w:pPr>
    </w:p>
    <w:p w:rsidRPr="00E76291" w:rsidR="00764CA5" w:rsidP="00764CA5" w:rsidRDefault="00764CA5" w14:paraId="0E638BCE" w14:textId="77777777">
      <w:pPr>
        <w:rPr>
          <w:rFonts w:ascii="Calibri" w:hAnsi="Calibri" w:cs="Calibri"/>
        </w:rPr>
      </w:pPr>
      <w:r w:rsidRPr="00E76291">
        <w:rPr>
          <w:rFonts w:ascii="Calibri" w:hAnsi="Calibri" w:cs="Calibri"/>
        </w:rPr>
        <w:t xml:space="preserve">We stellen vast dat voor de in de beleidsagenda aangegeven beleidsprioriteiten beperkt concrete en meetbare doelen zijn geformuleerd. Positief is dat voor het beleidsartikel 2, bedrijvenbeleid, de voortgang wordt gemonitord via de website bedrijvenbeleidinbeeld.nl waarop ook een aantal concrete indicatoren worden gevolgd. Wij zien bovendien in deze ontwerpbegroting 2026 een verwijzing naar de CBS monitor met indicatoren voor de doelstellingen van de brede welvaart en de voortgang op die doelstellingen. </w:t>
      </w:r>
    </w:p>
    <w:p w:rsidRPr="00E76291" w:rsidR="00764CA5" w:rsidP="00764CA5" w:rsidRDefault="00764CA5" w14:paraId="1BF7130A" w14:textId="77777777">
      <w:pPr>
        <w:rPr>
          <w:rFonts w:ascii="Calibri" w:hAnsi="Calibri" w:cs="Calibri"/>
        </w:rPr>
      </w:pPr>
    </w:p>
    <w:p w:rsidRPr="00E76291" w:rsidR="00764CA5" w:rsidP="00764CA5" w:rsidRDefault="00764CA5" w14:paraId="70A218C2" w14:textId="77777777">
      <w:pPr>
        <w:rPr>
          <w:rFonts w:ascii="Calibri" w:hAnsi="Calibri" w:cs="Calibri"/>
        </w:rPr>
      </w:pPr>
      <w:r w:rsidRPr="00E76291">
        <w:rPr>
          <w:rFonts w:ascii="Calibri" w:hAnsi="Calibri" w:cs="Calibri"/>
        </w:rPr>
        <w:t>We geven ter illustratie enkele voorbeelden van een formulering van een doelstelling in deze ontwerpbegroting:</w:t>
      </w:r>
    </w:p>
    <w:p w:rsidRPr="00E76291" w:rsidR="00764CA5" w:rsidP="00764CA5" w:rsidRDefault="00764CA5" w14:paraId="159CB82D" w14:textId="77777777">
      <w:pPr>
        <w:rPr>
          <w:rFonts w:ascii="Calibri" w:hAnsi="Calibri" w:cs="Calibri"/>
        </w:rPr>
      </w:pPr>
    </w:p>
    <w:p w:rsidRPr="00E76291" w:rsidR="00764CA5" w:rsidP="00764CA5" w:rsidRDefault="00764CA5" w14:paraId="385246D4" w14:textId="77777777">
      <w:pPr>
        <w:spacing w:line="240" w:lineRule="auto"/>
        <w:rPr>
          <w:rFonts w:ascii="Calibri" w:hAnsi="Calibri" w:cs="Calibri"/>
          <w:b/>
        </w:rPr>
      </w:pPr>
      <w:r w:rsidRPr="00E76291">
        <w:rPr>
          <w:rFonts w:ascii="Calibri" w:hAnsi="Calibri" w:cs="Calibri"/>
          <w:b/>
        </w:rPr>
        <w:br w:type="page"/>
      </w:r>
    </w:p>
    <w:p w:rsidRPr="00E76291" w:rsidR="00764CA5" w:rsidP="00764CA5" w:rsidRDefault="00764CA5" w14:paraId="4773FA7F" w14:textId="77777777">
      <w:pPr>
        <w:rPr>
          <w:rFonts w:ascii="Calibri" w:hAnsi="Calibri" w:cs="Calibri"/>
          <w:b/>
        </w:rPr>
      </w:pPr>
      <w:r w:rsidRPr="00E76291">
        <w:rPr>
          <w:rFonts w:ascii="Calibri" w:hAnsi="Calibri" w:cs="Calibri"/>
          <w:b/>
        </w:rPr>
        <w:lastRenderedPageBreak/>
        <w:t>Tabel 2: Goed en minder goed voorbeeld van doelformulering in de begroting van ministerie van Economische Zaken</w:t>
      </w:r>
    </w:p>
    <w:tbl>
      <w:tblPr>
        <w:tblStyle w:val="Tabelraster"/>
        <w:tblW w:w="0" w:type="auto"/>
        <w:tblLook w:val="04A0" w:firstRow="1" w:lastRow="0" w:firstColumn="1" w:lastColumn="0" w:noHBand="0" w:noVBand="1"/>
      </w:tblPr>
      <w:tblGrid>
        <w:gridCol w:w="1191"/>
        <w:gridCol w:w="2572"/>
        <w:gridCol w:w="1036"/>
        <w:gridCol w:w="3129"/>
      </w:tblGrid>
      <w:tr w:rsidRPr="00E76291" w:rsidR="00764CA5" w:rsidTr="002F0CED" w14:paraId="4B3B878B" w14:textId="77777777">
        <w:tc>
          <w:tcPr>
            <w:tcW w:w="1196" w:type="dxa"/>
            <w:shd w:val="clear" w:color="auto" w:fill="C1E4F5" w:themeFill="accent1" w:themeFillTint="33"/>
          </w:tcPr>
          <w:p w:rsidRPr="00E76291" w:rsidR="00764CA5" w:rsidP="002F0CED" w:rsidRDefault="00764CA5" w14:paraId="475DBEEA" w14:textId="77777777">
            <w:pPr>
              <w:rPr>
                <w:rFonts w:ascii="Calibri" w:hAnsi="Calibri" w:cs="Calibri"/>
                <w:sz w:val="22"/>
                <w:szCs w:val="22"/>
              </w:rPr>
            </w:pPr>
          </w:p>
        </w:tc>
        <w:tc>
          <w:tcPr>
            <w:tcW w:w="2627" w:type="dxa"/>
            <w:shd w:val="clear" w:color="auto" w:fill="C1E4F5" w:themeFill="accent1" w:themeFillTint="33"/>
          </w:tcPr>
          <w:p w:rsidRPr="00E76291" w:rsidR="00764CA5" w:rsidP="002F0CED" w:rsidRDefault="00764CA5" w14:paraId="7271FC9C" w14:textId="77777777">
            <w:pPr>
              <w:rPr>
                <w:rFonts w:ascii="Calibri" w:hAnsi="Calibri" w:cs="Calibri"/>
                <w:sz w:val="22"/>
                <w:szCs w:val="22"/>
              </w:rPr>
            </w:pPr>
            <w:r w:rsidRPr="00E76291">
              <w:rPr>
                <w:rFonts w:ascii="Calibri" w:hAnsi="Calibri" w:cs="Calibri"/>
                <w:sz w:val="22"/>
                <w:szCs w:val="22"/>
              </w:rPr>
              <w:t>Doelformulering</w:t>
            </w:r>
          </w:p>
        </w:tc>
        <w:tc>
          <w:tcPr>
            <w:tcW w:w="921" w:type="dxa"/>
            <w:shd w:val="clear" w:color="auto" w:fill="C1E4F5" w:themeFill="accent1" w:themeFillTint="33"/>
          </w:tcPr>
          <w:p w:rsidRPr="00E76291" w:rsidR="00764CA5" w:rsidP="002F0CED" w:rsidRDefault="00764CA5" w14:paraId="19F4D234" w14:textId="77777777">
            <w:pPr>
              <w:rPr>
                <w:rFonts w:ascii="Calibri" w:hAnsi="Calibri" w:cs="Calibri"/>
                <w:sz w:val="22"/>
                <w:szCs w:val="22"/>
              </w:rPr>
            </w:pPr>
            <w:r w:rsidRPr="00E76291">
              <w:rPr>
                <w:rFonts w:ascii="Calibri" w:hAnsi="Calibri" w:cs="Calibri"/>
                <w:sz w:val="22"/>
                <w:szCs w:val="22"/>
              </w:rPr>
              <w:t>Beleids-artikel</w:t>
            </w:r>
          </w:p>
        </w:tc>
        <w:tc>
          <w:tcPr>
            <w:tcW w:w="3184" w:type="dxa"/>
            <w:shd w:val="clear" w:color="auto" w:fill="C1E4F5" w:themeFill="accent1" w:themeFillTint="33"/>
          </w:tcPr>
          <w:p w:rsidRPr="00E76291" w:rsidR="00764CA5" w:rsidP="002F0CED" w:rsidRDefault="00764CA5" w14:paraId="6030CD29" w14:textId="77777777">
            <w:pPr>
              <w:rPr>
                <w:rFonts w:ascii="Calibri" w:hAnsi="Calibri" w:cs="Calibri"/>
                <w:sz w:val="22"/>
                <w:szCs w:val="22"/>
              </w:rPr>
            </w:pPr>
            <w:r w:rsidRPr="00E76291">
              <w:rPr>
                <w:rFonts w:ascii="Calibri" w:hAnsi="Calibri" w:cs="Calibri"/>
                <w:sz w:val="22"/>
                <w:szCs w:val="22"/>
              </w:rPr>
              <w:t>Toelichting AR</w:t>
            </w:r>
          </w:p>
        </w:tc>
      </w:tr>
      <w:tr w:rsidRPr="00E76291" w:rsidR="00764CA5" w:rsidTr="002F0CED" w14:paraId="79690375" w14:textId="77777777">
        <w:tc>
          <w:tcPr>
            <w:tcW w:w="1196" w:type="dxa"/>
          </w:tcPr>
          <w:p w:rsidRPr="00E76291" w:rsidR="00764CA5" w:rsidP="002F0CED" w:rsidRDefault="00764CA5" w14:paraId="45CBBDAE" w14:textId="77777777">
            <w:pPr>
              <w:rPr>
                <w:rFonts w:ascii="Calibri" w:hAnsi="Calibri" w:cs="Calibri"/>
                <w:sz w:val="22"/>
                <w:szCs w:val="22"/>
              </w:rPr>
            </w:pPr>
            <w:r w:rsidRPr="00E76291">
              <w:rPr>
                <w:rFonts w:ascii="Calibri" w:hAnsi="Calibri" w:cs="Calibri"/>
                <w:sz w:val="22"/>
                <w:szCs w:val="22"/>
              </w:rPr>
              <w:t xml:space="preserve">Goed voorbeeld </w:t>
            </w:r>
          </w:p>
        </w:tc>
        <w:tc>
          <w:tcPr>
            <w:tcW w:w="2627" w:type="dxa"/>
          </w:tcPr>
          <w:p w:rsidRPr="00E76291" w:rsidR="00764CA5" w:rsidP="002F0CED" w:rsidRDefault="00764CA5" w14:paraId="3438A26A" w14:textId="77777777">
            <w:pPr>
              <w:rPr>
                <w:rFonts w:ascii="Calibri" w:hAnsi="Calibri" w:cs="Calibri"/>
                <w:sz w:val="22"/>
                <w:szCs w:val="22"/>
              </w:rPr>
            </w:pPr>
            <w:r w:rsidRPr="00E76291">
              <w:rPr>
                <w:rFonts w:ascii="Calibri" w:hAnsi="Calibri" w:cs="Calibri"/>
                <w:sz w:val="22"/>
                <w:szCs w:val="22"/>
              </w:rPr>
              <w:t>In 2030 3% van het bruto binnenlands product uitgeven aan publieke en private investeringen in onderzoek en ontwikkeling (R&amp;D).</w:t>
            </w:r>
          </w:p>
        </w:tc>
        <w:tc>
          <w:tcPr>
            <w:tcW w:w="921" w:type="dxa"/>
          </w:tcPr>
          <w:p w:rsidRPr="00E76291" w:rsidR="00764CA5" w:rsidP="002F0CED" w:rsidRDefault="00764CA5" w14:paraId="7BBB8D0D" w14:textId="77777777">
            <w:pPr>
              <w:ind w:left="708"/>
              <w:rPr>
                <w:rFonts w:ascii="Calibri" w:hAnsi="Calibri" w:cs="Calibri"/>
                <w:sz w:val="22"/>
                <w:szCs w:val="22"/>
              </w:rPr>
            </w:pPr>
            <w:r w:rsidRPr="00E76291">
              <w:rPr>
                <w:rFonts w:ascii="Calibri" w:hAnsi="Calibri" w:cs="Calibri"/>
                <w:sz w:val="22"/>
                <w:szCs w:val="22"/>
              </w:rPr>
              <w:t>2</w:t>
            </w:r>
          </w:p>
        </w:tc>
        <w:tc>
          <w:tcPr>
            <w:tcW w:w="3184" w:type="dxa"/>
          </w:tcPr>
          <w:p w:rsidRPr="00E76291" w:rsidR="00764CA5" w:rsidP="002F0CED" w:rsidRDefault="00764CA5" w14:paraId="651F360A" w14:textId="77777777">
            <w:pPr>
              <w:rPr>
                <w:rFonts w:ascii="Calibri" w:hAnsi="Calibri" w:cs="Calibri"/>
                <w:sz w:val="22"/>
                <w:szCs w:val="22"/>
              </w:rPr>
            </w:pPr>
            <w:r w:rsidRPr="00E76291">
              <w:rPr>
                <w:rFonts w:ascii="Calibri" w:hAnsi="Calibri" w:cs="Calibri"/>
                <w:sz w:val="22"/>
                <w:szCs w:val="22"/>
              </w:rPr>
              <w:t xml:space="preserve">Deze doelstelling is  specifiek, meetbaar en tijdgebonden. Een jaarlijkse R&amp;D monitor is aangekondigd. </w:t>
            </w:r>
          </w:p>
        </w:tc>
      </w:tr>
      <w:tr w:rsidRPr="00E76291" w:rsidR="00764CA5" w:rsidTr="002F0CED" w14:paraId="0D065D8A" w14:textId="77777777">
        <w:tc>
          <w:tcPr>
            <w:tcW w:w="1196" w:type="dxa"/>
          </w:tcPr>
          <w:p w:rsidRPr="00E76291" w:rsidR="00764CA5" w:rsidP="002F0CED" w:rsidRDefault="00764CA5" w14:paraId="4CB699F0" w14:textId="77777777">
            <w:pPr>
              <w:rPr>
                <w:rFonts w:ascii="Calibri" w:hAnsi="Calibri" w:cs="Calibri"/>
                <w:sz w:val="22"/>
                <w:szCs w:val="22"/>
              </w:rPr>
            </w:pPr>
            <w:r w:rsidRPr="00E76291">
              <w:rPr>
                <w:rFonts w:ascii="Calibri" w:hAnsi="Calibri" w:cs="Calibri"/>
                <w:sz w:val="22"/>
                <w:szCs w:val="22"/>
              </w:rPr>
              <w:t>Minder goed voorbeeld</w:t>
            </w:r>
          </w:p>
        </w:tc>
        <w:tc>
          <w:tcPr>
            <w:tcW w:w="2627" w:type="dxa"/>
          </w:tcPr>
          <w:p w:rsidRPr="00E76291" w:rsidR="00764CA5" w:rsidDel="00CC16DF" w:rsidP="002F0CED" w:rsidRDefault="00764CA5" w14:paraId="143C5E89" w14:textId="77777777">
            <w:pPr>
              <w:rPr>
                <w:rFonts w:ascii="Calibri" w:hAnsi="Calibri" w:cs="Calibri"/>
                <w:sz w:val="22"/>
                <w:szCs w:val="22"/>
                <w:highlight w:val="green"/>
              </w:rPr>
            </w:pPr>
            <w:r w:rsidRPr="00E76291">
              <w:rPr>
                <w:rFonts w:ascii="Calibri" w:hAnsi="Calibri" w:cs="Calibri"/>
                <w:sz w:val="22"/>
                <w:szCs w:val="22"/>
              </w:rPr>
              <w:t xml:space="preserve">Onnodige regeldruk in nieuwe regelgeving voorkomen en onnodige regeldruk in bestaande regelgeving aanpakken.  </w:t>
            </w:r>
          </w:p>
        </w:tc>
        <w:tc>
          <w:tcPr>
            <w:tcW w:w="921" w:type="dxa"/>
          </w:tcPr>
          <w:p w:rsidRPr="00E76291" w:rsidR="00764CA5" w:rsidP="002F0CED" w:rsidRDefault="00764CA5" w14:paraId="6B037925" w14:textId="77777777">
            <w:pPr>
              <w:ind w:left="708"/>
              <w:rPr>
                <w:rFonts w:ascii="Calibri" w:hAnsi="Calibri" w:cs="Calibri"/>
                <w:sz w:val="22"/>
                <w:szCs w:val="22"/>
              </w:rPr>
            </w:pPr>
            <w:r w:rsidRPr="00E76291">
              <w:rPr>
                <w:rFonts w:ascii="Calibri" w:hAnsi="Calibri" w:cs="Calibri"/>
                <w:sz w:val="22"/>
                <w:szCs w:val="22"/>
              </w:rPr>
              <w:t>2</w:t>
            </w:r>
          </w:p>
        </w:tc>
        <w:tc>
          <w:tcPr>
            <w:tcW w:w="3184" w:type="dxa"/>
          </w:tcPr>
          <w:p w:rsidRPr="00E76291" w:rsidR="00764CA5" w:rsidP="002F0CED" w:rsidRDefault="00764CA5" w14:paraId="7F4B764D" w14:textId="77777777">
            <w:pPr>
              <w:rPr>
                <w:rFonts w:ascii="Calibri" w:hAnsi="Calibri" w:cs="Calibri"/>
                <w:sz w:val="22"/>
                <w:szCs w:val="22"/>
                <w:highlight w:val="yellow"/>
              </w:rPr>
            </w:pPr>
            <w:r w:rsidRPr="00E76291">
              <w:rPr>
                <w:rFonts w:ascii="Calibri" w:hAnsi="Calibri" w:cs="Calibri"/>
                <w:sz w:val="22"/>
                <w:szCs w:val="22"/>
              </w:rPr>
              <w:t>Doel is niet specifiek en tijdsgebonden. Ontwikkeling wordt wel zichtbaar gemaakt in de Regeldrukmonitor. De Productiviteitsagenda</w:t>
            </w:r>
            <w:r w:rsidRPr="00E76291">
              <w:rPr>
                <w:rStyle w:val="Voetnootmarkering"/>
                <w:rFonts w:ascii="Calibri" w:hAnsi="Calibri" w:cs="Calibri"/>
                <w:sz w:val="22"/>
                <w:szCs w:val="22"/>
              </w:rPr>
              <w:footnoteReference w:id="2"/>
            </w:r>
            <w:r w:rsidRPr="00E76291">
              <w:rPr>
                <w:rFonts w:ascii="Calibri" w:hAnsi="Calibri" w:cs="Calibri"/>
                <w:sz w:val="22"/>
                <w:szCs w:val="22"/>
              </w:rPr>
              <w:t xml:space="preserve"> scherpt het doel verder aan: Voor de zomer 2026 onnodige regeldruk verminderen bij 500 regels.</w:t>
            </w:r>
          </w:p>
        </w:tc>
      </w:tr>
    </w:tbl>
    <w:p w:rsidRPr="00E76291" w:rsidR="00764CA5" w:rsidP="00764CA5" w:rsidRDefault="00764CA5" w14:paraId="483F2A75" w14:textId="77777777">
      <w:pPr>
        <w:rPr>
          <w:rFonts w:ascii="Calibri" w:hAnsi="Calibri" w:cs="Calibri"/>
        </w:rPr>
      </w:pPr>
    </w:p>
    <w:p w:rsidRPr="00E76291" w:rsidR="00764CA5" w:rsidP="00764CA5" w:rsidRDefault="00764CA5" w14:paraId="3A4CB49A" w14:textId="77777777">
      <w:pPr>
        <w:rPr>
          <w:rFonts w:ascii="Calibri" w:hAnsi="Calibri" w:cs="Calibri"/>
          <w:i/>
        </w:rPr>
      </w:pPr>
    </w:p>
    <w:p w:rsidRPr="00E76291" w:rsidR="00764CA5" w:rsidP="00764CA5" w:rsidRDefault="00764CA5" w14:paraId="2BB95994" w14:textId="77777777">
      <w:pPr>
        <w:rPr>
          <w:rFonts w:ascii="Calibri" w:hAnsi="Calibri" w:cs="Calibri"/>
          <w:i/>
        </w:rPr>
      </w:pPr>
      <w:r w:rsidRPr="00E76291">
        <w:rPr>
          <w:rFonts w:ascii="Calibri" w:hAnsi="Calibri" w:cs="Calibri"/>
          <w:i/>
        </w:rPr>
        <w:t>Strategische evaluatieagenda (SEA)</w:t>
      </w:r>
    </w:p>
    <w:p w:rsidRPr="00E76291" w:rsidR="00764CA5" w:rsidP="00764CA5" w:rsidRDefault="00764CA5" w14:paraId="00AE503F" w14:textId="77777777">
      <w:pPr>
        <w:rPr>
          <w:rFonts w:ascii="Calibri" w:hAnsi="Calibri" w:cs="Calibri"/>
        </w:rPr>
      </w:pPr>
      <w:r w:rsidRPr="00E76291">
        <w:rPr>
          <w:rFonts w:ascii="Calibri" w:hAnsi="Calibri" w:cs="Calibri"/>
        </w:rPr>
        <w:t xml:space="preserve">De minister is verantwoordelijk voor het periodiek onderzoeken van de doelmatigheid en doeltreffendheid van het beleid dat aan zijn/haar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Pr="00E76291" w:rsidR="00764CA5" w:rsidP="00764CA5" w:rsidRDefault="00764CA5" w14:paraId="3A492D52" w14:textId="77777777">
      <w:pPr>
        <w:pStyle w:val="Lijstalinea"/>
        <w:numPr>
          <w:ilvl w:val="0"/>
          <w:numId w:val="3"/>
        </w:numPr>
        <w:autoSpaceDN w:val="0"/>
        <w:spacing w:after="0" w:line="320" w:lineRule="exact"/>
        <w:textAlignment w:val="baseline"/>
        <w:rPr>
          <w:rFonts w:ascii="Calibri" w:hAnsi="Calibri" w:cs="Calibri"/>
        </w:rPr>
      </w:pPr>
      <w:r w:rsidRPr="00E76291">
        <w:rPr>
          <w:rFonts w:ascii="Calibri" w:hAnsi="Calibri" w:cs="Calibri"/>
        </w:rPr>
        <w:t>of minister de Kamer inzicht geeft of de evaluatieagenda financieel dekkend is;</w:t>
      </w:r>
    </w:p>
    <w:p w:rsidRPr="00E76291" w:rsidR="00764CA5" w:rsidP="00764CA5" w:rsidRDefault="00764CA5" w14:paraId="245C719E" w14:textId="77777777">
      <w:pPr>
        <w:pStyle w:val="Lijstalinea"/>
        <w:numPr>
          <w:ilvl w:val="0"/>
          <w:numId w:val="3"/>
        </w:numPr>
        <w:autoSpaceDN w:val="0"/>
        <w:spacing w:after="0" w:line="320" w:lineRule="exact"/>
        <w:textAlignment w:val="baseline"/>
        <w:rPr>
          <w:rFonts w:ascii="Calibri" w:hAnsi="Calibri" w:cs="Calibri"/>
        </w:rPr>
      </w:pPr>
      <w:r w:rsidRPr="00E76291">
        <w:rPr>
          <w:rFonts w:ascii="Calibri" w:hAnsi="Calibri" w:cs="Calibri"/>
        </w:rPr>
        <w:t>of, op basis van de kennis uit eerder onderzoek, de SEA (inhoudelijke) blinde vlekken kent;</w:t>
      </w:r>
    </w:p>
    <w:p w:rsidRPr="00E76291" w:rsidR="00764CA5" w:rsidP="00764CA5" w:rsidRDefault="00764CA5" w14:paraId="097F7CA4" w14:textId="77777777">
      <w:pPr>
        <w:pStyle w:val="Lijstalinea"/>
        <w:numPr>
          <w:ilvl w:val="0"/>
          <w:numId w:val="3"/>
        </w:numPr>
        <w:autoSpaceDN w:val="0"/>
        <w:spacing w:after="0" w:line="320" w:lineRule="exact"/>
        <w:textAlignment w:val="baseline"/>
        <w:rPr>
          <w:rFonts w:ascii="Calibri" w:hAnsi="Calibri" w:cs="Calibri"/>
        </w:rPr>
      </w:pPr>
      <w:r w:rsidRPr="00E76291">
        <w:rPr>
          <w:rFonts w:ascii="Calibri" w:hAnsi="Calibri" w:cs="Calibri"/>
        </w:rPr>
        <w:t xml:space="preserve">Daarnaast wijzen we de Kamer op evaluaties die ons inziens van bijzonder belang zijn.  </w:t>
      </w:r>
    </w:p>
    <w:p w:rsidRPr="00E76291" w:rsidR="00764CA5" w:rsidP="00764CA5" w:rsidRDefault="00764CA5" w14:paraId="7ADD4291" w14:textId="77777777">
      <w:pPr>
        <w:rPr>
          <w:rFonts w:ascii="Calibri" w:hAnsi="Calibri" w:cs="Calibri"/>
        </w:rPr>
      </w:pPr>
    </w:p>
    <w:p w:rsidRPr="00E76291" w:rsidR="00764CA5" w:rsidP="00764CA5" w:rsidRDefault="00764CA5" w14:paraId="154FAE36" w14:textId="77777777">
      <w:pPr>
        <w:rPr>
          <w:rFonts w:ascii="Calibri" w:hAnsi="Calibri" w:cs="Calibri"/>
        </w:rPr>
      </w:pPr>
      <w:r w:rsidRPr="00E76291">
        <w:rPr>
          <w:rFonts w:ascii="Calibri" w:hAnsi="Calibri" w:cs="Calibri"/>
        </w:rPr>
        <w:t xml:space="preserve">a. </w:t>
      </w:r>
      <w:r w:rsidRPr="00E76291">
        <w:rPr>
          <w:rFonts w:ascii="Calibri" w:hAnsi="Calibri" w:cs="Calibri"/>
          <w:i/>
        </w:rPr>
        <w:t>Afdekking van de uitgaven door evaluatieonderzoek</w:t>
      </w:r>
      <w:r w:rsidRPr="00E76291">
        <w:rPr>
          <w:rFonts w:ascii="Calibri" w:hAnsi="Calibri" w:cs="Calibri"/>
        </w:rPr>
        <w:t xml:space="preserve"> </w:t>
      </w:r>
    </w:p>
    <w:p w:rsidRPr="00E76291" w:rsidR="00764CA5" w:rsidP="00764CA5" w:rsidRDefault="00764CA5" w14:paraId="2CDB1912" w14:textId="77777777">
      <w:pPr>
        <w:rPr>
          <w:rFonts w:ascii="Calibri" w:hAnsi="Calibri" w:cs="Calibri"/>
        </w:rPr>
      </w:pPr>
      <w:r w:rsidRPr="00E76291">
        <w:rPr>
          <w:rFonts w:ascii="Calibri" w:hAnsi="Calibri" w:cs="Calibri"/>
        </w:rPr>
        <w:t xml:space="preserve">Uit de SEA blijkt dat voor alle begrotingsartikelen evaluaties zijn uitgevoerd of gepland. Dat vinden wij positief. De minister maakt in een aparte tabel inzichtelijk in hoeverre de begrotingsartikelen met evaluaties zijn afgedekt en in bijlage 4 bij de ontwerpbegroting </w:t>
      </w:r>
      <w:r w:rsidRPr="00E76291">
        <w:rPr>
          <w:rFonts w:ascii="Calibri" w:hAnsi="Calibri" w:cs="Calibri"/>
        </w:rPr>
        <w:lastRenderedPageBreak/>
        <w:t>staat de onderliggende evaluatieplanning. Ook is er in de opzet van de periodieke rapportages voor ondernemingsklimaat en innovatiebeleid aandacht voor de geldstromen die met de evaluatie zijn afgedekt. De minister maakt echter niet volledig inzichtelijk in hoeverre de begrotingsmiddelen in evaluaties worden meegenomen. De Tweede Kamer krijgt daardoor geen duidelijk beeld van de mate van financiële afdekking van de evaluatieopgave.</w:t>
      </w:r>
    </w:p>
    <w:p w:rsidRPr="00E76291" w:rsidR="00764CA5" w:rsidP="00764CA5" w:rsidRDefault="00764CA5" w14:paraId="6C5D9E01" w14:textId="77777777">
      <w:pPr>
        <w:rPr>
          <w:rFonts w:ascii="Calibri" w:hAnsi="Calibri" w:cs="Calibri"/>
        </w:rPr>
      </w:pPr>
    </w:p>
    <w:p w:rsidRPr="00E76291" w:rsidR="00764CA5" w:rsidP="00764CA5" w:rsidRDefault="00764CA5" w14:paraId="5E837DBA" w14:textId="77777777">
      <w:pPr>
        <w:rPr>
          <w:rFonts w:ascii="Calibri" w:hAnsi="Calibri" w:cs="Calibri"/>
        </w:rPr>
      </w:pPr>
      <w:r w:rsidRPr="00E76291">
        <w:rPr>
          <w:rFonts w:ascii="Calibri" w:hAnsi="Calibri" w:cs="Calibri"/>
        </w:rPr>
        <w:t xml:space="preserve">b. </w:t>
      </w:r>
      <w:r w:rsidRPr="00E76291">
        <w:rPr>
          <w:rFonts w:ascii="Calibri" w:hAnsi="Calibri" w:cs="Calibri"/>
          <w:i/>
        </w:rPr>
        <w:t>Blinde vlekken in de SEA</w:t>
      </w:r>
      <w:r w:rsidRPr="00E76291">
        <w:rPr>
          <w:rFonts w:ascii="Calibri" w:hAnsi="Calibri" w:cs="Calibri"/>
        </w:rPr>
        <w:t xml:space="preserve"> </w:t>
      </w:r>
    </w:p>
    <w:p w:rsidRPr="00E76291" w:rsidR="00764CA5" w:rsidP="00764CA5" w:rsidRDefault="00764CA5" w14:paraId="757B4207" w14:textId="77777777">
      <w:pPr>
        <w:rPr>
          <w:rFonts w:ascii="Calibri" w:hAnsi="Calibri" w:cs="Calibri"/>
        </w:rPr>
      </w:pPr>
      <w:r w:rsidRPr="00E76291">
        <w:rPr>
          <w:rFonts w:ascii="Calibri" w:hAnsi="Calibri" w:cs="Calibri"/>
        </w:rPr>
        <w:t xml:space="preserve">We zien geen evidente blinde vlekken in de SEA. Vorig jaar heeft de Algemene Rekenkamer aangegeven dat het onderwerp vestigingsklimaat niet expliciet geagendeerd was voor evaluatieonderzoek en alleen via andere (deel)evaluaties aan de orde kwam. In de ontwerpbegroting 2026 geeft de minister aan dat vestigingsklimaat onderdeel zal zijn van de brede periodieke rapportage over ondernemingsklimaat die eind 2025 verwacht wordt. </w:t>
      </w:r>
    </w:p>
    <w:p w:rsidRPr="00E76291" w:rsidR="00764CA5" w:rsidP="00764CA5" w:rsidRDefault="00764CA5" w14:paraId="14A0F13E" w14:textId="77777777">
      <w:pPr>
        <w:rPr>
          <w:rFonts w:ascii="Calibri" w:hAnsi="Calibri" w:cs="Calibri"/>
          <w:highlight w:val="yellow"/>
        </w:rPr>
      </w:pPr>
    </w:p>
    <w:p w:rsidRPr="00E76291" w:rsidR="00764CA5" w:rsidP="00764CA5" w:rsidRDefault="00764CA5" w14:paraId="7D53A42C" w14:textId="77777777">
      <w:pPr>
        <w:pStyle w:val="Lijstalinea"/>
        <w:ind w:left="0"/>
        <w:rPr>
          <w:rFonts w:ascii="Calibri" w:hAnsi="Calibri" w:cs="Calibri"/>
        </w:rPr>
      </w:pPr>
      <w:r w:rsidRPr="00E76291">
        <w:rPr>
          <w:rFonts w:ascii="Calibri" w:hAnsi="Calibri" w:cs="Calibri"/>
        </w:rPr>
        <w:t xml:space="preserve">c. </w:t>
      </w:r>
      <w:r w:rsidRPr="00E76291">
        <w:rPr>
          <w:rFonts w:ascii="Calibri" w:hAnsi="Calibri" w:cs="Calibri"/>
          <w:i/>
        </w:rPr>
        <w:t>Geplande evaluaties in de SEA die wij van bijzonder belang achten</w:t>
      </w:r>
    </w:p>
    <w:p w:rsidRPr="00E76291" w:rsidR="00764CA5" w:rsidP="00764CA5" w:rsidRDefault="00764CA5" w14:paraId="0CCE2539" w14:textId="77777777">
      <w:pPr>
        <w:pStyle w:val="Lijstalinea"/>
        <w:ind w:left="0"/>
        <w:rPr>
          <w:rFonts w:ascii="Calibri" w:hAnsi="Calibri" w:cs="Calibri"/>
        </w:rPr>
      </w:pPr>
      <w:r w:rsidRPr="00E76291">
        <w:rPr>
          <w:rFonts w:ascii="Calibri" w:hAnsi="Calibri" w:cs="Calibri"/>
        </w:rPr>
        <w:t xml:space="preserve">Eind 2025 worden twee belangrijke overkoepelende evaluatierapporten gepubliceerd, die een groot deel van het EZ-beleid en de EZ-budgetten beslaan: </w:t>
      </w:r>
    </w:p>
    <w:p w:rsidRPr="00E76291" w:rsidR="00764CA5" w:rsidP="00764CA5" w:rsidRDefault="00764CA5" w14:paraId="5B76AB49" w14:textId="77777777">
      <w:pPr>
        <w:pStyle w:val="Lijstalinea"/>
        <w:numPr>
          <w:ilvl w:val="0"/>
          <w:numId w:val="4"/>
        </w:numPr>
        <w:autoSpaceDN w:val="0"/>
        <w:spacing w:after="0" w:line="320" w:lineRule="exact"/>
        <w:textAlignment w:val="baseline"/>
        <w:rPr>
          <w:rFonts w:ascii="Calibri" w:hAnsi="Calibri" w:cs="Calibri"/>
        </w:rPr>
      </w:pPr>
      <w:r w:rsidRPr="00E76291">
        <w:rPr>
          <w:rFonts w:ascii="Calibri" w:hAnsi="Calibri" w:cs="Calibri"/>
        </w:rPr>
        <w:t xml:space="preserve">de periodieke rapportage </w:t>
      </w:r>
      <w:r w:rsidRPr="00E76291">
        <w:rPr>
          <w:rFonts w:ascii="Calibri" w:hAnsi="Calibri" w:cs="Calibri"/>
          <w:b/>
          <w:i/>
        </w:rPr>
        <w:t>ondernemingsklimaat</w:t>
      </w:r>
      <w:r w:rsidRPr="00E76291">
        <w:rPr>
          <w:rFonts w:ascii="Calibri" w:hAnsi="Calibri" w:cs="Calibri"/>
        </w:rPr>
        <w:t xml:space="preserve"> en </w:t>
      </w:r>
    </w:p>
    <w:p w:rsidRPr="00E76291" w:rsidR="00764CA5" w:rsidP="00764CA5" w:rsidRDefault="00764CA5" w14:paraId="7295F678" w14:textId="77777777">
      <w:pPr>
        <w:pStyle w:val="Lijstalinea"/>
        <w:numPr>
          <w:ilvl w:val="0"/>
          <w:numId w:val="4"/>
        </w:numPr>
        <w:autoSpaceDN w:val="0"/>
        <w:spacing w:after="0" w:line="320" w:lineRule="exact"/>
        <w:textAlignment w:val="baseline"/>
        <w:rPr>
          <w:rFonts w:ascii="Calibri" w:hAnsi="Calibri" w:cs="Calibri"/>
        </w:rPr>
      </w:pPr>
      <w:r w:rsidRPr="00E76291">
        <w:rPr>
          <w:rFonts w:ascii="Calibri" w:hAnsi="Calibri" w:cs="Calibri"/>
        </w:rPr>
        <w:t xml:space="preserve">de periodieke rapportage </w:t>
      </w:r>
      <w:r w:rsidRPr="00E76291">
        <w:rPr>
          <w:rFonts w:ascii="Calibri" w:hAnsi="Calibri" w:cs="Calibri"/>
          <w:b/>
          <w:i/>
        </w:rPr>
        <w:t>innovatiebeleid</w:t>
      </w:r>
      <w:r w:rsidRPr="00E76291">
        <w:rPr>
          <w:rFonts w:ascii="Calibri" w:hAnsi="Calibri" w:cs="Calibri"/>
        </w:rPr>
        <w:t xml:space="preserve">. </w:t>
      </w:r>
    </w:p>
    <w:p w:rsidRPr="00E76291" w:rsidR="00764CA5" w:rsidP="00764CA5" w:rsidRDefault="00764CA5" w14:paraId="7E1D4975" w14:textId="77777777">
      <w:pPr>
        <w:rPr>
          <w:rFonts w:ascii="Calibri" w:hAnsi="Calibri" w:cs="Calibri"/>
        </w:rPr>
      </w:pPr>
      <w:r w:rsidRPr="00E76291">
        <w:rPr>
          <w:rFonts w:ascii="Calibri" w:hAnsi="Calibri" w:cs="Calibri"/>
        </w:rPr>
        <w:t>We wijzen de Kamer erop dat bespreking van deze rapporten een belangrijk ijkmoment kan zijn voor het beleidsinstrumentarium van het ministerie op het beleidsartikel bedrijvenbeleid. Het kan ook input leveren voor de vervolgstappen uit het recent gepubliceerde 3%-R&amp;D actieplan</w:t>
      </w:r>
      <w:r w:rsidRPr="00E76291">
        <w:rPr>
          <w:rStyle w:val="Voetnootmarkering"/>
          <w:rFonts w:ascii="Calibri" w:hAnsi="Calibri" w:cs="Calibri"/>
        </w:rPr>
        <w:footnoteReference w:id="3"/>
      </w:r>
      <w:r w:rsidRPr="00E76291">
        <w:rPr>
          <w:rFonts w:ascii="Calibri" w:hAnsi="Calibri" w:cs="Calibri"/>
        </w:rPr>
        <w:t xml:space="preserve"> en de Productiviteitsagenda.</w:t>
      </w:r>
      <w:r w:rsidRPr="00E76291">
        <w:rPr>
          <w:rStyle w:val="Voetnootmarkering"/>
          <w:rFonts w:ascii="Calibri" w:hAnsi="Calibri" w:cs="Calibri"/>
        </w:rPr>
        <w:footnoteReference w:id="4"/>
      </w:r>
      <w:r w:rsidRPr="00E76291">
        <w:rPr>
          <w:rFonts w:ascii="Calibri" w:hAnsi="Calibri" w:cs="Calibri"/>
        </w:rPr>
        <w:t xml:space="preserve"> We adviseren vooral aandacht te hebben voor de samenhang tussen verschillende beleidsinstrumenten, het voorkomen van versnippering en fragmentatie in beleid en het beperken van de regeldruk.</w:t>
      </w:r>
    </w:p>
    <w:p w:rsidRPr="00E76291" w:rsidR="00764CA5" w:rsidP="00764CA5" w:rsidRDefault="00764CA5" w14:paraId="4498150D" w14:textId="77777777">
      <w:pPr>
        <w:rPr>
          <w:rFonts w:ascii="Calibri" w:hAnsi="Calibri" w:cs="Calibri"/>
        </w:rPr>
      </w:pPr>
    </w:p>
    <w:p w:rsidRPr="00E76291" w:rsidR="00764CA5" w:rsidP="00764CA5" w:rsidRDefault="00764CA5" w14:paraId="196C5DD4" w14:textId="77777777">
      <w:pPr>
        <w:rPr>
          <w:rFonts w:ascii="Calibri" w:hAnsi="Calibri" w:cs="Calibri"/>
        </w:rPr>
      </w:pPr>
      <w:r w:rsidRPr="00E76291">
        <w:rPr>
          <w:rFonts w:ascii="Calibri" w:hAnsi="Calibri" w:cs="Calibri"/>
        </w:rPr>
        <w:t xml:space="preserve">Andere belangrijke evaluatiestudies die we graag onder de aandacht willen brengen zijn de volgende: </w:t>
      </w:r>
    </w:p>
    <w:p w:rsidRPr="00E76291" w:rsidR="00764CA5" w:rsidP="00764CA5" w:rsidRDefault="00764CA5" w14:paraId="6D585A24" w14:textId="77777777">
      <w:pPr>
        <w:pStyle w:val="Lijstalinea"/>
        <w:numPr>
          <w:ilvl w:val="0"/>
          <w:numId w:val="4"/>
        </w:numPr>
        <w:autoSpaceDN w:val="0"/>
        <w:spacing w:after="0" w:line="320" w:lineRule="exact"/>
        <w:textAlignment w:val="baseline"/>
        <w:rPr>
          <w:rFonts w:ascii="Calibri" w:hAnsi="Calibri" w:cs="Calibri"/>
        </w:rPr>
      </w:pPr>
      <w:r w:rsidRPr="00E76291">
        <w:rPr>
          <w:rFonts w:ascii="Calibri" w:hAnsi="Calibri" w:cs="Calibri"/>
        </w:rPr>
        <w:t xml:space="preserve">Evaluatie </w:t>
      </w:r>
      <w:r w:rsidRPr="00E76291">
        <w:rPr>
          <w:rFonts w:ascii="Calibri" w:hAnsi="Calibri" w:cs="Calibri"/>
          <w:b/>
          <w:i/>
        </w:rPr>
        <w:t>fiscale regeling ‘Kleinschaligheidsinvesteringsaftrek’ (KIA</w:t>
      </w:r>
      <w:r w:rsidRPr="00E76291">
        <w:rPr>
          <w:rFonts w:ascii="Calibri" w:hAnsi="Calibri" w:cs="Calibri"/>
        </w:rPr>
        <w:t xml:space="preserve">) (2026). </w:t>
      </w:r>
    </w:p>
    <w:p w:rsidRPr="00E76291" w:rsidR="00764CA5" w:rsidP="00764CA5" w:rsidRDefault="00764CA5" w14:paraId="718705E5" w14:textId="77777777">
      <w:pPr>
        <w:ind w:left="708"/>
        <w:rPr>
          <w:rFonts w:ascii="Calibri" w:hAnsi="Calibri" w:cs="Calibri"/>
        </w:rPr>
      </w:pPr>
      <w:r w:rsidRPr="00E76291">
        <w:rPr>
          <w:rFonts w:ascii="Calibri" w:hAnsi="Calibri" w:cs="Calibri"/>
        </w:rPr>
        <w:lastRenderedPageBreak/>
        <w:t xml:space="preserve">Uit een eerdere evaluatie kwam naar voren dat niet aantoonbaar is dat deze regeling doeltreffend is, dat heeft nog niet tot wijzigingen geleid en vraagt daarom opnieuw uw aandacht. </w:t>
      </w:r>
    </w:p>
    <w:p w:rsidRPr="00E76291" w:rsidR="00764CA5" w:rsidP="00764CA5" w:rsidRDefault="00764CA5" w14:paraId="63FA14E8" w14:textId="77777777">
      <w:pPr>
        <w:pStyle w:val="Lijstalinea"/>
        <w:numPr>
          <w:ilvl w:val="0"/>
          <w:numId w:val="4"/>
        </w:numPr>
        <w:autoSpaceDN w:val="0"/>
        <w:spacing w:after="0" w:line="320" w:lineRule="exact"/>
        <w:textAlignment w:val="baseline"/>
        <w:rPr>
          <w:rFonts w:ascii="Calibri" w:hAnsi="Calibri" w:cs="Calibri"/>
        </w:rPr>
      </w:pPr>
      <w:r w:rsidRPr="00E76291">
        <w:rPr>
          <w:rFonts w:ascii="Calibri" w:hAnsi="Calibri" w:cs="Calibri"/>
        </w:rPr>
        <w:t xml:space="preserve">Evaluatie van het </w:t>
      </w:r>
      <w:proofErr w:type="spellStart"/>
      <w:r w:rsidRPr="00E76291">
        <w:rPr>
          <w:rFonts w:ascii="Calibri" w:hAnsi="Calibri" w:cs="Calibri"/>
          <w:b/>
          <w:i/>
        </w:rPr>
        <w:t>Missiegedreven</w:t>
      </w:r>
      <w:proofErr w:type="spellEnd"/>
      <w:r w:rsidRPr="00E76291">
        <w:rPr>
          <w:rFonts w:ascii="Calibri" w:hAnsi="Calibri" w:cs="Calibri"/>
          <w:b/>
          <w:i/>
        </w:rPr>
        <w:t xml:space="preserve"> innovatiebeleid </w:t>
      </w:r>
      <w:r w:rsidRPr="00E76291">
        <w:rPr>
          <w:rFonts w:ascii="Calibri" w:hAnsi="Calibri" w:cs="Calibri"/>
        </w:rPr>
        <w:t xml:space="preserve">(2026). Deze evaluatie is relevant als aanvulling op de brede periodieke rapportage innovatiebeleid die hierboven is benoemd. </w:t>
      </w:r>
    </w:p>
    <w:p w:rsidRPr="00E76291" w:rsidR="00764CA5" w:rsidP="00764CA5" w:rsidRDefault="00764CA5" w14:paraId="0C00E5B8" w14:textId="77777777">
      <w:pPr>
        <w:pStyle w:val="Lijstalinea"/>
        <w:numPr>
          <w:ilvl w:val="0"/>
          <w:numId w:val="4"/>
        </w:numPr>
        <w:autoSpaceDN w:val="0"/>
        <w:spacing w:after="0" w:line="320" w:lineRule="exact"/>
        <w:textAlignment w:val="baseline"/>
        <w:rPr>
          <w:rFonts w:ascii="Calibri" w:hAnsi="Calibri" w:cs="Calibri"/>
        </w:rPr>
      </w:pPr>
      <w:r w:rsidRPr="00E76291">
        <w:rPr>
          <w:rFonts w:ascii="Calibri" w:hAnsi="Calibri" w:cs="Calibri"/>
        </w:rPr>
        <w:t xml:space="preserve">Evaluatie van de </w:t>
      </w:r>
      <w:r w:rsidRPr="00E76291">
        <w:rPr>
          <w:rFonts w:ascii="Calibri" w:hAnsi="Calibri" w:cs="Calibri"/>
          <w:b/>
          <w:i/>
        </w:rPr>
        <w:t>Gids Proportionaliteit</w:t>
      </w:r>
      <w:r w:rsidRPr="00E76291">
        <w:rPr>
          <w:rFonts w:ascii="Calibri" w:hAnsi="Calibri" w:cs="Calibri"/>
        </w:rPr>
        <w:t xml:space="preserve"> (2026). </w:t>
      </w:r>
    </w:p>
    <w:p w:rsidRPr="00E76291" w:rsidR="00764CA5" w:rsidP="00764CA5" w:rsidRDefault="00764CA5" w14:paraId="19798ABB" w14:textId="77777777">
      <w:pPr>
        <w:ind w:left="708"/>
        <w:rPr>
          <w:rFonts w:ascii="Calibri" w:hAnsi="Calibri" w:cs="Calibri"/>
        </w:rPr>
      </w:pPr>
      <w:r w:rsidRPr="00E76291">
        <w:rPr>
          <w:rFonts w:ascii="Calibri" w:hAnsi="Calibri" w:cs="Calibri"/>
        </w:rPr>
        <w:t xml:space="preserve">In de Gids Proportionaliteit zijn richtlijnen opgenomen voor de aanbestedende diensten van alle overheden in Nederland. Een vereenvoudiging van de ‘Gids Proportionaliteit’ kan de regeldruk en administratieve lasten voor aanbestedende diensten en voor bedrijven mogelijk verlichten. Zoals in ons Verantwoordingsonderzoek 2024 aangegeven, is het verbeteren en vereenvoudigen van het inkoopbeheer van het Rijk een belangrijk aandachtspunt voor de komende periode. </w:t>
      </w:r>
    </w:p>
    <w:p w:rsidRPr="00E76291" w:rsidR="00764CA5" w:rsidP="00764CA5" w:rsidRDefault="00764CA5" w14:paraId="66CBD4F7" w14:textId="77777777">
      <w:pPr>
        <w:rPr>
          <w:rFonts w:ascii="Calibri" w:hAnsi="Calibri" w:cs="Calibri"/>
        </w:rPr>
      </w:pPr>
    </w:p>
    <w:p w:rsidRPr="00E76291" w:rsidR="00764CA5" w:rsidP="00764CA5" w:rsidRDefault="00764CA5" w14:paraId="34B5E7F0" w14:textId="77777777">
      <w:pPr>
        <w:rPr>
          <w:rFonts w:ascii="Calibri" w:hAnsi="Calibri" w:cs="Calibri"/>
        </w:rPr>
      </w:pPr>
      <w:r w:rsidRPr="00E76291">
        <w:rPr>
          <w:rFonts w:ascii="Calibri" w:hAnsi="Calibri" w:cs="Calibri"/>
        </w:rPr>
        <w:t>Wij adviseren u deze evaluaties voor uw agendering in overweging te nemen.</w:t>
      </w:r>
    </w:p>
    <w:p w:rsidRPr="00E76291" w:rsidR="00764CA5" w:rsidP="00764CA5" w:rsidRDefault="00764CA5" w14:paraId="418FC4B8" w14:textId="77777777">
      <w:pPr>
        <w:ind w:left="708"/>
        <w:rPr>
          <w:rFonts w:ascii="Calibri" w:hAnsi="Calibri" w:cs="Calibri"/>
        </w:rPr>
      </w:pPr>
    </w:p>
    <w:p w:rsidRPr="00E76291" w:rsidR="00764CA5" w:rsidP="00764CA5" w:rsidRDefault="00764CA5" w14:paraId="437A9B37" w14:textId="77777777">
      <w:pPr>
        <w:ind w:left="708"/>
        <w:rPr>
          <w:rFonts w:ascii="Calibri" w:hAnsi="Calibri" w:cs="Calibri"/>
        </w:rPr>
      </w:pPr>
    </w:p>
    <w:p w:rsidRPr="00E76291" w:rsidR="00764CA5" w:rsidP="00764CA5" w:rsidRDefault="00764CA5" w14:paraId="51A154B0" w14:textId="77777777">
      <w:pPr>
        <w:pStyle w:val="Kop1"/>
        <w:numPr>
          <w:ilvl w:val="0"/>
          <w:numId w:val="2"/>
        </w:numPr>
        <w:ind w:left="720"/>
        <w:rPr>
          <w:rFonts w:ascii="Calibri" w:hAnsi="Calibri" w:cs="Calibri"/>
          <w:sz w:val="22"/>
          <w:szCs w:val="22"/>
        </w:rPr>
      </w:pPr>
      <w:r w:rsidRPr="00E76291">
        <w:rPr>
          <w:rFonts w:ascii="Calibri" w:hAnsi="Calibri" w:cs="Calibri"/>
          <w:sz w:val="22"/>
          <w:szCs w:val="22"/>
        </w:rPr>
        <w:t>Risico’s en beheer</w:t>
      </w:r>
    </w:p>
    <w:p w:rsidRPr="00E76291" w:rsidR="00764CA5" w:rsidP="00764CA5" w:rsidRDefault="00764CA5" w14:paraId="353AB742" w14:textId="77777777">
      <w:pPr>
        <w:rPr>
          <w:rFonts w:ascii="Calibri" w:hAnsi="Calibri" w:cs="Calibri"/>
        </w:rPr>
      </w:pPr>
      <w:r w:rsidRPr="00E76291">
        <w:rPr>
          <w:rFonts w:ascii="Calibri" w:hAnsi="Calibri" w:cs="Calibri"/>
        </w:rPr>
        <w:t xml:space="preserve">Wij verwachten dat in de begroting aandacht wordt besteed aan financiële risico’s en/of beleidsrisico’s en hoe de minister daarmee wil omgaan. In tabel 3 lichten we drie risico’s uit, en geven we kort aan hoe de minister deze aanpakt. </w:t>
      </w:r>
    </w:p>
    <w:p w:rsidRPr="00E76291" w:rsidR="00764CA5" w:rsidP="00764CA5" w:rsidRDefault="00764CA5" w14:paraId="28953838" w14:textId="77777777">
      <w:pPr>
        <w:spacing w:line="240" w:lineRule="auto"/>
        <w:rPr>
          <w:rFonts w:ascii="Calibri" w:hAnsi="Calibri" w:cs="Calibri"/>
          <w:b/>
        </w:rPr>
      </w:pPr>
    </w:p>
    <w:p w:rsidRPr="00E76291" w:rsidR="00764CA5" w:rsidP="00764CA5" w:rsidRDefault="00764CA5" w14:paraId="7F9A7CA1" w14:textId="77777777">
      <w:pPr>
        <w:spacing w:line="240" w:lineRule="auto"/>
        <w:rPr>
          <w:rFonts w:ascii="Calibri" w:hAnsi="Calibri" w:cs="Calibri"/>
          <w:b/>
        </w:rPr>
      </w:pPr>
      <w:r w:rsidRPr="00E76291">
        <w:rPr>
          <w:rFonts w:ascii="Calibri" w:hAnsi="Calibri" w:cs="Calibri"/>
          <w:b/>
        </w:rPr>
        <w:br w:type="page"/>
      </w:r>
    </w:p>
    <w:p w:rsidRPr="00E76291" w:rsidR="00764CA5" w:rsidP="00764CA5" w:rsidRDefault="00764CA5" w14:paraId="64AC26D8" w14:textId="77777777">
      <w:pPr>
        <w:rPr>
          <w:rFonts w:ascii="Calibri" w:hAnsi="Calibri" w:cs="Calibri"/>
          <w:b/>
        </w:rPr>
      </w:pPr>
      <w:r w:rsidRPr="00E76291">
        <w:rPr>
          <w:rFonts w:ascii="Calibri" w:hAnsi="Calibri" w:cs="Calibri"/>
          <w:b/>
        </w:rPr>
        <w:lastRenderedPageBreak/>
        <w:t>Tabel 3: Adressering van risico’s in de begroting van ministerie van Economische Zaken en het Nationaal Groeifonds</w:t>
      </w:r>
    </w:p>
    <w:tbl>
      <w:tblPr>
        <w:tblStyle w:val="Tabelraster"/>
        <w:tblW w:w="0" w:type="auto"/>
        <w:tblLayout w:type="fixed"/>
        <w:tblLook w:val="04A0" w:firstRow="1" w:lastRow="0" w:firstColumn="1" w:lastColumn="0" w:noHBand="0" w:noVBand="1"/>
      </w:tblPr>
      <w:tblGrid>
        <w:gridCol w:w="2405"/>
        <w:gridCol w:w="1540"/>
        <w:gridCol w:w="1437"/>
        <w:gridCol w:w="2546"/>
      </w:tblGrid>
      <w:tr w:rsidRPr="00E76291" w:rsidR="00764CA5" w:rsidTr="002F0CED" w14:paraId="4A59C589" w14:textId="77777777">
        <w:tc>
          <w:tcPr>
            <w:tcW w:w="2405" w:type="dxa"/>
            <w:shd w:val="clear" w:color="auto" w:fill="C1E4F5" w:themeFill="accent1" w:themeFillTint="33"/>
          </w:tcPr>
          <w:p w:rsidRPr="00E76291" w:rsidR="00764CA5" w:rsidP="002F0CED" w:rsidRDefault="00764CA5" w14:paraId="3B5B1E23" w14:textId="77777777">
            <w:pPr>
              <w:rPr>
                <w:rFonts w:ascii="Calibri" w:hAnsi="Calibri" w:cs="Calibri"/>
                <w:sz w:val="22"/>
                <w:szCs w:val="22"/>
              </w:rPr>
            </w:pPr>
            <w:r w:rsidRPr="00E76291">
              <w:rPr>
                <w:rFonts w:ascii="Calibri" w:hAnsi="Calibri" w:cs="Calibri"/>
                <w:sz w:val="22"/>
                <w:szCs w:val="22"/>
              </w:rPr>
              <w:t>Risico-omschrijving</w:t>
            </w:r>
          </w:p>
        </w:tc>
        <w:tc>
          <w:tcPr>
            <w:tcW w:w="1540" w:type="dxa"/>
            <w:shd w:val="clear" w:color="auto" w:fill="C1E4F5" w:themeFill="accent1" w:themeFillTint="33"/>
          </w:tcPr>
          <w:p w:rsidRPr="00E76291" w:rsidR="00764CA5" w:rsidP="002F0CED" w:rsidRDefault="00764CA5" w14:paraId="319FED3F" w14:textId="77777777">
            <w:pPr>
              <w:rPr>
                <w:rFonts w:ascii="Calibri" w:hAnsi="Calibri" w:cs="Calibri"/>
                <w:sz w:val="22"/>
                <w:szCs w:val="22"/>
              </w:rPr>
            </w:pPr>
            <w:r w:rsidRPr="00E76291">
              <w:rPr>
                <w:rFonts w:ascii="Calibri" w:hAnsi="Calibri" w:cs="Calibri"/>
                <w:sz w:val="22"/>
                <w:szCs w:val="22"/>
              </w:rPr>
              <w:t>Bron</w:t>
            </w:r>
          </w:p>
        </w:tc>
        <w:tc>
          <w:tcPr>
            <w:tcW w:w="1437" w:type="dxa"/>
            <w:shd w:val="clear" w:color="auto" w:fill="C1E4F5" w:themeFill="accent1" w:themeFillTint="33"/>
          </w:tcPr>
          <w:p w:rsidRPr="00E76291" w:rsidR="00764CA5" w:rsidP="002F0CED" w:rsidRDefault="00764CA5" w14:paraId="5F5D5D21" w14:textId="77777777">
            <w:pPr>
              <w:rPr>
                <w:rFonts w:ascii="Calibri" w:hAnsi="Calibri" w:cs="Calibri"/>
                <w:sz w:val="22"/>
                <w:szCs w:val="22"/>
              </w:rPr>
            </w:pPr>
            <w:r w:rsidRPr="00E76291">
              <w:rPr>
                <w:rFonts w:ascii="Calibri" w:hAnsi="Calibri" w:cs="Calibri"/>
                <w:sz w:val="22"/>
                <w:szCs w:val="22"/>
              </w:rPr>
              <w:t>Aandacht in begroting ja/nee</w:t>
            </w:r>
          </w:p>
        </w:tc>
        <w:tc>
          <w:tcPr>
            <w:tcW w:w="2546" w:type="dxa"/>
            <w:shd w:val="clear" w:color="auto" w:fill="C1E4F5" w:themeFill="accent1" w:themeFillTint="33"/>
          </w:tcPr>
          <w:p w:rsidRPr="00E76291" w:rsidR="00764CA5" w:rsidP="002F0CED" w:rsidRDefault="00764CA5" w14:paraId="1BCAB3A0" w14:textId="77777777">
            <w:pPr>
              <w:rPr>
                <w:rFonts w:ascii="Calibri" w:hAnsi="Calibri" w:cs="Calibri"/>
                <w:sz w:val="22"/>
                <w:szCs w:val="22"/>
              </w:rPr>
            </w:pPr>
            <w:r w:rsidRPr="00E76291">
              <w:rPr>
                <w:rFonts w:ascii="Calibri" w:hAnsi="Calibri" w:cs="Calibri"/>
                <w:sz w:val="22"/>
                <w:szCs w:val="22"/>
              </w:rPr>
              <w:t xml:space="preserve">Wijze waarop risico door de minister wordt aangepakt </w:t>
            </w:r>
          </w:p>
        </w:tc>
      </w:tr>
      <w:tr w:rsidRPr="00E76291" w:rsidR="00764CA5" w:rsidTr="002F0CED" w14:paraId="1ACA6A7F" w14:textId="77777777">
        <w:tc>
          <w:tcPr>
            <w:tcW w:w="2405" w:type="dxa"/>
          </w:tcPr>
          <w:p w:rsidRPr="00E76291" w:rsidR="00764CA5" w:rsidP="002F0CED" w:rsidRDefault="00764CA5" w14:paraId="70FBEC63" w14:textId="77777777">
            <w:pPr>
              <w:rPr>
                <w:rFonts w:ascii="Calibri" w:hAnsi="Calibri" w:cs="Calibri"/>
                <w:sz w:val="22"/>
                <w:szCs w:val="22"/>
              </w:rPr>
            </w:pPr>
            <w:r w:rsidRPr="00E76291">
              <w:rPr>
                <w:rFonts w:ascii="Calibri" w:hAnsi="Calibri" w:cs="Calibri"/>
                <w:sz w:val="22"/>
                <w:szCs w:val="22"/>
              </w:rPr>
              <w:t xml:space="preserve">Het behalen van de  3% R&amp;D in 2030 op basis van  huidige inzet niet haalbaar. </w:t>
            </w:r>
          </w:p>
          <w:p w:rsidRPr="00E76291" w:rsidR="00764CA5" w:rsidP="002F0CED" w:rsidRDefault="00764CA5" w14:paraId="0BA88715" w14:textId="77777777">
            <w:pPr>
              <w:rPr>
                <w:rFonts w:ascii="Calibri" w:hAnsi="Calibri" w:cs="Calibri"/>
                <w:sz w:val="22"/>
                <w:szCs w:val="22"/>
              </w:rPr>
            </w:pPr>
          </w:p>
        </w:tc>
        <w:tc>
          <w:tcPr>
            <w:tcW w:w="1540" w:type="dxa"/>
          </w:tcPr>
          <w:p w:rsidRPr="00E76291" w:rsidR="00764CA5" w:rsidP="002F0CED" w:rsidRDefault="00764CA5" w14:paraId="5B52E082" w14:textId="77777777">
            <w:pPr>
              <w:rPr>
                <w:rFonts w:ascii="Calibri" w:hAnsi="Calibri" w:cs="Calibri"/>
                <w:sz w:val="22"/>
                <w:szCs w:val="22"/>
              </w:rPr>
            </w:pPr>
            <w:proofErr w:type="spellStart"/>
            <w:r w:rsidRPr="00E76291">
              <w:rPr>
                <w:rFonts w:ascii="Calibri" w:hAnsi="Calibri" w:cs="Calibri"/>
                <w:sz w:val="22"/>
                <w:szCs w:val="22"/>
              </w:rPr>
              <w:t>Rathenau</w:t>
            </w:r>
            <w:proofErr w:type="spellEnd"/>
            <w:r w:rsidRPr="00E76291">
              <w:rPr>
                <w:rFonts w:ascii="Calibri" w:hAnsi="Calibri" w:cs="Calibri"/>
                <w:sz w:val="22"/>
                <w:szCs w:val="22"/>
              </w:rPr>
              <w:t xml:space="preserve"> (2025)</w:t>
            </w:r>
          </w:p>
          <w:p w:rsidRPr="00E76291" w:rsidR="00764CA5" w:rsidP="002F0CED" w:rsidRDefault="00764CA5" w14:paraId="157BB7B1" w14:textId="77777777">
            <w:pPr>
              <w:rPr>
                <w:rFonts w:ascii="Calibri" w:hAnsi="Calibri" w:cs="Calibri"/>
                <w:sz w:val="22"/>
                <w:szCs w:val="22"/>
              </w:rPr>
            </w:pPr>
            <w:r w:rsidRPr="00E76291">
              <w:rPr>
                <w:rFonts w:ascii="Calibri" w:hAnsi="Calibri" w:cs="Calibri"/>
                <w:sz w:val="22"/>
                <w:szCs w:val="22"/>
              </w:rPr>
              <w:t>IMF (2025)</w:t>
            </w:r>
          </w:p>
          <w:p w:rsidRPr="00E76291" w:rsidR="00764CA5" w:rsidP="002F0CED" w:rsidRDefault="00764CA5" w14:paraId="4642BA52" w14:textId="77777777">
            <w:pPr>
              <w:rPr>
                <w:rFonts w:ascii="Calibri" w:hAnsi="Calibri" w:cs="Calibri"/>
                <w:sz w:val="22"/>
                <w:szCs w:val="22"/>
              </w:rPr>
            </w:pPr>
            <w:r w:rsidRPr="00E76291">
              <w:rPr>
                <w:rFonts w:ascii="Calibri" w:hAnsi="Calibri" w:cs="Calibri"/>
                <w:sz w:val="22"/>
                <w:szCs w:val="22"/>
              </w:rPr>
              <w:t xml:space="preserve">EZ (2025) </w:t>
            </w:r>
          </w:p>
        </w:tc>
        <w:tc>
          <w:tcPr>
            <w:tcW w:w="1437" w:type="dxa"/>
          </w:tcPr>
          <w:p w:rsidRPr="00E76291" w:rsidR="00764CA5" w:rsidP="002F0CED" w:rsidRDefault="00764CA5" w14:paraId="08F2BE66" w14:textId="77777777">
            <w:pPr>
              <w:rPr>
                <w:rFonts w:ascii="Calibri" w:hAnsi="Calibri" w:cs="Calibri"/>
                <w:sz w:val="22"/>
                <w:szCs w:val="22"/>
              </w:rPr>
            </w:pPr>
            <w:r w:rsidRPr="00E76291">
              <w:rPr>
                <w:rFonts w:ascii="Calibri" w:hAnsi="Calibri" w:cs="Calibri"/>
                <w:sz w:val="22"/>
                <w:szCs w:val="22"/>
              </w:rPr>
              <w:t xml:space="preserve"> Ja </w:t>
            </w:r>
          </w:p>
        </w:tc>
        <w:tc>
          <w:tcPr>
            <w:tcW w:w="2546" w:type="dxa"/>
          </w:tcPr>
          <w:p w:rsidRPr="00E76291" w:rsidR="00764CA5" w:rsidP="002F0CED" w:rsidRDefault="00764CA5" w14:paraId="637F0407" w14:textId="77777777">
            <w:pPr>
              <w:rPr>
                <w:rFonts w:ascii="Calibri" w:hAnsi="Calibri" w:cs="Calibri"/>
                <w:sz w:val="22"/>
                <w:szCs w:val="22"/>
              </w:rPr>
            </w:pPr>
            <w:r w:rsidRPr="00E76291">
              <w:rPr>
                <w:rFonts w:ascii="Calibri" w:hAnsi="Calibri" w:cs="Calibri"/>
                <w:sz w:val="22"/>
                <w:szCs w:val="22"/>
              </w:rPr>
              <w:t xml:space="preserve">De minister verwijst naar het actieplan van het kabinet. Daaruit blijkt dat forse  intensiveringen nodig zijn om dit doel te behalen. </w:t>
            </w:r>
          </w:p>
        </w:tc>
      </w:tr>
      <w:tr w:rsidRPr="00E76291" w:rsidR="00764CA5" w:rsidTr="002F0CED" w14:paraId="43A74A97" w14:textId="77777777">
        <w:tc>
          <w:tcPr>
            <w:tcW w:w="2405" w:type="dxa"/>
          </w:tcPr>
          <w:p w:rsidRPr="00E76291" w:rsidR="00764CA5" w:rsidP="002F0CED" w:rsidRDefault="00764CA5" w14:paraId="62643777" w14:textId="77777777">
            <w:pPr>
              <w:rPr>
                <w:rFonts w:ascii="Calibri" w:hAnsi="Calibri" w:cs="Calibri"/>
                <w:sz w:val="22"/>
                <w:szCs w:val="22"/>
              </w:rPr>
            </w:pPr>
            <w:r w:rsidRPr="00E76291">
              <w:rPr>
                <w:rFonts w:ascii="Calibri" w:hAnsi="Calibri" w:cs="Calibri"/>
                <w:sz w:val="22"/>
                <w:szCs w:val="22"/>
              </w:rPr>
              <w:t xml:space="preserve">Ondernemingsklimaat onder druk, NL niet meer in top-5 meest concurrerende economieën (10e positie in 2025). </w:t>
            </w:r>
          </w:p>
          <w:p w:rsidRPr="00E76291" w:rsidR="00764CA5" w:rsidP="002F0CED" w:rsidRDefault="00764CA5" w14:paraId="39B0CC50" w14:textId="77777777">
            <w:pPr>
              <w:rPr>
                <w:rFonts w:ascii="Calibri" w:hAnsi="Calibri" w:cs="Calibri"/>
                <w:sz w:val="22"/>
                <w:szCs w:val="22"/>
              </w:rPr>
            </w:pPr>
          </w:p>
        </w:tc>
        <w:tc>
          <w:tcPr>
            <w:tcW w:w="1540" w:type="dxa"/>
          </w:tcPr>
          <w:p w:rsidRPr="00E76291" w:rsidR="00764CA5" w:rsidP="002F0CED" w:rsidRDefault="00764CA5" w14:paraId="4E9AEB1C" w14:textId="77777777">
            <w:pPr>
              <w:rPr>
                <w:rFonts w:ascii="Calibri" w:hAnsi="Calibri" w:cs="Calibri"/>
                <w:sz w:val="22"/>
                <w:szCs w:val="22"/>
              </w:rPr>
            </w:pPr>
            <w:r w:rsidRPr="00E76291">
              <w:rPr>
                <w:rFonts w:ascii="Calibri" w:hAnsi="Calibri" w:cs="Calibri"/>
                <w:sz w:val="22"/>
                <w:szCs w:val="22"/>
              </w:rPr>
              <w:t xml:space="preserve">Algemene Rekenkamer (2025) </w:t>
            </w:r>
          </w:p>
          <w:p w:rsidRPr="00E76291" w:rsidR="00764CA5" w:rsidP="002F0CED" w:rsidRDefault="00764CA5" w14:paraId="283A670B" w14:textId="77777777">
            <w:pPr>
              <w:rPr>
                <w:rFonts w:ascii="Calibri" w:hAnsi="Calibri" w:cs="Calibri"/>
                <w:sz w:val="22"/>
                <w:szCs w:val="22"/>
              </w:rPr>
            </w:pPr>
            <w:r w:rsidRPr="00E76291">
              <w:rPr>
                <w:rFonts w:ascii="Calibri" w:hAnsi="Calibri" w:cs="Calibri"/>
                <w:sz w:val="22"/>
                <w:szCs w:val="22"/>
              </w:rPr>
              <w:t>Bedrijvenbeleid inbeeld.nl;</w:t>
            </w:r>
          </w:p>
          <w:p w:rsidRPr="00E76291" w:rsidR="00764CA5" w:rsidP="002F0CED" w:rsidRDefault="00764CA5" w14:paraId="638FCA9D" w14:textId="77777777">
            <w:pPr>
              <w:rPr>
                <w:rFonts w:ascii="Calibri" w:hAnsi="Calibri" w:cs="Calibri"/>
                <w:sz w:val="22"/>
                <w:szCs w:val="22"/>
              </w:rPr>
            </w:pPr>
            <w:r w:rsidRPr="00E76291">
              <w:rPr>
                <w:rFonts w:ascii="Calibri" w:hAnsi="Calibri" w:cs="Calibri"/>
                <w:sz w:val="22"/>
                <w:szCs w:val="22"/>
              </w:rPr>
              <w:t xml:space="preserve">PCW (2025) </w:t>
            </w:r>
          </w:p>
        </w:tc>
        <w:tc>
          <w:tcPr>
            <w:tcW w:w="1437" w:type="dxa"/>
          </w:tcPr>
          <w:p w:rsidRPr="00E76291" w:rsidR="00764CA5" w:rsidP="002F0CED" w:rsidRDefault="00764CA5" w14:paraId="1E5CDD07" w14:textId="77777777">
            <w:pPr>
              <w:rPr>
                <w:rFonts w:ascii="Calibri" w:hAnsi="Calibri" w:cs="Calibri"/>
                <w:sz w:val="22"/>
                <w:szCs w:val="22"/>
              </w:rPr>
            </w:pPr>
            <w:r w:rsidRPr="00E76291">
              <w:rPr>
                <w:rFonts w:ascii="Calibri" w:hAnsi="Calibri" w:cs="Calibri"/>
                <w:sz w:val="22"/>
                <w:szCs w:val="22"/>
              </w:rPr>
              <w:t>Ja</w:t>
            </w:r>
          </w:p>
        </w:tc>
        <w:tc>
          <w:tcPr>
            <w:tcW w:w="2546" w:type="dxa"/>
          </w:tcPr>
          <w:p w:rsidRPr="00E76291" w:rsidR="00764CA5" w:rsidP="002F0CED" w:rsidRDefault="00764CA5" w14:paraId="6B980FE9" w14:textId="77777777">
            <w:pPr>
              <w:rPr>
                <w:rFonts w:ascii="Calibri" w:hAnsi="Calibri" w:cs="Calibri"/>
                <w:sz w:val="22"/>
                <w:szCs w:val="22"/>
              </w:rPr>
            </w:pPr>
            <w:r w:rsidRPr="00E76291">
              <w:rPr>
                <w:rFonts w:ascii="Calibri" w:hAnsi="Calibri" w:cs="Calibri"/>
                <w:sz w:val="22"/>
                <w:szCs w:val="22"/>
              </w:rPr>
              <w:t xml:space="preserve">Minister van EZ zet o.a. in op regeldruk, economische veiligheid &amp; kritieke grondstoffen, </w:t>
            </w:r>
            <w:proofErr w:type="spellStart"/>
            <w:r w:rsidRPr="00E76291">
              <w:rPr>
                <w:rFonts w:ascii="Calibri" w:hAnsi="Calibri" w:cs="Calibri"/>
                <w:sz w:val="22"/>
                <w:szCs w:val="22"/>
              </w:rPr>
              <w:t>financierings-instrumenten</w:t>
            </w:r>
            <w:proofErr w:type="spellEnd"/>
            <w:r w:rsidRPr="00E76291">
              <w:rPr>
                <w:rFonts w:ascii="Calibri" w:hAnsi="Calibri" w:cs="Calibri"/>
                <w:sz w:val="22"/>
                <w:szCs w:val="22"/>
              </w:rPr>
              <w:t xml:space="preserve"> voor </w:t>
            </w:r>
            <w:proofErr w:type="spellStart"/>
            <w:r w:rsidRPr="00E76291">
              <w:rPr>
                <w:rFonts w:ascii="Calibri" w:hAnsi="Calibri" w:cs="Calibri"/>
                <w:sz w:val="22"/>
                <w:szCs w:val="22"/>
              </w:rPr>
              <w:t>start-ups</w:t>
            </w:r>
            <w:proofErr w:type="spellEnd"/>
            <w:r w:rsidRPr="00E76291">
              <w:rPr>
                <w:rFonts w:ascii="Calibri" w:hAnsi="Calibri" w:cs="Calibri"/>
                <w:sz w:val="22"/>
                <w:szCs w:val="22"/>
              </w:rPr>
              <w:t xml:space="preserve"> en </w:t>
            </w:r>
            <w:proofErr w:type="spellStart"/>
            <w:r w:rsidRPr="00E76291">
              <w:rPr>
                <w:rFonts w:ascii="Calibri" w:hAnsi="Calibri" w:cs="Calibri"/>
                <w:sz w:val="22"/>
                <w:szCs w:val="22"/>
              </w:rPr>
              <w:t>scale</w:t>
            </w:r>
            <w:proofErr w:type="spellEnd"/>
            <w:r w:rsidRPr="00E76291">
              <w:rPr>
                <w:rFonts w:ascii="Calibri" w:hAnsi="Calibri" w:cs="Calibri"/>
                <w:sz w:val="22"/>
                <w:szCs w:val="22"/>
              </w:rPr>
              <w:t xml:space="preserve">-ups en een Productiviteits-agenda. Wij benadrukken dat dit thema kabinetsbrede aandacht vraagt. </w:t>
            </w:r>
          </w:p>
        </w:tc>
      </w:tr>
      <w:tr w:rsidRPr="00E76291" w:rsidR="00764CA5" w:rsidTr="002F0CED" w14:paraId="558DBE47" w14:textId="77777777">
        <w:tc>
          <w:tcPr>
            <w:tcW w:w="2405" w:type="dxa"/>
          </w:tcPr>
          <w:p w:rsidRPr="00E76291" w:rsidR="00764CA5" w:rsidP="002F0CED" w:rsidRDefault="00764CA5" w14:paraId="03E560E5" w14:textId="77777777">
            <w:pPr>
              <w:rPr>
                <w:rFonts w:ascii="Calibri" w:hAnsi="Calibri" w:cs="Calibri"/>
                <w:sz w:val="22"/>
                <w:szCs w:val="22"/>
              </w:rPr>
            </w:pPr>
            <w:r w:rsidRPr="00E76291">
              <w:rPr>
                <w:rFonts w:ascii="Calibri" w:hAnsi="Calibri" w:cs="Calibri"/>
                <w:sz w:val="22"/>
                <w:szCs w:val="22"/>
              </w:rPr>
              <w:t>Realiseren van duurzame publiek-private samenwerking, ook na de pilotfase;</w:t>
            </w:r>
          </w:p>
          <w:p w:rsidRPr="00E76291" w:rsidR="00764CA5" w:rsidP="002F0CED" w:rsidRDefault="00764CA5" w14:paraId="11C2E319" w14:textId="77777777">
            <w:pPr>
              <w:rPr>
                <w:rFonts w:ascii="Calibri" w:hAnsi="Calibri" w:cs="Calibri"/>
                <w:sz w:val="22"/>
                <w:szCs w:val="22"/>
              </w:rPr>
            </w:pPr>
            <w:r w:rsidRPr="00E76291">
              <w:rPr>
                <w:rFonts w:ascii="Calibri" w:hAnsi="Calibri" w:cs="Calibri"/>
                <w:sz w:val="22"/>
                <w:szCs w:val="22"/>
              </w:rPr>
              <w:t>Verkrijgen van structurele financiering zodat de projecten na de NGF-impuls op eigen benen kunnen staan.</w:t>
            </w:r>
          </w:p>
          <w:p w:rsidRPr="00E76291" w:rsidR="00764CA5" w:rsidP="002F0CED" w:rsidRDefault="00764CA5" w14:paraId="7C8EE881" w14:textId="77777777">
            <w:pPr>
              <w:rPr>
                <w:rFonts w:ascii="Calibri" w:hAnsi="Calibri" w:cs="Calibri"/>
                <w:sz w:val="22"/>
                <w:szCs w:val="22"/>
              </w:rPr>
            </w:pPr>
            <w:r w:rsidRPr="00E76291">
              <w:rPr>
                <w:rFonts w:ascii="Calibri" w:hAnsi="Calibri" w:cs="Calibri"/>
                <w:sz w:val="22"/>
                <w:szCs w:val="22"/>
              </w:rPr>
              <w:t>De adviescommissie NGF adviseert om tijdig en blijvend te sturen op deze twee aandachtspunten</w:t>
            </w:r>
          </w:p>
        </w:tc>
        <w:tc>
          <w:tcPr>
            <w:tcW w:w="1540" w:type="dxa"/>
          </w:tcPr>
          <w:p w:rsidRPr="00E76291" w:rsidR="00764CA5" w:rsidP="002F0CED" w:rsidRDefault="00764CA5" w14:paraId="117AA66F" w14:textId="77777777">
            <w:pPr>
              <w:rPr>
                <w:rFonts w:ascii="Calibri" w:hAnsi="Calibri" w:cs="Calibri"/>
                <w:sz w:val="22"/>
                <w:szCs w:val="22"/>
              </w:rPr>
            </w:pPr>
            <w:r w:rsidRPr="00E76291">
              <w:rPr>
                <w:rFonts w:ascii="Calibri" w:hAnsi="Calibri" w:cs="Calibri"/>
                <w:sz w:val="22"/>
                <w:szCs w:val="22"/>
              </w:rPr>
              <w:t>Adviescommissie NGF (2025), Jaarverslag over 2024</w:t>
            </w:r>
          </w:p>
        </w:tc>
        <w:tc>
          <w:tcPr>
            <w:tcW w:w="1437" w:type="dxa"/>
          </w:tcPr>
          <w:p w:rsidRPr="00E76291" w:rsidR="00764CA5" w:rsidP="002F0CED" w:rsidRDefault="00764CA5" w14:paraId="294FB6AF" w14:textId="77777777">
            <w:pPr>
              <w:rPr>
                <w:rFonts w:ascii="Calibri" w:hAnsi="Calibri" w:cs="Calibri"/>
                <w:sz w:val="22"/>
                <w:szCs w:val="22"/>
              </w:rPr>
            </w:pPr>
            <w:r w:rsidRPr="00E76291">
              <w:rPr>
                <w:rFonts w:ascii="Calibri" w:hAnsi="Calibri" w:cs="Calibri"/>
                <w:sz w:val="22"/>
                <w:szCs w:val="22"/>
              </w:rPr>
              <w:t>Nee</w:t>
            </w:r>
          </w:p>
        </w:tc>
        <w:tc>
          <w:tcPr>
            <w:tcW w:w="2546" w:type="dxa"/>
          </w:tcPr>
          <w:p w:rsidRPr="00E76291" w:rsidR="00764CA5" w:rsidP="002F0CED" w:rsidRDefault="00764CA5" w14:paraId="7220208D" w14:textId="77777777">
            <w:pPr>
              <w:rPr>
                <w:rFonts w:ascii="Calibri" w:hAnsi="Calibri" w:cs="Calibri"/>
                <w:sz w:val="22"/>
                <w:szCs w:val="22"/>
              </w:rPr>
            </w:pPr>
            <w:r w:rsidRPr="00E76291">
              <w:rPr>
                <w:rFonts w:ascii="Calibri" w:hAnsi="Calibri" w:cs="Calibri"/>
                <w:sz w:val="22"/>
                <w:szCs w:val="22"/>
              </w:rPr>
              <w:t xml:space="preserve">De minister benoemt het risico niet. </w:t>
            </w:r>
            <w:r w:rsidRPr="00E76291" w:rsidDel="00AC6B7A">
              <w:rPr>
                <w:rFonts w:ascii="Calibri" w:hAnsi="Calibri" w:cs="Calibri"/>
                <w:sz w:val="22"/>
                <w:szCs w:val="22"/>
              </w:rPr>
              <w:t xml:space="preserve"> </w:t>
            </w:r>
          </w:p>
        </w:tc>
      </w:tr>
    </w:tbl>
    <w:p w:rsidRPr="00E76291" w:rsidR="00764CA5" w:rsidP="00764CA5" w:rsidRDefault="00764CA5" w14:paraId="39C989C7" w14:textId="77777777">
      <w:pPr>
        <w:rPr>
          <w:rFonts w:ascii="Calibri" w:hAnsi="Calibri" w:cs="Calibri"/>
        </w:rPr>
      </w:pPr>
    </w:p>
    <w:p w:rsidRPr="00E76291" w:rsidR="00764CA5" w:rsidP="00764CA5" w:rsidRDefault="00764CA5" w14:paraId="03B764EC" w14:textId="77777777">
      <w:pPr>
        <w:rPr>
          <w:rFonts w:ascii="Calibri" w:hAnsi="Calibri" w:cs="Calibri"/>
        </w:rPr>
      </w:pPr>
    </w:p>
    <w:p w:rsidRPr="00E76291" w:rsidR="00764CA5" w:rsidP="00764CA5" w:rsidRDefault="00764CA5" w14:paraId="2DA76C1B" w14:textId="77777777">
      <w:pPr>
        <w:spacing w:line="240" w:lineRule="auto"/>
        <w:rPr>
          <w:rFonts w:ascii="Calibri" w:hAnsi="Calibri" w:cs="Calibri"/>
        </w:rPr>
      </w:pPr>
      <w:r w:rsidRPr="00E76291">
        <w:rPr>
          <w:rFonts w:ascii="Calibri" w:hAnsi="Calibri" w:cs="Calibri"/>
        </w:rPr>
        <w:br w:type="page"/>
      </w:r>
    </w:p>
    <w:p w:rsidRPr="00E76291" w:rsidR="00764CA5" w:rsidP="00764CA5" w:rsidRDefault="00764CA5" w14:paraId="0AEB0E65" w14:textId="77777777">
      <w:pPr>
        <w:rPr>
          <w:rFonts w:ascii="Calibri" w:hAnsi="Calibri" w:cs="Calibri"/>
        </w:rPr>
      </w:pPr>
      <w:r w:rsidRPr="00E76291">
        <w:rPr>
          <w:rFonts w:ascii="Calibri" w:hAnsi="Calibri" w:cs="Calibri"/>
        </w:rPr>
        <w:lastRenderedPageBreak/>
        <w:t xml:space="preserve">Onderstaande figuur laat zien dat het </w:t>
      </w:r>
      <w:r w:rsidRPr="00E76291">
        <w:rPr>
          <w:rFonts w:ascii="Calibri" w:hAnsi="Calibri" w:cs="Calibri"/>
          <w:b/>
          <w:i/>
        </w:rPr>
        <w:t>behalen van de 3% R&amp;D doelstelling</w:t>
      </w:r>
      <w:r w:rsidRPr="00E76291">
        <w:rPr>
          <w:rFonts w:ascii="Calibri" w:hAnsi="Calibri" w:cs="Calibri"/>
        </w:rPr>
        <w:t xml:space="preserve"> bij ongewijzigd beleid de komende jaren verder uit het zicht raakt. </w:t>
      </w:r>
    </w:p>
    <w:p w:rsidRPr="00E76291" w:rsidR="00764CA5" w:rsidP="00764CA5" w:rsidRDefault="00764CA5" w14:paraId="7693F036" w14:textId="77777777">
      <w:pPr>
        <w:rPr>
          <w:rFonts w:ascii="Calibri" w:hAnsi="Calibri" w:cs="Calibri"/>
        </w:rPr>
      </w:pPr>
    </w:p>
    <w:p w:rsidRPr="00E76291" w:rsidR="00764CA5" w:rsidP="00764CA5" w:rsidRDefault="00764CA5" w14:paraId="24733850" w14:textId="77777777">
      <w:pPr>
        <w:rPr>
          <w:rFonts w:ascii="Calibri" w:hAnsi="Calibri" w:cs="Calibri"/>
          <w:b/>
        </w:rPr>
      </w:pPr>
      <w:r w:rsidRPr="00E76291">
        <w:rPr>
          <w:rFonts w:ascii="Calibri" w:hAnsi="Calibri" w:cs="Calibri"/>
          <w:b/>
          <w:noProof/>
        </w:rPr>
        <w:drawing>
          <wp:anchor distT="0" distB="0" distL="114300" distR="114300" simplePos="0" relativeHeight="251645440" behindDoc="0" locked="0" layoutInCell="1" allowOverlap="1" wp14:editId="0BD0A553" wp14:anchorId="4057FC7A">
            <wp:simplePos x="0" y="0"/>
            <wp:positionH relativeFrom="column">
              <wp:posOffset>-4657</wp:posOffset>
            </wp:positionH>
            <wp:positionV relativeFrom="paragraph">
              <wp:posOffset>313266</wp:posOffset>
            </wp:positionV>
            <wp:extent cx="5037455" cy="3420745"/>
            <wp:effectExtent l="0" t="0" r="0" b="8255"/>
            <wp:wrapTopAndBottom/>
            <wp:docPr id="20" name="Afbeelding 20" descr="Afbeelding met tekst, schermopname,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tekst, schermopname, lijn, Lettertype&#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7455" cy="3420745"/>
                    </a:xfrm>
                    <a:prstGeom prst="rect">
                      <a:avLst/>
                    </a:prstGeom>
                    <a:noFill/>
                    <a:ln>
                      <a:noFill/>
                    </a:ln>
                  </pic:spPr>
                </pic:pic>
              </a:graphicData>
            </a:graphic>
          </wp:anchor>
        </w:drawing>
      </w:r>
      <w:r w:rsidRPr="00E76291">
        <w:rPr>
          <w:rFonts w:ascii="Calibri" w:hAnsi="Calibri" w:cs="Calibri"/>
          <w:b/>
        </w:rPr>
        <w:t>Figuur 1: Gerealiseerde en geraamde uitgaven aan R&amp;D als percentage van het bbp</w:t>
      </w:r>
    </w:p>
    <w:p w:rsidRPr="00E76291" w:rsidR="00764CA5" w:rsidP="00764CA5" w:rsidRDefault="00764CA5" w14:paraId="73440FBB" w14:textId="77777777">
      <w:pPr>
        <w:rPr>
          <w:rFonts w:ascii="Calibri" w:hAnsi="Calibri" w:cs="Calibri"/>
        </w:rPr>
      </w:pPr>
      <w:r w:rsidRPr="00E76291">
        <w:rPr>
          <w:rFonts w:ascii="Calibri" w:hAnsi="Calibri" w:cs="Calibri"/>
          <w:b/>
        </w:rPr>
        <w:t xml:space="preserve">* </w:t>
      </w:r>
      <w:r w:rsidRPr="00E76291">
        <w:rPr>
          <w:rFonts w:ascii="Calibri" w:hAnsi="Calibri" w:cs="Calibri"/>
        </w:rPr>
        <w:t xml:space="preserve">Er zijn geen realisaties beschikbaar voor de totale R&amp;D uitgaven in 2023 en 2024, de ramingen van TNO starten in 2025. </w:t>
      </w:r>
    </w:p>
    <w:p w:rsidRPr="00E76291" w:rsidR="00764CA5" w:rsidP="00764CA5" w:rsidRDefault="00764CA5" w14:paraId="151C5B64" w14:textId="77777777">
      <w:pPr>
        <w:rPr>
          <w:rFonts w:ascii="Calibri" w:hAnsi="Calibri" w:cs="Calibri"/>
        </w:rPr>
      </w:pPr>
      <w:r w:rsidRPr="00E76291">
        <w:rPr>
          <w:rFonts w:ascii="Calibri" w:hAnsi="Calibri" w:cs="Calibri"/>
          <w:b/>
        </w:rPr>
        <w:t xml:space="preserve">** </w:t>
      </w:r>
      <w:r w:rsidRPr="00E76291">
        <w:rPr>
          <w:rFonts w:ascii="Calibri" w:hAnsi="Calibri" w:cs="Calibri"/>
        </w:rPr>
        <w:t>TNO presenteert 2 scenario’s voor R&amp;D intensiteit ontwikkeling. Hier zien we het hoge betrouwbaarheid scenario.</w:t>
      </w:r>
    </w:p>
    <w:p w:rsidRPr="00E76291" w:rsidR="00764CA5" w:rsidP="00764CA5" w:rsidRDefault="00764CA5" w14:paraId="7BEAD8E0" w14:textId="77777777">
      <w:pPr>
        <w:rPr>
          <w:rFonts w:ascii="Calibri" w:hAnsi="Calibri" w:cs="Calibri"/>
        </w:rPr>
      </w:pPr>
    </w:p>
    <w:p w:rsidRPr="00E76291" w:rsidR="00764CA5" w:rsidP="00764CA5" w:rsidRDefault="00764CA5" w14:paraId="7B8F0980" w14:textId="77777777">
      <w:pPr>
        <w:rPr>
          <w:rFonts w:ascii="Calibri" w:hAnsi="Calibri" w:cs="Calibri"/>
        </w:rPr>
      </w:pPr>
      <w:r w:rsidRPr="00E76291">
        <w:rPr>
          <w:rFonts w:ascii="Calibri" w:hAnsi="Calibri" w:cs="Calibri"/>
        </w:rPr>
        <w:t xml:space="preserve">Het aandeel R&amp;D uitgaven als percentage van het bruto nationaal product (de R&amp;D-intensiteit) ligt al jaren rond de 2,2% en is in internationaal perspectief relatief laag. De minister geeft in het 3%-R&amp;D actieplan zelf ook aan dat op basis van de huidige kabinetsaanpak de overheidsuitgaven aan R&amp;D, geraamd door het </w:t>
      </w:r>
      <w:proofErr w:type="spellStart"/>
      <w:r w:rsidRPr="00E76291">
        <w:rPr>
          <w:rFonts w:ascii="Calibri" w:hAnsi="Calibri" w:cs="Calibri"/>
        </w:rPr>
        <w:t>Rathenau</w:t>
      </w:r>
      <w:proofErr w:type="spellEnd"/>
      <w:r w:rsidRPr="00E76291">
        <w:rPr>
          <w:rFonts w:ascii="Calibri" w:hAnsi="Calibri" w:cs="Calibri"/>
        </w:rPr>
        <w:t xml:space="preserve"> Instituut, zullen afnemen in plaats van toenemen.</w:t>
      </w:r>
      <w:r w:rsidRPr="00E76291">
        <w:rPr>
          <w:rStyle w:val="Voetnootmarkering"/>
          <w:rFonts w:ascii="Calibri" w:hAnsi="Calibri" w:cs="Calibri"/>
        </w:rPr>
        <w:footnoteReference w:id="5"/>
      </w:r>
      <w:r w:rsidRPr="00E76291">
        <w:rPr>
          <w:rFonts w:ascii="Calibri" w:hAnsi="Calibri" w:cs="Calibri"/>
        </w:rPr>
        <w:t xml:space="preserve"> Onder meer als gevolg van de bezuinigingen op het Nationaal Groeifonds. Een raming van TNO</w:t>
      </w:r>
      <w:r w:rsidRPr="00E76291">
        <w:rPr>
          <w:rStyle w:val="Voetnootmarkering"/>
          <w:rFonts w:ascii="Calibri" w:hAnsi="Calibri" w:cs="Calibri"/>
        </w:rPr>
        <w:footnoteReference w:id="6"/>
      </w:r>
      <w:r w:rsidRPr="00E76291">
        <w:rPr>
          <w:rFonts w:ascii="Calibri" w:hAnsi="Calibri" w:cs="Calibri"/>
        </w:rPr>
        <w:t xml:space="preserve"> laat zien dat ook de totale R&amp;D-intensiteit, inclusief investeringen van bedrijven, bij de huidige aanpak verder zal afnemen, tot 2,0% van het bbp. </w:t>
      </w:r>
    </w:p>
    <w:p w:rsidRPr="00E76291" w:rsidR="00764CA5" w:rsidP="00764CA5" w:rsidRDefault="00764CA5" w14:paraId="396C64B8" w14:textId="77777777">
      <w:pPr>
        <w:rPr>
          <w:rFonts w:ascii="Calibri" w:hAnsi="Calibri" w:cs="Calibri"/>
        </w:rPr>
      </w:pPr>
    </w:p>
    <w:p w:rsidRPr="00E76291" w:rsidR="00764CA5" w:rsidP="00764CA5" w:rsidRDefault="00764CA5" w14:paraId="0E60AC02" w14:textId="77777777">
      <w:pPr>
        <w:rPr>
          <w:rFonts w:ascii="Calibri" w:hAnsi="Calibri" w:cs="Calibri"/>
        </w:rPr>
      </w:pPr>
      <w:r w:rsidRPr="00E76291">
        <w:rPr>
          <w:rFonts w:ascii="Calibri" w:hAnsi="Calibri" w:cs="Calibri"/>
        </w:rPr>
        <w:t>Wij vragen uw aandacht voor de hierboven genoemde risico’s want deze kunnen uiteindelijk gevolgen  hebben voor de raming (begroting) en het bereiken van afgesproken resultaten.</w:t>
      </w:r>
    </w:p>
    <w:p w:rsidRPr="00E76291" w:rsidR="00764CA5" w:rsidP="00764CA5" w:rsidRDefault="00764CA5" w14:paraId="2DB36EF1" w14:textId="77777777">
      <w:pPr>
        <w:rPr>
          <w:rFonts w:ascii="Calibri" w:hAnsi="Calibri" w:cs="Calibri"/>
        </w:rPr>
      </w:pPr>
    </w:p>
    <w:p w:rsidRPr="00E76291" w:rsidR="00764CA5" w:rsidP="00764CA5" w:rsidRDefault="00764CA5" w14:paraId="57B3DF74" w14:textId="77777777">
      <w:pPr>
        <w:rPr>
          <w:rFonts w:ascii="Calibri" w:hAnsi="Calibri" w:cs="Calibri"/>
        </w:rPr>
      </w:pPr>
      <w:r w:rsidRPr="00E76291">
        <w:rPr>
          <w:rFonts w:ascii="Calibri" w:hAnsi="Calibri" w:cs="Calibri"/>
        </w:rPr>
        <w:t xml:space="preserve">Wij vertrouwen erop dat deze brief behulpzaam is bij de begrotingsbehandeling in uw Kamer. </w:t>
      </w:r>
    </w:p>
    <w:p w:rsidR="00CE3749" w:rsidP="00CE3749" w:rsidRDefault="00CE3749" w14:paraId="3C99F283" w14:textId="77777777">
      <w:pPr>
        <w:rPr>
          <w:rFonts w:cs="Calibri"/>
        </w:rPr>
      </w:pPr>
    </w:p>
    <w:p w:rsidRPr="002B0154" w:rsidR="00CE3749" w:rsidP="00CE3749" w:rsidRDefault="00CE3749" w14:paraId="2821EA3D" w14:textId="758CFB84">
      <w:pPr>
        <w:rPr>
          <w:rFonts w:cs="Calibri"/>
        </w:rPr>
      </w:pPr>
      <w:r w:rsidRPr="002B0154">
        <w:rPr>
          <w:rFonts w:cs="Calibri"/>
        </w:rPr>
        <w:t>Algemene Rekenkamer</w:t>
      </w:r>
    </w:p>
    <w:p w:rsidRPr="00B536C7" w:rsidR="00CE3749" w:rsidP="00CE3749" w:rsidRDefault="00CE3749" w14:paraId="3823E207" w14:textId="77777777">
      <w:pPr>
        <w:pStyle w:val="Geenafstand"/>
      </w:pPr>
      <w:r>
        <w:t>drs. P.J. (Pieter)</w:t>
      </w:r>
      <w:r w:rsidRPr="00B536C7">
        <w:t xml:space="preserve"> </w:t>
      </w:r>
      <w:proofErr w:type="spellStart"/>
      <w:r w:rsidRPr="00B536C7">
        <w:t>Duisenberg</w:t>
      </w:r>
      <w:proofErr w:type="spellEnd"/>
      <w:r w:rsidRPr="00B536C7">
        <w:t xml:space="preserve">, </w:t>
      </w:r>
    </w:p>
    <w:p w:rsidRPr="00B536C7" w:rsidR="00CE3749" w:rsidP="00CE3749" w:rsidRDefault="00CE3749" w14:paraId="53A30567" w14:textId="77777777">
      <w:pPr>
        <w:pStyle w:val="Geenafstand"/>
      </w:pPr>
      <w:r w:rsidRPr="00B536C7">
        <w:t>president</w:t>
      </w:r>
    </w:p>
    <w:p w:rsidRPr="002B0154" w:rsidR="00CE3749" w:rsidP="00CE3749" w:rsidRDefault="00CE3749" w14:paraId="3013189C" w14:textId="77777777">
      <w:pPr>
        <w:rPr>
          <w:rFonts w:cs="Calibri"/>
        </w:rPr>
      </w:pPr>
    </w:p>
    <w:p w:rsidRPr="00B536C7" w:rsidR="00CE3749" w:rsidP="00CE3749" w:rsidRDefault="00CE3749" w14:paraId="67A3EA7E" w14:textId="77777777">
      <w:pPr>
        <w:pStyle w:val="Geenafstand"/>
      </w:pPr>
      <w:r>
        <w:t>drs. C. (Cornelis)</w:t>
      </w:r>
      <w:r w:rsidRPr="00B536C7">
        <w:t xml:space="preserve"> van der Werf,</w:t>
      </w:r>
    </w:p>
    <w:p w:rsidRPr="00B536C7" w:rsidR="00CE3749" w:rsidP="00CE3749" w:rsidRDefault="00CE3749" w14:paraId="1667CB1A" w14:textId="77777777">
      <w:pPr>
        <w:pStyle w:val="Geenafstand"/>
      </w:pPr>
      <w:r w:rsidRPr="00B536C7">
        <w:t>secretaris</w:t>
      </w:r>
    </w:p>
    <w:p w:rsidRPr="00E76291" w:rsidR="00764CA5" w:rsidP="00764CA5" w:rsidRDefault="00764CA5" w14:paraId="0A006A06" w14:textId="77777777">
      <w:pPr>
        <w:rPr>
          <w:rFonts w:ascii="Calibri" w:hAnsi="Calibri" w:cs="Calibri"/>
        </w:rPr>
      </w:pPr>
    </w:p>
    <w:p w:rsidRPr="00E76291" w:rsidR="00764CA5" w:rsidP="00764CA5" w:rsidRDefault="00764CA5" w14:paraId="4CF013A3" w14:textId="77777777">
      <w:pPr>
        <w:rPr>
          <w:rFonts w:ascii="Calibri" w:hAnsi="Calibri" w:cs="Calibri"/>
        </w:rPr>
      </w:pPr>
    </w:p>
    <w:p w:rsidRPr="00E76291" w:rsidR="00764CA5" w:rsidP="00764CA5" w:rsidRDefault="00764CA5" w14:paraId="312E3B8B" w14:textId="77777777">
      <w:pPr>
        <w:rPr>
          <w:rFonts w:ascii="Calibri" w:hAnsi="Calibri" w:cs="Calibri"/>
        </w:rPr>
      </w:pPr>
    </w:p>
    <w:p w:rsidRPr="00E76291" w:rsidR="006F53E6" w:rsidRDefault="006F53E6" w14:paraId="55AF097A" w14:textId="77777777">
      <w:pPr>
        <w:rPr>
          <w:rFonts w:ascii="Calibri" w:hAnsi="Calibri" w:cs="Calibri"/>
        </w:rPr>
      </w:pPr>
    </w:p>
    <w:sectPr w:rsidRPr="00E76291" w:rsidR="006F53E6" w:rsidSect="00764CA5">
      <w:headerReference w:type="even" r:id="rId11"/>
      <w:headerReference w:type="default" r:id="rId12"/>
      <w:footerReference w:type="even" r:id="rId13"/>
      <w:footerReference w:type="default" r:id="rId14"/>
      <w:headerReference w:type="first" r:id="rId15"/>
      <w:footerReference w:type="first" r:id="rId16"/>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71281" w14:textId="77777777" w:rsidR="00764CA5" w:rsidRDefault="00764CA5" w:rsidP="00764CA5">
      <w:pPr>
        <w:spacing w:after="0" w:line="240" w:lineRule="auto"/>
      </w:pPr>
      <w:r>
        <w:separator/>
      </w:r>
    </w:p>
  </w:endnote>
  <w:endnote w:type="continuationSeparator" w:id="0">
    <w:p w14:paraId="7CC30779" w14:textId="77777777" w:rsidR="00764CA5" w:rsidRDefault="00764CA5" w:rsidP="00764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8BD9" w14:textId="77777777" w:rsidR="00764CA5" w:rsidRPr="00764CA5" w:rsidRDefault="00764CA5" w:rsidP="00764C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F413" w14:textId="77777777" w:rsidR="009D7FB8" w:rsidRPr="00764CA5" w:rsidRDefault="009D7FB8" w:rsidP="00764C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184F" w14:textId="77777777" w:rsidR="00764CA5" w:rsidRPr="00764CA5" w:rsidRDefault="00764CA5" w:rsidP="00764C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7CF1" w14:textId="77777777" w:rsidR="00764CA5" w:rsidRDefault="00764CA5" w:rsidP="00764CA5">
      <w:pPr>
        <w:spacing w:after="0" w:line="240" w:lineRule="auto"/>
      </w:pPr>
      <w:r>
        <w:separator/>
      </w:r>
    </w:p>
  </w:footnote>
  <w:footnote w:type="continuationSeparator" w:id="0">
    <w:p w14:paraId="502AEA5C" w14:textId="77777777" w:rsidR="00764CA5" w:rsidRDefault="00764CA5" w:rsidP="00764CA5">
      <w:pPr>
        <w:spacing w:after="0" w:line="240" w:lineRule="auto"/>
      </w:pPr>
      <w:r>
        <w:continuationSeparator/>
      </w:r>
    </w:p>
  </w:footnote>
  <w:footnote w:id="1">
    <w:p w14:paraId="4B3C617D" w14:textId="77777777" w:rsidR="00764CA5" w:rsidRDefault="00764CA5" w:rsidP="00764CA5">
      <w:pPr>
        <w:pStyle w:val="Voetnoottekst"/>
      </w:pPr>
      <w:r>
        <w:rPr>
          <w:rStyle w:val="Voetnootmarkering"/>
        </w:rPr>
        <w:footnoteRef/>
      </w:r>
      <w:r>
        <w:t xml:space="preserve"> </w:t>
      </w:r>
      <w:r w:rsidRPr="00546BCC">
        <w:rPr>
          <w:sz w:val="18"/>
        </w:rPr>
        <w:t xml:space="preserve">Het gaat om </w:t>
      </w:r>
      <w:r>
        <w:rPr>
          <w:sz w:val="18"/>
        </w:rPr>
        <w:t xml:space="preserve">€ </w:t>
      </w:r>
      <w:r w:rsidRPr="00546BCC">
        <w:rPr>
          <w:sz w:val="18"/>
        </w:rPr>
        <w:t xml:space="preserve">10,9 </w:t>
      </w:r>
      <w:proofErr w:type="spellStart"/>
      <w:r w:rsidRPr="00546BCC">
        <w:rPr>
          <w:sz w:val="18"/>
        </w:rPr>
        <w:t>mln</w:t>
      </w:r>
      <w:proofErr w:type="spellEnd"/>
      <w:r w:rsidRPr="00546BCC">
        <w:rPr>
          <w:sz w:val="18"/>
        </w:rPr>
        <w:t xml:space="preserve"> bij de voorjaarsnota en </w:t>
      </w:r>
      <w:r>
        <w:rPr>
          <w:sz w:val="18"/>
        </w:rPr>
        <w:t xml:space="preserve">€ </w:t>
      </w:r>
      <w:r w:rsidRPr="00546BCC">
        <w:rPr>
          <w:sz w:val="18"/>
        </w:rPr>
        <w:t xml:space="preserve">80,6 </w:t>
      </w:r>
      <w:proofErr w:type="spellStart"/>
      <w:r w:rsidRPr="00546BCC">
        <w:rPr>
          <w:sz w:val="18"/>
        </w:rPr>
        <w:t>mln</w:t>
      </w:r>
      <w:proofErr w:type="spellEnd"/>
      <w:r w:rsidRPr="00546BCC">
        <w:rPr>
          <w:sz w:val="18"/>
        </w:rPr>
        <w:t xml:space="preserve"> bij de ontwerpbegroting 2026. </w:t>
      </w:r>
    </w:p>
  </w:footnote>
  <w:footnote w:id="2">
    <w:p w14:paraId="6674DE63" w14:textId="14585AB1" w:rsidR="00764CA5" w:rsidRDefault="00764CA5" w:rsidP="00764CA5">
      <w:pPr>
        <w:pStyle w:val="Voetnoottekst"/>
      </w:pPr>
      <w:r>
        <w:rPr>
          <w:rStyle w:val="Voetnootmarkering"/>
        </w:rPr>
        <w:footnoteRef/>
      </w:r>
      <w:r>
        <w:t xml:space="preserve"> EZ (2025) Kamerbrief ‘Productiviteitsagenda’, 8 september 2025 (Kamerstuk 29544, nr. 1287).</w:t>
      </w:r>
    </w:p>
  </w:footnote>
  <w:footnote w:id="3">
    <w:p w14:paraId="43C7BBC8" w14:textId="77777777" w:rsidR="00764CA5" w:rsidRDefault="00764CA5" w:rsidP="00764CA5">
      <w:pPr>
        <w:pStyle w:val="Voetnoottekst"/>
        <w:rPr>
          <w:sz w:val="18"/>
        </w:rPr>
      </w:pPr>
      <w:r w:rsidRPr="00477873">
        <w:rPr>
          <w:rStyle w:val="Voetnootmarkering"/>
          <w:sz w:val="18"/>
        </w:rPr>
        <w:footnoteRef/>
      </w:r>
      <w:r w:rsidRPr="00477873">
        <w:rPr>
          <w:sz w:val="18"/>
        </w:rPr>
        <w:t xml:space="preserve"> EZ (2025) Kamerbrief ‘Investeren in een weerbare en toekomstbestendige economie: het 3%-R&amp;D-actieplan’, 11 juli 2025</w:t>
      </w:r>
      <w:r>
        <w:rPr>
          <w:sz w:val="18"/>
        </w:rPr>
        <w:t xml:space="preserve"> (Kamerstuk 33009, nr. 165)</w:t>
      </w:r>
    </w:p>
    <w:p w14:paraId="2C845DF9" w14:textId="16E75580" w:rsidR="00764CA5" w:rsidRDefault="00764CA5" w:rsidP="00764CA5">
      <w:pPr>
        <w:pStyle w:val="Voetnoottekst"/>
      </w:pPr>
      <w:r w:rsidRPr="00477873">
        <w:rPr>
          <w:sz w:val="18"/>
        </w:rPr>
        <w:t>.</w:t>
      </w:r>
    </w:p>
  </w:footnote>
  <w:footnote w:id="4">
    <w:p w14:paraId="6D15E369" w14:textId="77777777" w:rsidR="00764CA5" w:rsidRDefault="00764CA5" w:rsidP="00764CA5">
      <w:pPr>
        <w:pStyle w:val="Voetnoottekst"/>
      </w:pPr>
      <w:r>
        <w:rPr>
          <w:rStyle w:val="Voetnootmarkering"/>
        </w:rPr>
        <w:footnoteRef/>
      </w:r>
      <w:r>
        <w:t xml:space="preserve"> EZ (2025) Kamerbrief ‘Productiviteitsagenda’, 8 september 2025.</w:t>
      </w:r>
    </w:p>
  </w:footnote>
  <w:footnote w:id="5">
    <w:p w14:paraId="7BC217B2" w14:textId="77777777" w:rsidR="00764CA5" w:rsidRDefault="00764CA5" w:rsidP="00764CA5">
      <w:pPr>
        <w:pStyle w:val="Voetnoottekst"/>
      </w:pPr>
      <w:r>
        <w:rPr>
          <w:rStyle w:val="Voetnootmarkering"/>
        </w:rPr>
        <w:footnoteRef/>
      </w:r>
      <w:r>
        <w:t xml:space="preserve"> </w:t>
      </w:r>
      <w:proofErr w:type="spellStart"/>
      <w:r w:rsidRPr="00A5678D">
        <w:rPr>
          <w:sz w:val="18"/>
        </w:rPr>
        <w:t>Rathenau</w:t>
      </w:r>
      <w:proofErr w:type="spellEnd"/>
      <w:r w:rsidRPr="00A5678D">
        <w:rPr>
          <w:sz w:val="18"/>
        </w:rPr>
        <w:t xml:space="preserve"> (2025) TWIN 2023-2029, Totale investeringen in wetenschap en innovatie</w:t>
      </w:r>
      <w:r>
        <w:rPr>
          <w:sz w:val="18"/>
        </w:rPr>
        <w:t>.</w:t>
      </w:r>
    </w:p>
  </w:footnote>
  <w:footnote w:id="6">
    <w:p w14:paraId="6013FEE0" w14:textId="77777777" w:rsidR="00764CA5" w:rsidRDefault="00764CA5" w:rsidP="00764CA5">
      <w:pPr>
        <w:pStyle w:val="Voetnoottekst"/>
      </w:pPr>
      <w:r w:rsidRPr="002C45A1">
        <w:rPr>
          <w:rStyle w:val="Voetnootmarkering"/>
          <w:sz w:val="18"/>
        </w:rPr>
        <w:footnoteRef/>
      </w:r>
      <w:r w:rsidRPr="002C45A1">
        <w:rPr>
          <w:sz w:val="18"/>
        </w:rPr>
        <w:t xml:space="preserve"> TNO (202</w:t>
      </w:r>
      <w:r>
        <w:rPr>
          <w:sz w:val="18"/>
        </w:rPr>
        <w:t>5</w:t>
      </w:r>
      <w:r w:rsidRPr="002C45A1">
        <w:rPr>
          <w:sz w:val="18"/>
        </w:rPr>
        <w:t>) De Nederlandse R&amp;D kloof groeit</w:t>
      </w:r>
      <w:r>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BBDA" w14:textId="77777777" w:rsidR="00764CA5" w:rsidRPr="00764CA5" w:rsidRDefault="00764CA5" w:rsidP="00764C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E223" w14:textId="77777777" w:rsidR="009D7FB8" w:rsidRPr="00764CA5" w:rsidRDefault="009D7FB8" w:rsidP="00764C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550B" w14:textId="77777777" w:rsidR="009D7FB8" w:rsidRPr="00764CA5" w:rsidRDefault="009D7FB8" w:rsidP="00764C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B992664"/>
    <w:multiLevelType w:val="hybridMultilevel"/>
    <w:tmpl w:val="26E8D414"/>
    <w:lvl w:ilvl="0" w:tplc="5C047A66">
      <w:start w:val="3"/>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C731670"/>
    <w:multiLevelType w:val="hybridMultilevel"/>
    <w:tmpl w:val="9E5A5C3C"/>
    <w:lvl w:ilvl="0" w:tplc="910854E0">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9570094">
    <w:abstractNumId w:val="3"/>
  </w:num>
  <w:num w:numId="2" w16cid:durableId="707149071">
    <w:abstractNumId w:val="0"/>
  </w:num>
  <w:num w:numId="3" w16cid:durableId="1092124128">
    <w:abstractNumId w:val="2"/>
  </w:num>
  <w:num w:numId="4" w16cid:durableId="1999337260">
    <w:abstractNumId w:val="1"/>
  </w:num>
  <w:num w:numId="5" w16cid:durableId="1399091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A5"/>
    <w:rsid w:val="001330AD"/>
    <w:rsid w:val="006F53E6"/>
    <w:rsid w:val="00764CA5"/>
    <w:rsid w:val="00CE3749"/>
    <w:rsid w:val="00E76291"/>
    <w:rsid w:val="00ED03AA"/>
    <w:rsid w:val="00FF3B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6186"/>
  <w15:chartTrackingRefBased/>
  <w15:docId w15:val="{FEAAF9F3-1346-4C62-AD85-63693FB1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764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764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764C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4C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4C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4C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4C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4C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4C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764C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4C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4C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4C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4C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4C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4C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4C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4CA5"/>
    <w:rPr>
      <w:rFonts w:eastAsiaTheme="majorEastAsia" w:cstheme="majorBidi"/>
      <w:color w:val="272727" w:themeColor="text1" w:themeTint="D8"/>
    </w:rPr>
  </w:style>
  <w:style w:type="paragraph" w:styleId="Titel">
    <w:name w:val="Title"/>
    <w:basedOn w:val="Standaard"/>
    <w:next w:val="Standaard"/>
    <w:link w:val="TitelChar"/>
    <w:uiPriority w:val="10"/>
    <w:qFormat/>
    <w:rsid w:val="00764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4C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4C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4C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4C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4CA5"/>
    <w:rPr>
      <w:i/>
      <w:iCs/>
      <w:color w:val="404040" w:themeColor="text1" w:themeTint="BF"/>
    </w:rPr>
  </w:style>
  <w:style w:type="paragraph" w:styleId="Lijstalinea">
    <w:name w:val="List Paragraph"/>
    <w:basedOn w:val="Standaard"/>
    <w:uiPriority w:val="34"/>
    <w:qFormat/>
    <w:rsid w:val="00764CA5"/>
    <w:pPr>
      <w:ind w:left="720"/>
      <w:contextualSpacing/>
    </w:pPr>
  </w:style>
  <w:style w:type="character" w:styleId="Intensievebenadrukking">
    <w:name w:val="Intense Emphasis"/>
    <w:basedOn w:val="Standaardalinea-lettertype"/>
    <w:uiPriority w:val="21"/>
    <w:qFormat/>
    <w:rsid w:val="00764CA5"/>
    <w:rPr>
      <w:i/>
      <w:iCs/>
      <w:color w:val="0F4761" w:themeColor="accent1" w:themeShade="BF"/>
    </w:rPr>
  </w:style>
  <w:style w:type="paragraph" w:styleId="Duidelijkcitaat">
    <w:name w:val="Intense Quote"/>
    <w:basedOn w:val="Standaard"/>
    <w:next w:val="Standaard"/>
    <w:link w:val="DuidelijkcitaatChar"/>
    <w:uiPriority w:val="30"/>
    <w:qFormat/>
    <w:rsid w:val="00764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4CA5"/>
    <w:rPr>
      <w:i/>
      <w:iCs/>
      <w:color w:val="0F4761" w:themeColor="accent1" w:themeShade="BF"/>
    </w:rPr>
  </w:style>
  <w:style w:type="character" w:styleId="Intensieveverwijzing">
    <w:name w:val="Intense Reference"/>
    <w:basedOn w:val="Standaardalinea-lettertype"/>
    <w:uiPriority w:val="32"/>
    <w:qFormat/>
    <w:rsid w:val="00764CA5"/>
    <w:rPr>
      <w:b/>
      <w:bCs/>
      <w:smallCaps/>
      <w:color w:val="0F4761" w:themeColor="accent1" w:themeShade="BF"/>
      <w:spacing w:val="5"/>
    </w:rPr>
  </w:style>
  <w:style w:type="table" w:styleId="Tabelraster">
    <w:name w:val="Table Grid"/>
    <w:basedOn w:val="Standaardtabel"/>
    <w:uiPriority w:val="39"/>
    <w:rsid w:val="00764CA5"/>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764CA5"/>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64CA5"/>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64CA5"/>
    <w:rPr>
      <w:vertAlign w:val="superscript"/>
    </w:rPr>
  </w:style>
  <w:style w:type="paragraph" w:styleId="Koptekst">
    <w:name w:val="header"/>
    <w:basedOn w:val="Standaard"/>
    <w:link w:val="KoptekstChar"/>
    <w:uiPriority w:val="99"/>
    <w:unhideWhenUsed/>
    <w:rsid w:val="00764C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4CA5"/>
  </w:style>
  <w:style w:type="paragraph" w:styleId="Voettekst">
    <w:name w:val="footer"/>
    <w:basedOn w:val="Standaard"/>
    <w:link w:val="VoettekstChar"/>
    <w:uiPriority w:val="99"/>
    <w:unhideWhenUsed/>
    <w:rsid w:val="00764C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4CA5"/>
  </w:style>
  <w:style w:type="paragraph" w:styleId="Geenafstand">
    <w:name w:val="No Spacing"/>
    <w:uiPriority w:val="1"/>
    <w:qFormat/>
    <w:rsid w:val="00CE3749"/>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1911</ap:Words>
  <ap:Characters>10512</ap:Characters>
  <ap:DocSecurity>0</ap:DocSecurity>
  <ap:Lines>87</ap:Lines>
  <ap:Paragraphs>24</ap:Paragraphs>
  <ap:ScaleCrop>false</ap:ScaleCrop>
  <ap:LinksUpToDate>false</ap:LinksUpToDate>
  <ap:CharactersWithSpaces>12399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2025-09-23T14:53:00.0000000Z</dcterms:created>
  <dcterms:modified xsi:type="dcterms:W3CDTF">2025-09-23T14:53:00.0000000Z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