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19" w:rsidRDefault="0062085C" w14:paraId="55C6FF7A" w14:textId="77777777">
      <w:r>
        <w:t>Geachte heer Bosma,</w:t>
      </w:r>
    </w:p>
    <w:p w:rsidR="0062085C" w:rsidRDefault="0062085C" w14:paraId="4E43C921" w14:textId="77777777"/>
    <w:p w:rsidR="007966A7" w:rsidRDefault="007966A7" w14:paraId="1987E0B7" w14:textId="1D8052F8">
      <w:r w:rsidRPr="00CC25AC">
        <w:rPr>
          <w:color w:val="auto"/>
        </w:rPr>
        <w:t xml:space="preserve">Het budgetrecht is één van de belangrijkste parlementaire rechten. Het </w:t>
      </w:r>
      <w:r w:rsidR="00525627">
        <w:rPr>
          <w:color w:val="auto"/>
        </w:rPr>
        <w:t>begint</w:t>
      </w:r>
      <w:r w:rsidR="00BB2E20">
        <w:rPr>
          <w:color w:val="auto"/>
        </w:rPr>
        <w:t xml:space="preserve"> </w:t>
      </w:r>
      <w:r w:rsidR="00525627">
        <w:rPr>
          <w:color w:val="auto"/>
        </w:rPr>
        <w:t xml:space="preserve">met het </w:t>
      </w:r>
      <w:r w:rsidR="00481522">
        <w:rPr>
          <w:color w:val="auto"/>
        </w:rPr>
        <w:t xml:space="preserve">vooraf </w:t>
      </w:r>
      <w:r w:rsidR="00525627">
        <w:rPr>
          <w:color w:val="auto"/>
        </w:rPr>
        <w:t>goedkeuren van</w:t>
      </w:r>
      <w:r w:rsidRPr="00CC25AC">
        <w:rPr>
          <w:color w:val="auto"/>
        </w:rPr>
        <w:t xml:space="preserve"> begrotingswetsvoorstellen door het parlement. </w:t>
      </w:r>
    </w:p>
    <w:p w:rsidR="001C4D87" w:rsidRDefault="00A345D3" w14:paraId="0CC48B46" w14:textId="681EEB48">
      <w:r>
        <w:t xml:space="preserve">Ieder jaar stuurt de Algemene Rekenkamer </w:t>
      </w:r>
      <w:r w:rsidR="00481522">
        <w:t>de</w:t>
      </w:r>
      <w:r>
        <w:t xml:space="preserve"> </w:t>
      </w:r>
      <w:r w:rsidR="00095D68">
        <w:t xml:space="preserve">Tweede </w:t>
      </w:r>
      <w:r>
        <w:t xml:space="preserve">Kamer </w:t>
      </w:r>
      <w:r w:rsidR="0096258C">
        <w:t xml:space="preserve">daarom </w:t>
      </w:r>
      <w:r>
        <w:t>aandachtspunten bij de ontwerpbegrotingen van de ministeries</w:t>
      </w:r>
      <w:r w:rsidR="003C7FB0">
        <w:t xml:space="preserve"> ten behoeve van de begrotingsbehandeling</w:t>
      </w:r>
      <w:r>
        <w:t xml:space="preserve">. </w:t>
      </w:r>
    </w:p>
    <w:p w:rsidR="00A36687" w:rsidRDefault="00A345D3" w14:paraId="0AC48EEE" w14:textId="77777777">
      <w:pPr>
        <w:rPr>
          <w:color w:val="auto"/>
        </w:rPr>
      </w:pPr>
      <w:r>
        <w:t>Deze brief gaat in op de ontwerpbegroting 202</w:t>
      </w:r>
      <w:r w:rsidR="008931B6">
        <w:t>6</w:t>
      </w:r>
      <w:r>
        <w:t xml:space="preserve"> </w:t>
      </w:r>
      <w:r w:rsidRPr="00C464B7">
        <w:t>begrotingshoofdstuk</w:t>
      </w:r>
      <w:r>
        <w:t xml:space="preserve"> </w:t>
      </w:r>
      <w:r w:rsidR="009F4EA2">
        <w:t>XVI,</w:t>
      </w:r>
      <w:r>
        <w:t xml:space="preserve"> het </w:t>
      </w:r>
      <w:r w:rsidR="00095D68">
        <w:t xml:space="preserve">ministerie </w:t>
      </w:r>
      <w:r>
        <w:t xml:space="preserve">van </w:t>
      </w:r>
      <w:r w:rsidRPr="009F4EA2" w:rsidR="009F4EA2">
        <w:t>Volksgezondheid</w:t>
      </w:r>
      <w:r w:rsidR="009F4EA2">
        <w:t>,</w:t>
      </w:r>
      <w:r w:rsidRPr="009F4EA2" w:rsidR="009F4EA2">
        <w:t xml:space="preserve"> Welzijn en Sport</w:t>
      </w:r>
      <w:r w:rsidR="0096258C">
        <w:t>.</w:t>
      </w:r>
      <w:r w:rsidR="00A36687">
        <w:rPr>
          <w:color w:val="auto"/>
        </w:rPr>
        <w:t xml:space="preserve"> </w:t>
      </w:r>
    </w:p>
    <w:p w:rsidRPr="00444183" w:rsidR="006317F4" w:rsidP="00E4686E" w:rsidRDefault="006317F4" w14:paraId="3AE85ABA" w14:textId="3F9541E4">
      <w:pPr>
        <w:tabs>
          <w:tab w:val="left" w:pos="7095"/>
        </w:tabs>
        <w:rPr>
          <w:color w:val="auto"/>
        </w:rPr>
      </w:pPr>
      <w:r w:rsidRPr="00444183">
        <w:rPr>
          <w:color w:val="auto"/>
        </w:rPr>
        <w:t>De onderwerpen in deze begrotingsbrief zijn:</w:t>
      </w:r>
      <w:r w:rsidR="00E4686E">
        <w:rPr>
          <w:color w:val="auto"/>
        </w:rPr>
        <w:tab/>
      </w:r>
    </w:p>
    <w:p w:rsidR="0025247F" w:rsidP="007B25E4" w:rsidRDefault="007B25E4" w14:paraId="7EED7200" w14:textId="77777777">
      <w:pPr>
        <w:pStyle w:val="Lijstalinea"/>
        <w:numPr>
          <w:ilvl w:val="0"/>
          <w:numId w:val="14"/>
        </w:numPr>
      </w:pPr>
      <w:r>
        <w:t>Geld</w:t>
      </w:r>
    </w:p>
    <w:p w:rsidR="007B25E4" w:rsidP="007B25E4" w:rsidRDefault="007B25E4" w14:paraId="763B616F" w14:textId="77777777">
      <w:pPr>
        <w:pStyle w:val="Lijstalinea"/>
        <w:numPr>
          <w:ilvl w:val="0"/>
          <w:numId w:val="14"/>
        </w:numPr>
      </w:pPr>
      <w:r>
        <w:t xml:space="preserve">Sturen op </w:t>
      </w:r>
      <w:r w:rsidR="00203186">
        <w:t>r</w:t>
      </w:r>
      <w:r>
        <w:t>esultaten</w:t>
      </w:r>
    </w:p>
    <w:p w:rsidR="007B25E4" w:rsidP="007B25E4" w:rsidRDefault="007B25E4" w14:paraId="5F15CDD8" w14:textId="77777777">
      <w:pPr>
        <w:pStyle w:val="Lijstalinea"/>
        <w:numPr>
          <w:ilvl w:val="0"/>
          <w:numId w:val="14"/>
        </w:numPr>
      </w:pPr>
      <w:r>
        <w:t>Risico’s en beheer</w:t>
      </w:r>
    </w:p>
    <w:p w:rsidR="007B3708" w:rsidP="007904F3" w:rsidRDefault="007B3708" w14:paraId="6286AE4F" w14:textId="77777777">
      <w:pPr>
        <w:rPr>
          <w:highlight w:val="yellow"/>
        </w:rPr>
      </w:pPr>
    </w:p>
    <w:p w:rsidR="00D25E62" w:rsidP="007904F3" w:rsidRDefault="00D25E62" w14:paraId="63D9FA8B" w14:textId="540D6BC6">
      <w:pPr>
        <w:rPr>
          <w:highlight w:val="yellow"/>
        </w:rPr>
      </w:pPr>
      <w:r>
        <w:t>Wij verwachten dat de minister de Kamer op inzichtelijke wijze informeert over deze onderwerpen.</w:t>
      </w:r>
      <w:r w:rsidRPr="00E92C38">
        <w:rPr>
          <w:highlight w:val="yellow"/>
        </w:rPr>
        <w:t xml:space="preserve"> </w:t>
      </w:r>
    </w:p>
    <w:p w:rsidR="007B25E4" w:rsidRDefault="007B25E4" w14:paraId="5184E208" w14:textId="77777777"/>
    <w:p w:rsidR="006F4ED2" w:rsidP="00535528" w:rsidRDefault="007B25E4" w14:paraId="71E0326E" w14:textId="77777777">
      <w:pPr>
        <w:pStyle w:val="Kop1"/>
        <w:numPr>
          <w:ilvl w:val="0"/>
          <w:numId w:val="16"/>
        </w:numPr>
        <w:spacing w:after="120"/>
        <w:ind w:left="357" w:hanging="357"/>
      </w:pPr>
      <w:r>
        <w:t>Geld</w:t>
      </w:r>
    </w:p>
    <w:p w:rsidR="009B4B69" w:rsidP="009C1DE2" w:rsidRDefault="009C1DE2" w14:paraId="40FBAAE2" w14:textId="2DE86ED3">
      <w:r>
        <w:t xml:space="preserve">De ontwerpbegrotingen moeten de Kamer inzicht bieden in de beleidsvoornemens </w:t>
      </w:r>
      <w:r w:rsidR="00EF2C14">
        <w:t xml:space="preserve">van het kabinet </w:t>
      </w:r>
      <w:r>
        <w:t>en de daarmee gemoeide uitgaven</w:t>
      </w:r>
      <w:r w:rsidR="0036776F">
        <w:t xml:space="preserve"> en ontvangsten</w:t>
      </w:r>
      <w:r w:rsidR="001C4D87">
        <w:t xml:space="preserve">. </w:t>
      </w:r>
    </w:p>
    <w:p w:rsidR="001C210E" w:rsidP="0072522F" w:rsidRDefault="001C210E" w14:paraId="11D782EF" w14:textId="77777777"/>
    <w:p w:rsidR="00341C7B" w:rsidP="00341C7B" w:rsidRDefault="00D578F8" w14:paraId="5861CD90" w14:textId="057CF193">
      <w:r>
        <w:t>De begrotings</w:t>
      </w:r>
      <w:r w:rsidRPr="00650A3C" w:rsidR="00341C7B">
        <w:t xml:space="preserve">uitgaven voor 2026 zijn </w:t>
      </w:r>
      <w:r w:rsidRPr="00650A3C" w:rsidR="006644C2">
        <w:t>€ 39,</w:t>
      </w:r>
      <w:r w:rsidR="00B86621">
        <w:t>8</w:t>
      </w:r>
      <w:r w:rsidRPr="00650A3C" w:rsidR="00341C7B">
        <w:t xml:space="preserve"> miljard. In de begroting 2025 was de stand</w:t>
      </w:r>
      <w:r w:rsidRPr="00650A3C" w:rsidR="00CA05FC">
        <w:t xml:space="preserve"> </w:t>
      </w:r>
      <w:r w:rsidRPr="003B344C" w:rsidR="00CA05FC">
        <w:t>€ 38,</w:t>
      </w:r>
      <w:r w:rsidR="00953651">
        <w:t>5</w:t>
      </w:r>
      <w:r w:rsidRPr="003B344C" w:rsidR="00CA05FC">
        <w:t xml:space="preserve"> </w:t>
      </w:r>
      <w:r w:rsidRPr="003B344C" w:rsidR="00341C7B">
        <w:t>miljard</w:t>
      </w:r>
      <w:r w:rsidRPr="00650A3C" w:rsidR="00341C7B">
        <w:t xml:space="preserve">. Het verschil bedraagt dus </w:t>
      </w:r>
      <w:r w:rsidRPr="003B344C" w:rsidR="00341C7B">
        <w:t xml:space="preserve">+ </w:t>
      </w:r>
      <w:r w:rsidRPr="003B344C" w:rsidR="00CA05FC">
        <w:t xml:space="preserve">€ </w:t>
      </w:r>
      <w:r w:rsidR="00953651">
        <w:t>1</w:t>
      </w:r>
      <w:r w:rsidRPr="003B344C" w:rsidR="00CA05FC">
        <w:t>,</w:t>
      </w:r>
      <w:r w:rsidR="00953651">
        <w:t>3</w:t>
      </w:r>
      <w:r w:rsidRPr="003B344C" w:rsidR="00CA05FC">
        <w:t xml:space="preserve"> </w:t>
      </w:r>
      <w:r w:rsidRPr="003B344C" w:rsidR="00341C7B">
        <w:t>miljard</w:t>
      </w:r>
      <w:r w:rsidRPr="00650A3C" w:rsidR="00341C7B">
        <w:t>. Hieronder lichten we een aantal grote mutaties uit en geven aan welke toelichting de minister daarbij geeft in zijn</w:t>
      </w:r>
      <w:r w:rsidR="00341C7B">
        <w:t xml:space="preserve"> begroting. </w:t>
      </w:r>
    </w:p>
    <w:p w:rsidR="007C3343" w:rsidP="0072522F" w:rsidRDefault="007C3343" w14:paraId="497FF917" w14:textId="77777777">
      <w:pPr>
        <w:rPr>
          <w:b/>
        </w:rPr>
      </w:pPr>
    </w:p>
    <w:p w:rsidRPr="00DF691E" w:rsidR="000D2518" w:rsidP="0072522F" w:rsidRDefault="000D2518" w14:paraId="600F7DA3" w14:textId="035E08B0">
      <w:pPr>
        <w:rPr>
          <w:b/>
        </w:rPr>
      </w:pPr>
      <w:r w:rsidRPr="00DF691E">
        <w:rPr>
          <w:b/>
        </w:rPr>
        <w:lastRenderedPageBreak/>
        <w:t>Tabel 1</w:t>
      </w:r>
      <w:r w:rsidRPr="00DF691E" w:rsidR="00DF691E">
        <w:rPr>
          <w:b/>
        </w:rPr>
        <w:t xml:space="preserve">: </w:t>
      </w:r>
      <w:r w:rsidRPr="00DF691E">
        <w:rPr>
          <w:b/>
        </w:rPr>
        <w:t>Grote mutaties ontwerpbegroting 2026 ten opzichte van begroting 2025</w:t>
      </w:r>
      <w:r w:rsidR="00F0536A">
        <w:rPr>
          <w:b/>
        </w:rPr>
        <w:t xml:space="preserve"> </w:t>
      </w:r>
    </w:p>
    <w:tbl>
      <w:tblPr>
        <w:tblStyle w:val="Tabelraster"/>
        <w:tblW w:w="5361" w:type="pct"/>
        <w:tblLayout w:type="fixed"/>
        <w:tblLook w:val="04A0" w:firstRow="1" w:lastRow="0" w:firstColumn="1" w:lastColumn="0" w:noHBand="0" w:noVBand="1"/>
      </w:tblPr>
      <w:tblGrid>
        <w:gridCol w:w="965"/>
        <w:gridCol w:w="4701"/>
        <w:gridCol w:w="1418"/>
        <w:gridCol w:w="1416"/>
      </w:tblGrid>
      <w:tr w:rsidRPr="00477BD7" w:rsidR="0098783A" w:rsidTr="003C600C" w14:paraId="71812412" w14:textId="77777777">
        <w:tc>
          <w:tcPr>
            <w:tcW w:w="568" w:type="pct"/>
            <w:shd w:val="clear" w:color="auto" w:fill="DEEAF6" w:themeFill="accent1" w:themeFillTint="33"/>
          </w:tcPr>
          <w:p w:rsidRPr="00477BD7" w:rsidR="0098783A" w:rsidP="00477BD7" w:rsidRDefault="0098783A" w14:paraId="222231E5" w14:textId="77777777">
            <w:pPr>
              <w:spacing w:line="240" w:lineRule="auto"/>
              <w:rPr>
                <w:b/>
                <w:sz w:val="18"/>
                <w:szCs w:val="18"/>
              </w:rPr>
            </w:pPr>
            <w:r w:rsidRPr="00477BD7">
              <w:rPr>
                <w:b/>
                <w:sz w:val="18"/>
                <w:szCs w:val="18"/>
              </w:rPr>
              <w:t xml:space="preserve">Artikel </w:t>
            </w:r>
          </w:p>
        </w:tc>
        <w:tc>
          <w:tcPr>
            <w:tcW w:w="2765" w:type="pct"/>
            <w:shd w:val="clear" w:color="auto" w:fill="DEEAF6" w:themeFill="accent1" w:themeFillTint="33"/>
          </w:tcPr>
          <w:p w:rsidRPr="00477BD7" w:rsidR="0098783A" w:rsidP="00477BD7" w:rsidRDefault="0098783A" w14:paraId="14E0D352" w14:textId="77777777">
            <w:pPr>
              <w:spacing w:line="240" w:lineRule="auto"/>
              <w:rPr>
                <w:b/>
                <w:sz w:val="18"/>
                <w:szCs w:val="18"/>
              </w:rPr>
            </w:pPr>
            <w:r w:rsidRPr="00477BD7">
              <w:rPr>
                <w:b/>
                <w:sz w:val="18"/>
                <w:szCs w:val="18"/>
              </w:rPr>
              <w:t>Maatregel</w:t>
            </w:r>
          </w:p>
        </w:tc>
        <w:tc>
          <w:tcPr>
            <w:tcW w:w="834" w:type="pct"/>
            <w:shd w:val="clear" w:color="auto" w:fill="DEEAF6" w:themeFill="accent1" w:themeFillTint="33"/>
          </w:tcPr>
          <w:p w:rsidRPr="00477BD7" w:rsidR="0098783A" w:rsidP="00477BD7" w:rsidRDefault="0098783A" w14:paraId="10179BF3" w14:textId="77777777">
            <w:pPr>
              <w:spacing w:line="240" w:lineRule="auto"/>
              <w:rPr>
                <w:b/>
                <w:sz w:val="18"/>
                <w:szCs w:val="18"/>
              </w:rPr>
            </w:pPr>
            <w:r w:rsidRPr="00477BD7">
              <w:rPr>
                <w:b/>
                <w:sz w:val="18"/>
                <w:szCs w:val="18"/>
              </w:rPr>
              <w:t xml:space="preserve">Mutatie </w:t>
            </w:r>
          </w:p>
          <w:p w:rsidRPr="00477BD7" w:rsidR="0098783A" w:rsidP="00341C7B" w:rsidRDefault="0098783A" w14:paraId="74C684BA" w14:textId="18E1B504">
            <w:pPr>
              <w:spacing w:line="240" w:lineRule="auto"/>
              <w:rPr>
                <w:b/>
                <w:sz w:val="18"/>
                <w:szCs w:val="18"/>
              </w:rPr>
            </w:pPr>
            <w:r w:rsidRPr="00477BD7">
              <w:rPr>
                <w:b/>
                <w:sz w:val="18"/>
                <w:szCs w:val="18"/>
              </w:rPr>
              <w:t xml:space="preserve">(x </w:t>
            </w:r>
            <w:r>
              <w:rPr>
                <w:b/>
                <w:sz w:val="18"/>
                <w:szCs w:val="18"/>
              </w:rPr>
              <w:t>miljoen</w:t>
            </w:r>
            <w:r w:rsidRPr="00477BD7">
              <w:rPr>
                <w:b/>
                <w:sz w:val="18"/>
                <w:szCs w:val="18"/>
              </w:rPr>
              <w:t xml:space="preserve"> euro)</w:t>
            </w:r>
          </w:p>
        </w:tc>
        <w:tc>
          <w:tcPr>
            <w:tcW w:w="834" w:type="pct"/>
            <w:tcBorders>
              <w:bottom w:val="single" w:color="auto" w:sz="4" w:space="0"/>
            </w:tcBorders>
            <w:shd w:val="clear" w:color="auto" w:fill="DEEAF6" w:themeFill="accent1" w:themeFillTint="33"/>
          </w:tcPr>
          <w:p w:rsidRPr="00477BD7" w:rsidR="0098783A" w:rsidP="00477BD7" w:rsidRDefault="0098783A" w14:paraId="7EDED066" w14:textId="147ED24C">
            <w:pPr>
              <w:spacing w:line="240" w:lineRule="auto"/>
              <w:rPr>
                <w:b/>
                <w:sz w:val="18"/>
                <w:szCs w:val="18"/>
              </w:rPr>
            </w:pPr>
            <w:r w:rsidRPr="00477BD7">
              <w:rPr>
                <w:b/>
                <w:sz w:val="18"/>
                <w:szCs w:val="18"/>
              </w:rPr>
              <w:t xml:space="preserve">% mutatie </w:t>
            </w:r>
            <w:r w:rsidRPr="00477BD7" w:rsidR="00635A6A">
              <w:rPr>
                <w:b/>
                <w:sz w:val="18"/>
                <w:szCs w:val="18"/>
              </w:rPr>
              <w:t>t.o.v.</w:t>
            </w:r>
            <w:r w:rsidRPr="00477BD7">
              <w:rPr>
                <w:b/>
                <w:sz w:val="18"/>
                <w:szCs w:val="18"/>
              </w:rPr>
              <w:t xml:space="preserve"> beleidsartikel</w:t>
            </w:r>
          </w:p>
        </w:tc>
      </w:tr>
      <w:tr w:rsidRPr="00511912" w:rsidR="0098783A" w:rsidTr="003C600C" w14:paraId="69457B38" w14:textId="77777777">
        <w:tc>
          <w:tcPr>
            <w:tcW w:w="568" w:type="pct"/>
          </w:tcPr>
          <w:p w:rsidRPr="008848AD" w:rsidR="0098783A" w:rsidP="00477BD7" w:rsidRDefault="00953651" w14:paraId="0251A900" w14:textId="15312866">
            <w:pPr>
              <w:spacing w:line="240" w:lineRule="auto"/>
              <w:rPr>
                <w:b/>
                <w:sz w:val="18"/>
                <w:szCs w:val="18"/>
              </w:rPr>
            </w:pPr>
            <w:r>
              <w:rPr>
                <w:b/>
                <w:sz w:val="18"/>
                <w:szCs w:val="18"/>
              </w:rPr>
              <w:t>11</w:t>
            </w:r>
          </w:p>
        </w:tc>
        <w:tc>
          <w:tcPr>
            <w:tcW w:w="2765" w:type="pct"/>
          </w:tcPr>
          <w:p w:rsidRPr="00511912" w:rsidR="0098783A" w:rsidP="0073741E" w:rsidRDefault="0098783A" w14:paraId="11CD0C31" w14:textId="1F354500">
            <w:pPr>
              <w:spacing w:line="240" w:lineRule="auto"/>
              <w:rPr>
                <w:sz w:val="18"/>
                <w:szCs w:val="18"/>
              </w:rPr>
            </w:pPr>
            <w:r w:rsidRPr="00511912">
              <w:rPr>
                <w:sz w:val="18"/>
                <w:szCs w:val="18"/>
              </w:rPr>
              <w:t>Uitstel vervanging abonnementstarief Wmo</w:t>
            </w:r>
          </w:p>
        </w:tc>
        <w:tc>
          <w:tcPr>
            <w:tcW w:w="834" w:type="pct"/>
          </w:tcPr>
          <w:p w:rsidRPr="00511912" w:rsidR="0098783A" w:rsidP="00341C7B" w:rsidRDefault="004C58A7" w14:paraId="02596735" w14:textId="64FEBC44">
            <w:pPr>
              <w:spacing w:line="240" w:lineRule="auto"/>
              <w:rPr>
                <w:sz w:val="18"/>
                <w:szCs w:val="18"/>
              </w:rPr>
            </w:pPr>
            <w:r>
              <w:rPr>
                <w:sz w:val="18"/>
                <w:szCs w:val="18"/>
              </w:rPr>
              <w:t>-</w:t>
            </w:r>
            <w:r w:rsidR="0098783A">
              <w:rPr>
                <w:sz w:val="18"/>
                <w:szCs w:val="18"/>
              </w:rPr>
              <w:t>225</w:t>
            </w:r>
          </w:p>
        </w:tc>
        <w:tc>
          <w:tcPr>
            <w:tcW w:w="834" w:type="pct"/>
          </w:tcPr>
          <w:p w:rsidRPr="00511912" w:rsidR="0098783A" w:rsidP="00477BD7" w:rsidRDefault="0098783A" w14:paraId="3AD91799" w14:textId="3A467EDB">
            <w:pPr>
              <w:spacing w:line="240" w:lineRule="auto"/>
              <w:rPr>
                <w:sz w:val="18"/>
                <w:szCs w:val="18"/>
              </w:rPr>
            </w:pPr>
          </w:p>
        </w:tc>
      </w:tr>
      <w:tr w:rsidRPr="00477BD7" w:rsidR="00DC1E5E" w:rsidTr="003C600C" w14:paraId="4AD32138" w14:textId="77777777">
        <w:tc>
          <w:tcPr>
            <w:tcW w:w="568" w:type="pct"/>
          </w:tcPr>
          <w:p w:rsidRPr="00477BD7" w:rsidR="00DC1E5E" w:rsidP="00DC1E5E" w:rsidRDefault="00DC1E5E" w14:paraId="2994FFD7" w14:textId="2D5AA53B">
            <w:pPr>
              <w:spacing w:line="240" w:lineRule="auto"/>
              <w:rPr>
                <w:b/>
                <w:sz w:val="18"/>
                <w:szCs w:val="18"/>
              </w:rPr>
            </w:pPr>
            <w:r>
              <w:rPr>
                <w:b/>
                <w:sz w:val="18"/>
                <w:szCs w:val="18"/>
              </w:rPr>
              <w:t>1</w:t>
            </w:r>
          </w:p>
        </w:tc>
        <w:tc>
          <w:tcPr>
            <w:tcW w:w="2765" w:type="pct"/>
          </w:tcPr>
          <w:p w:rsidRPr="00511912" w:rsidR="00DC1E5E" w:rsidP="00DC1E5E" w:rsidRDefault="00DC1E5E" w14:paraId="5427B58B" w14:textId="45631F7D">
            <w:pPr>
              <w:spacing w:line="240" w:lineRule="auto"/>
              <w:rPr>
                <w:sz w:val="18"/>
                <w:szCs w:val="18"/>
              </w:rPr>
            </w:pPr>
            <w:r w:rsidRPr="00511912">
              <w:rPr>
                <w:sz w:val="18"/>
                <w:szCs w:val="18"/>
              </w:rPr>
              <w:t>COVID-19 vaccinatiecampagne 2026</w:t>
            </w:r>
          </w:p>
        </w:tc>
        <w:tc>
          <w:tcPr>
            <w:tcW w:w="834" w:type="pct"/>
          </w:tcPr>
          <w:p w:rsidRPr="00511912" w:rsidR="00DC1E5E" w:rsidP="00DC1E5E" w:rsidRDefault="00DC1E5E" w14:paraId="126C788E" w14:textId="62153038">
            <w:pPr>
              <w:spacing w:line="240" w:lineRule="auto"/>
              <w:rPr>
                <w:sz w:val="18"/>
                <w:szCs w:val="18"/>
              </w:rPr>
            </w:pPr>
            <w:r>
              <w:rPr>
                <w:sz w:val="18"/>
                <w:szCs w:val="18"/>
              </w:rPr>
              <w:t>140</w:t>
            </w:r>
          </w:p>
        </w:tc>
        <w:tc>
          <w:tcPr>
            <w:tcW w:w="834" w:type="pct"/>
            <w:tcBorders>
              <w:top w:val="single" w:color="auto" w:sz="4" w:space="0"/>
              <w:left w:val="nil"/>
              <w:bottom w:val="single" w:color="auto" w:sz="4" w:space="0"/>
              <w:right w:val="single" w:color="auto" w:sz="4" w:space="0"/>
            </w:tcBorders>
            <w:shd w:val="clear" w:color="auto" w:fill="auto"/>
            <w:vAlign w:val="center"/>
          </w:tcPr>
          <w:p w:rsidRPr="00511912" w:rsidR="00DC1E5E" w:rsidP="00DC1E5E" w:rsidRDefault="00DC1E5E" w14:paraId="66599801" w14:textId="59DFC76C">
            <w:pPr>
              <w:spacing w:line="240" w:lineRule="auto"/>
              <w:rPr>
                <w:sz w:val="18"/>
                <w:szCs w:val="18"/>
              </w:rPr>
            </w:pPr>
            <w:r>
              <w:rPr>
                <w:rFonts w:cs="Calibri"/>
                <w:sz w:val="18"/>
                <w:szCs w:val="18"/>
              </w:rPr>
              <w:t>7,64%</w:t>
            </w:r>
          </w:p>
        </w:tc>
      </w:tr>
      <w:tr w:rsidRPr="00477BD7" w:rsidR="00DC1E5E" w:rsidTr="003C600C" w14:paraId="1F7F44AB" w14:textId="77777777">
        <w:tc>
          <w:tcPr>
            <w:tcW w:w="568" w:type="pct"/>
          </w:tcPr>
          <w:p w:rsidRPr="00477BD7" w:rsidR="00DC1E5E" w:rsidP="00DC1E5E" w:rsidRDefault="008977E0" w14:paraId="43875ADE" w14:textId="2B8355F9">
            <w:pPr>
              <w:spacing w:line="240" w:lineRule="auto"/>
              <w:rPr>
                <w:b/>
                <w:sz w:val="18"/>
                <w:szCs w:val="18"/>
              </w:rPr>
            </w:pPr>
            <w:r>
              <w:rPr>
                <w:b/>
                <w:sz w:val="18"/>
                <w:szCs w:val="18"/>
              </w:rPr>
              <w:t>1,</w:t>
            </w:r>
            <w:r w:rsidR="00DC1E5E">
              <w:rPr>
                <w:b/>
                <w:sz w:val="18"/>
                <w:szCs w:val="18"/>
              </w:rPr>
              <w:t>2,</w:t>
            </w:r>
            <w:r>
              <w:rPr>
                <w:b/>
                <w:sz w:val="18"/>
                <w:szCs w:val="18"/>
              </w:rPr>
              <w:t>3,</w:t>
            </w:r>
            <w:r w:rsidR="00DC1E5E">
              <w:rPr>
                <w:b/>
                <w:sz w:val="18"/>
                <w:szCs w:val="18"/>
              </w:rPr>
              <w:t>4</w:t>
            </w:r>
          </w:p>
        </w:tc>
        <w:tc>
          <w:tcPr>
            <w:tcW w:w="2765" w:type="pct"/>
          </w:tcPr>
          <w:p w:rsidRPr="00511912" w:rsidR="00DC1E5E" w:rsidP="00DC1E5E" w:rsidRDefault="00DC1E5E" w14:paraId="3AB5BECE" w14:textId="36118F2F">
            <w:pPr>
              <w:spacing w:line="240" w:lineRule="auto"/>
              <w:rPr>
                <w:sz w:val="18"/>
                <w:szCs w:val="18"/>
              </w:rPr>
            </w:pPr>
            <w:r w:rsidRPr="0026509F">
              <w:rPr>
                <w:sz w:val="18"/>
                <w:szCs w:val="18"/>
              </w:rPr>
              <w:t>Aanvullend Zorg- en Welzijn Akkoord</w:t>
            </w:r>
          </w:p>
        </w:tc>
        <w:tc>
          <w:tcPr>
            <w:tcW w:w="834" w:type="pct"/>
          </w:tcPr>
          <w:p w:rsidRPr="00511912" w:rsidR="00DC1E5E" w:rsidP="00DC1E5E" w:rsidRDefault="00DC1E5E" w14:paraId="6965BB9A" w14:textId="69FD3549">
            <w:pPr>
              <w:spacing w:line="240" w:lineRule="auto"/>
              <w:rPr>
                <w:sz w:val="18"/>
                <w:szCs w:val="18"/>
              </w:rPr>
            </w:pPr>
            <w:r>
              <w:rPr>
                <w:sz w:val="18"/>
                <w:szCs w:val="18"/>
              </w:rPr>
              <w:t>125</w:t>
            </w:r>
          </w:p>
        </w:tc>
        <w:tc>
          <w:tcPr>
            <w:tcW w:w="834" w:type="pct"/>
            <w:tcBorders>
              <w:top w:val="single" w:color="auto" w:sz="4" w:space="0"/>
              <w:left w:val="nil"/>
              <w:bottom w:val="single" w:color="auto" w:sz="4" w:space="0"/>
              <w:right w:val="single" w:color="auto" w:sz="4" w:space="0"/>
            </w:tcBorders>
            <w:shd w:val="clear" w:color="auto" w:fill="auto"/>
            <w:vAlign w:val="center"/>
          </w:tcPr>
          <w:p w:rsidRPr="00511912" w:rsidR="00DC1E5E" w:rsidP="00DC1E5E" w:rsidRDefault="0057562D" w14:paraId="7EDAE9D1" w14:textId="65DC18A6">
            <w:pPr>
              <w:spacing w:line="240" w:lineRule="auto"/>
              <w:rPr>
                <w:sz w:val="18"/>
                <w:szCs w:val="18"/>
              </w:rPr>
            </w:pPr>
            <w:r>
              <w:rPr>
                <w:rFonts w:cs="Calibri"/>
                <w:sz w:val="18"/>
                <w:szCs w:val="18"/>
              </w:rPr>
              <w:t>2,54</w:t>
            </w:r>
            <w:r w:rsidR="00DC1E5E">
              <w:rPr>
                <w:rFonts w:cs="Calibri"/>
                <w:sz w:val="18"/>
                <w:szCs w:val="18"/>
              </w:rPr>
              <w:t>%</w:t>
            </w:r>
          </w:p>
        </w:tc>
      </w:tr>
      <w:tr w:rsidRPr="00477BD7" w:rsidR="0081275D" w:rsidTr="003C600C" w14:paraId="2578F34C" w14:textId="77777777">
        <w:tc>
          <w:tcPr>
            <w:tcW w:w="568" w:type="pct"/>
          </w:tcPr>
          <w:p w:rsidR="0081275D" w:rsidP="00D84ACC" w:rsidRDefault="0081275D" w14:paraId="487F489C" w14:textId="77777777">
            <w:pPr>
              <w:spacing w:line="240" w:lineRule="auto"/>
              <w:rPr>
                <w:b/>
                <w:sz w:val="18"/>
                <w:szCs w:val="18"/>
              </w:rPr>
            </w:pPr>
            <w:r>
              <w:rPr>
                <w:b/>
                <w:sz w:val="18"/>
                <w:szCs w:val="18"/>
              </w:rPr>
              <w:t>3</w:t>
            </w:r>
          </w:p>
        </w:tc>
        <w:tc>
          <w:tcPr>
            <w:tcW w:w="2765" w:type="pct"/>
          </w:tcPr>
          <w:p w:rsidRPr="0073741E" w:rsidR="0081275D" w:rsidP="00D84ACC" w:rsidRDefault="0081275D" w14:paraId="5611698E" w14:textId="77777777">
            <w:pPr>
              <w:spacing w:line="240" w:lineRule="auto"/>
              <w:rPr>
                <w:sz w:val="18"/>
                <w:szCs w:val="18"/>
                <w:lang w:val="en-GB"/>
              </w:rPr>
            </w:pPr>
            <w:r w:rsidRPr="00953651">
              <w:rPr>
                <w:sz w:val="18"/>
                <w:szCs w:val="18"/>
                <w:lang w:val="en-GB"/>
              </w:rPr>
              <w:t xml:space="preserve">Hoofdlijnenakkoord </w:t>
            </w:r>
            <w:r w:rsidRPr="003C600C">
              <w:rPr>
                <w:sz w:val="18"/>
                <w:szCs w:val="18"/>
              </w:rPr>
              <w:t>Ouderen</w:t>
            </w:r>
          </w:p>
        </w:tc>
        <w:tc>
          <w:tcPr>
            <w:tcW w:w="834" w:type="pct"/>
          </w:tcPr>
          <w:p w:rsidR="0081275D" w:rsidP="00D84ACC" w:rsidRDefault="0081275D" w14:paraId="750B411A" w14:textId="77777777">
            <w:pPr>
              <w:spacing w:line="240" w:lineRule="auto"/>
              <w:rPr>
                <w:sz w:val="18"/>
                <w:szCs w:val="18"/>
              </w:rPr>
            </w:pPr>
            <w:r>
              <w:rPr>
                <w:sz w:val="18"/>
                <w:szCs w:val="18"/>
              </w:rPr>
              <w:t>39</w:t>
            </w:r>
          </w:p>
        </w:tc>
        <w:tc>
          <w:tcPr>
            <w:tcW w:w="834" w:type="pct"/>
          </w:tcPr>
          <w:p w:rsidR="0081275D" w:rsidP="00D84ACC" w:rsidRDefault="0057562D" w14:paraId="4BCD7E74" w14:textId="77693DFA">
            <w:pPr>
              <w:spacing w:line="240" w:lineRule="auto"/>
              <w:rPr>
                <w:rFonts w:cs="Calibri"/>
                <w:sz w:val="18"/>
                <w:szCs w:val="18"/>
              </w:rPr>
            </w:pPr>
            <w:r>
              <w:rPr>
                <w:rFonts w:cs="Calibri"/>
                <w:sz w:val="18"/>
                <w:szCs w:val="18"/>
              </w:rPr>
              <w:t>4,46%</w:t>
            </w:r>
          </w:p>
        </w:tc>
      </w:tr>
      <w:tr w:rsidRPr="00477BD7" w:rsidR="0081275D" w:rsidTr="003C600C" w14:paraId="0A776238" w14:textId="77777777">
        <w:tc>
          <w:tcPr>
            <w:tcW w:w="568" w:type="pct"/>
          </w:tcPr>
          <w:p w:rsidRPr="00477BD7" w:rsidR="0081275D" w:rsidP="00D84ACC" w:rsidRDefault="0081275D" w14:paraId="52AA40A9" w14:textId="77777777">
            <w:pPr>
              <w:spacing w:line="240" w:lineRule="auto"/>
              <w:rPr>
                <w:b/>
                <w:sz w:val="18"/>
                <w:szCs w:val="18"/>
              </w:rPr>
            </w:pPr>
            <w:r>
              <w:rPr>
                <w:b/>
                <w:sz w:val="18"/>
                <w:szCs w:val="18"/>
              </w:rPr>
              <w:t>4</w:t>
            </w:r>
          </w:p>
        </w:tc>
        <w:tc>
          <w:tcPr>
            <w:tcW w:w="2765" w:type="pct"/>
          </w:tcPr>
          <w:p w:rsidRPr="0073741E" w:rsidR="0081275D" w:rsidP="00D84ACC" w:rsidRDefault="0081275D" w14:paraId="687F68F6" w14:textId="2F0518B1">
            <w:pPr>
              <w:spacing w:line="240" w:lineRule="auto"/>
              <w:rPr>
                <w:sz w:val="18"/>
                <w:szCs w:val="18"/>
                <w:lang w:val="en-GB"/>
              </w:rPr>
            </w:pPr>
            <w:r w:rsidRPr="0073741E">
              <w:rPr>
                <w:sz w:val="18"/>
                <w:szCs w:val="18"/>
                <w:lang w:val="en-GB"/>
              </w:rPr>
              <w:t>Digital United Training Concept for Healthcare (DUTCH</w:t>
            </w:r>
            <w:r w:rsidR="00A2307C">
              <w:rPr>
                <w:sz w:val="18"/>
                <w:szCs w:val="18"/>
                <w:lang w:val="en-GB"/>
              </w:rPr>
              <w:t>)</w:t>
            </w:r>
          </w:p>
        </w:tc>
        <w:tc>
          <w:tcPr>
            <w:tcW w:w="834" w:type="pct"/>
          </w:tcPr>
          <w:p w:rsidRPr="00511912" w:rsidR="0081275D" w:rsidP="00D84ACC" w:rsidRDefault="0081275D" w14:paraId="7AEA8FD6" w14:textId="77777777">
            <w:pPr>
              <w:spacing w:line="240" w:lineRule="auto"/>
              <w:rPr>
                <w:sz w:val="18"/>
                <w:szCs w:val="18"/>
              </w:rPr>
            </w:pPr>
            <w:r>
              <w:rPr>
                <w:sz w:val="18"/>
                <w:szCs w:val="18"/>
              </w:rPr>
              <w:t>29</w:t>
            </w:r>
          </w:p>
        </w:tc>
        <w:tc>
          <w:tcPr>
            <w:tcW w:w="834" w:type="pct"/>
          </w:tcPr>
          <w:p w:rsidRPr="00511912" w:rsidR="0081275D" w:rsidP="00D84ACC" w:rsidRDefault="0081275D" w14:paraId="139D0938" w14:textId="77777777">
            <w:pPr>
              <w:spacing w:line="240" w:lineRule="auto"/>
              <w:rPr>
                <w:sz w:val="18"/>
                <w:szCs w:val="18"/>
              </w:rPr>
            </w:pPr>
            <w:r>
              <w:rPr>
                <w:rFonts w:cs="Calibri"/>
                <w:sz w:val="18"/>
                <w:szCs w:val="18"/>
              </w:rPr>
              <w:t>2,12%</w:t>
            </w:r>
          </w:p>
        </w:tc>
      </w:tr>
      <w:tr w:rsidRPr="00477BD7" w:rsidR="00DC1E5E" w:rsidTr="003C600C" w14:paraId="4B1B85B3" w14:textId="77777777">
        <w:tc>
          <w:tcPr>
            <w:tcW w:w="568" w:type="pct"/>
          </w:tcPr>
          <w:p w:rsidRPr="00477BD7" w:rsidR="00DC1E5E" w:rsidP="00DC1E5E" w:rsidRDefault="00DC1E5E" w14:paraId="2976E4D6" w14:textId="77777777">
            <w:pPr>
              <w:spacing w:line="240" w:lineRule="auto"/>
              <w:rPr>
                <w:b/>
                <w:sz w:val="18"/>
                <w:szCs w:val="18"/>
              </w:rPr>
            </w:pPr>
            <w:r>
              <w:rPr>
                <w:b/>
                <w:sz w:val="18"/>
                <w:szCs w:val="18"/>
              </w:rPr>
              <w:t>10</w:t>
            </w:r>
          </w:p>
        </w:tc>
        <w:tc>
          <w:tcPr>
            <w:tcW w:w="2765" w:type="pct"/>
          </w:tcPr>
          <w:p w:rsidRPr="00511912" w:rsidR="00DC1E5E" w:rsidP="00DC1E5E" w:rsidRDefault="00DC1E5E" w14:paraId="5135BE3B" w14:textId="77777777">
            <w:pPr>
              <w:spacing w:line="240" w:lineRule="auto"/>
              <w:rPr>
                <w:sz w:val="18"/>
                <w:szCs w:val="18"/>
              </w:rPr>
            </w:pPr>
            <w:r w:rsidRPr="00511912">
              <w:rPr>
                <w:sz w:val="18"/>
                <w:szCs w:val="18"/>
              </w:rPr>
              <w:t>Nieuwe directie Open Overheid</w:t>
            </w:r>
          </w:p>
        </w:tc>
        <w:tc>
          <w:tcPr>
            <w:tcW w:w="834" w:type="pct"/>
          </w:tcPr>
          <w:p w:rsidRPr="00511912" w:rsidR="00DC1E5E" w:rsidP="00DC1E5E" w:rsidRDefault="00DC1E5E" w14:paraId="15CFCB22" w14:textId="77777777">
            <w:pPr>
              <w:spacing w:line="240" w:lineRule="auto"/>
              <w:rPr>
                <w:sz w:val="18"/>
                <w:szCs w:val="18"/>
              </w:rPr>
            </w:pPr>
            <w:r>
              <w:rPr>
                <w:sz w:val="18"/>
                <w:szCs w:val="18"/>
              </w:rPr>
              <w:t>18</w:t>
            </w:r>
          </w:p>
        </w:tc>
        <w:tc>
          <w:tcPr>
            <w:tcW w:w="834" w:type="pct"/>
            <w:tcBorders>
              <w:top w:val="single" w:color="auto" w:sz="4" w:space="0"/>
              <w:left w:val="nil"/>
              <w:bottom w:val="single" w:color="auto" w:sz="4" w:space="0"/>
              <w:right w:val="single" w:color="auto" w:sz="4" w:space="0"/>
            </w:tcBorders>
            <w:shd w:val="clear" w:color="auto" w:fill="auto"/>
            <w:vAlign w:val="center"/>
          </w:tcPr>
          <w:p w:rsidRPr="00511912" w:rsidR="00DC1E5E" w:rsidP="00DC1E5E" w:rsidRDefault="00DC1E5E" w14:paraId="5FB087D4" w14:textId="57BCB9A1">
            <w:pPr>
              <w:spacing w:line="240" w:lineRule="auto"/>
              <w:rPr>
                <w:sz w:val="18"/>
                <w:szCs w:val="18"/>
              </w:rPr>
            </w:pPr>
            <w:r>
              <w:rPr>
                <w:rFonts w:cs="Calibri"/>
                <w:sz w:val="18"/>
                <w:szCs w:val="18"/>
              </w:rPr>
              <w:t>3,62%</w:t>
            </w:r>
          </w:p>
        </w:tc>
      </w:tr>
    </w:tbl>
    <w:p w:rsidRPr="003C600C" w:rsidR="0081275D" w:rsidP="004575BD" w:rsidRDefault="0073741E" w14:paraId="55AC0FEA" w14:textId="77777777">
      <w:pPr>
        <w:pStyle w:val="Lijstalinea"/>
        <w:numPr>
          <w:ilvl w:val="0"/>
          <w:numId w:val="30"/>
        </w:numPr>
        <w:rPr>
          <w:b/>
        </w:rPr>
      </w:pPr>
      <w:r w:rsidRPr="004575BD">
        <w:rPr>
          <w:i/>
        </w:rPr>
        <w:t>Uitstel vervanging abonnementstarief Wmo</w:t>
      </w:r>
      <w:r w:rsidRPr="004575BD" w:rsidR="004575BD">
        <w:rPr>
          <w:i/>
        </w:rPr>
        <w:t>:</w:t>
      </w:r>
      <w:r w:rsidR="004575BD">
        <w:rPr>
          <w:b/>
        </w:rPr>
        <w:t xml:space="preserve"> </w:t>
      </w:r>
      <w:r w:rsidRPr="0073741E">
        <w:t xml:space="preserve">Deze middelen worden overgeheveld van </w:t>
      </w:r>
    </w:p>
    <w:p w:rsidRPr="004575BD" w:rsidR="0073741E" w:rsidP="003C600C" w:rsidRDefault="0073741E" w14:paraId="76BC239E" w14:textId="3F25035E">
      <w:pPr>
        <w:pStyle w:val="Lijstalinea"/>
        <w:ind w:left="360"/>
        <w:rPr>
          <w:b/>
        </w:rPr>
      </w:pPr>
      <w:r w:rsidRPr="0073741E">
        <w:t xml:space="preserve">de VWS-begroting aan het Gemeentefonds. De oorzaak hiervan is </w:t>
      </w:r>
      <w:r w:rsidR="003106F1">
        <w:t>het</w:t>
      </w:r>
      <w:r w:rsidRPr="0073741E" w:rsidR="003106F1">
        <w:t xml:space="preserve"> </w:t>
      </w:r>
      <w:r w:rsidRPr="0073741E">
        <w:t>uitstel van de invoering van de inkomens- en vermogensafhankelĳke eigen bĳdrage Wmo 2015.</w:t>
      </w:r>
    </w:p>
    <w:p w:rsidRPr="004575BD" w:rsidR="0073741E" w:rsidP="004575BD" w:rsidRDefault="0073741E" w14:paraId="07D3EFE2" w14:textId="514CA0EB">
      <w:pPr>
        <w:pStyle w:val="Lijstalinea"/>
        <w:numPr>
          <w:ilvl w:val="0"/>
          <w:numId w:val="30"/>
        </w:numPr>
        <w:rPr>
          <w:b/>
        </w:rPr>
      </w:pPr>
      <w:r w:rsidRPr="004575BD">
        <w:rPr>
          <w:i/>
        </w:rPr>
        <w:t>C</w:t>
      </w:r>
      <w:r w:rsidR="004575BD">
        <w:rPr>
          <w:i/>
        </w:rPr>
        <w:t>OVID-19 vaccinatie</w:t>
      </w:r>
      <w:r w:rsidRPr="004575BD">
        <w:rPr>
          <w:i/>
        </w:rPr>
        <w:t>campagne 2026</w:t>
      </w:r>
      <w:r w:rsidRPr="004575BD" w:rsidR="004575BD">
        <w:rPr>
          <w:i/>
        </w:rPr>
        <w:t>:</w:t>
      </w:r>
      <w:r w:rsidR="004575BD">
        <w:rPr>
          <w:b/>
        </w:rPr>
        <w:t xml:space="preserve"> </w:t>
      </w:r>
      <w:r w:rsidRPr="0073741E">
        <w:t xml:space="preserve">Voor 2026 worden er middelen vrijgemaakt om uitvoering mogelĳk te maken voor het COVID-19 vaccinatieprogramma. </w:t>
      </w:r>
    </w:p>
    <w:p w:rsidRPr="007C1ACC" w:rsidR="0073741E" w:rsidP="00E473FC" w:rsidRDefault="0073741E" w14:paraId="116E0C43" w14:textId="4A0080EF">
      <w:pPr>
        <w:pStyle w:val="Lijstalinea"/>
        <w:numPr>
          <w:ilvl w:val="0"/>
          <w:numId w:val="30"/>
        </w:numPr>
      </w:pPr>
      <w:r w:rsidRPr="004575BD">
        <w:rPr>
          <w:i/>
        </w:rPr>
        <w:t>Aanvullend Zorg- en Welzijn Akkoord</w:t>
      </w:r>
      <w:r w:rsidRPr="004575BD" w:rsidR="0098783A">
        <w:rPr>
          <w:i/>
        </w:rPr>
        <w:t xml:space="preserve"> (AZWA)</w:t>
      </w:r>
      <w:r w:rsidRPr="004575BD" w:rsidR="004575BD">
        <w:rPr>
          <w:i/>
        </w:rPr>
        <w:t>:</w:t>
      </w:r>
      <w:r w:rsidR="004575BD">
        <w:rPr>
          <w:b/>
        </w:rPr>
        <w:t xml:space="preserve"> </w:t>
      </w:r>
      <w:r w:rsidRPr="0098783A" w:rsidR="0098783A">
        <w:t xml:space="preserve">Met het AZWA wordt ingezet op de </w:t>
      </w:r>
      <w:r w:rsidRPr="0098783A" w:rsidR="008D4686">
        <w:t>toegankelijkheid</w:t>
      </w:r>
      <w:r w:rsidRPr="0098783A" w:rsidR="0098783A">
        <w:t xml:space="preserve"> van zorg en ondersteuning gelijkwaardiger te maken. On</w:t>
      </w:r>
      <w:r w:rsidR="00250CEE">
        <w:t>danks dat het AZWA officieel in</w:t>
      </w:r>
      <w:r w:rsidRPr="0098783A" w:rsidR="0098783A">
        <w:t xml:space="preserve">gaat in 2027 worden er in 2026 ook al enige middelen </w:t>
      </w:r>
      <w:r w:rsidRPr="007C1ACC" w:rsidR="0098783A">
        <w:t xml:space="preserve">uitgegeven ter voorbereiding van de uitvoering van het AZWA. </w:t>
      </w:r>
    </w:p>
    <w:p w:rsidRPr="007C1ACC" w:rsidR="0081275D" w:rsidP="00F52B90" w:rsidRDefault="0081275D" w14:paraId="041482CC" w14:textId="59F359FB">
      <w:pPr>
        <w:pStyle w:val="Lijstalinea"/>
        <w:numPr>
          <w:ilvl w:val="0"/>
          <w:numId w:val="30"/>
        </w:numPr>
        <w:rPr>
          <w:i/>
        </w:rPr>
      </w:pPr>
      <w:r w:rsidRPr="003C600C">
        <w:rPr>
          <w:i/>
        </w:rPr>
        <w:t>Hoofdlijnenakkoord Ouderen</w:t>
      </w:r>
      <w:r w:rsidRPr="003C600C" w:rsidR="00F52B90">
        <w:rPr>
          <w:i/>
        </w:rPr>
        <w:t xml:space="preserve">: </w:t>
      </w:r>
      <w:r w:rsidRPr="003C600C" w:rsidR="00F52B90">
        <w:t xml:space="preserve">In het HLO wordt ingezet op terugdringen van de arbeidsmarkttekorten en het </w:t>
      </w:r>
      <w:r w:rsidRPr="00FC4D3D" w:rsidR="00FC4D3D">
        <w:t>toegankelijk</w:t>
      </w:r>
      <w:r w:rsidRPr="003C600C" w:rsidR="00F52B90">
        <w:t xml:space="preserve"> houden van de ouderenzorg en daarvoor benodigde ondersteuning.</w:t>
      </w:r>
    </w:p>
    <w:p w:rsidRPr="0098783A" w:rsidR="0073741E" w:rsidP="00A06789" w:rsidRDefault="0098783A" w14:paraId="7554253B" w14:textId="146865C2">
      <w:pPr>
        <w:pStyle w:val="Lijstalinea"/>
        <w:numPr>
          <w:ilvl w:val="0"/>
          <w:numId w:val="30"/>
        </w:numPr>
      </w:pPr>
      <w:r w:rsidRPr="004575BD">
        <w:rPr>
          <w:i/>
        </w:rPr>
        <w:t>Digital United Training Concept for Healthcare (DUTCH)</w:t>
      </w:r>
      <w:r w:rsidRPr="004575BD" w:rsidR="004575BD">
        <w:rPr>
          <w:i/>
        </w:rPr>
        <w:t>:</w:t>
      </w:r>
      <w:r w:rsidRPr="004575BD" w:rsidR="004575BD">
        <w:rPr>
          <w:b/>
        </w:rPr>
        <w:t xml:space="preserve"> </w:t>
      </w:r>
      <w:r w:rsidRPr="0098783A">
        <w:t>D</w:t>
      </w:r>
      <w:r>
        <w:t>UTCH</w:t>
      </w:r>
      <w:r w:rsidRPr="0098783A">
        <w:t xml:space="preserve"> </w:t>
      </w:r>
      <w:r w:rsidRPr="0098783A" w:rsidR="0073741E">
        <w:t>is een Nationaal Groeifonds (NGF) programma dat werkt aan een nieuwe manier van opleiden en ontwikkelen van zorgprofessionals in de ziekenhuizen. Voor 2026 is een bedrag van €</w:t>
      </w:r>
      <w:r w:rsidR="008D4686">
        <w:t> </w:t>
      </w:r>
      <w:r w:rsidRPr="0098783A" w:rsidR="0073741E">
        <w:t>29 miljoen beschikbaar gesteld.</w:t>
      </w:r>
    </w:p>
    <w:p w:rsidRPr="00A866B7" w:rsidR="0081275D" w:rsidP="0081275D" w:rsidRDefault="0081275D" w14:paraId="56DC8C90" w14:textId="148AFE29">
      <w:pPr>
        <w:pStyle w:val="Lijstalinea"/>
        <w:numPr>
          <w:ilvl w:val="0"/>
          <w:numId w:val="30"/>
        </w:numPr>
      </w:pPr>
      <w:r w:rsidRPr="004575BD">
        <w:rPr>
          <w:i/>
        </w:rPr>
        <w:t>Nieuwe directie Open Overheid:</w:t>
      </w:r>
      <w:r w:rsidRPr="004575BD">
        <w:rPr>
          <w:b/>
        </w:rPr>
        <w:t xml:space="preserve"> </w:t>
      </w:r>
      <w:r w:rsidRPr="00A866B7">
        <w:t>Ter financiering van de nieuwe directie Open Overheid wordt structureel € 9 miljoen vr</w:t>
      </w:r>
      <w:r w:rsidRPr="00A866B7">
        <w:rPr>
          <w:rFonts w:hint="eastAsia"/>
        </w:rPr>
        <w:t>ĳ</w:t>
      </w:r>
      <w:r w:rsidRPr="00A866B7">
        <w:t>gemaakt.</w:t>
      </w:r>
      <w:r>
        <w:t xml:space="preserve"> </w:t>
      </w:r>
      <w:r w:rsidRPr="002C36FE">
        <w:t>In 2026 en 2027 zijn nog meer middelen benodigd vanwege de parlementaire enquête corona,</w:t>
      </w:r>
      <w:r w:rsidR="001141F7">
        <w:t xml:space="preserve"> o.a. afhandelen van verzoeken </w:t>
      </w:r>
      <w:r w:rsidR="00A2307C">
        <w:t>onder de WOO</w:t>
      </w:r>
      <w:r w:rsidRPr="002C36FE">
        <w:t xml:space="preserve"> en de werkzaamheden die nog voortvloeien uit de coronacrisis.</w:t>
      </w:r>
    </w:p>
    <w:p w:rsidR="0073741E" w:rsidP="005C1461" w:rsidRDefault="0073741E" w14:paraId="2AE56762" w14:textId="03598329">
      <w:pPr>
        <w:rPr>
          <w:b/>
        </w:rPr>
      </w:pPr>
    </w:p>
    <w:p w:rsidR="0027206F" w:rsidP="005C1461" w:rsidRDefault="009625BD" w14:paraId="3224B692" w14:textId="036C9F84">
      <w:pPr>
        <w:rPr>
          <w:iCs/>
        </w:rPr>
      </w:pPr>
      <w:r w:rsidRPr="004575BD">
        <w:rPr>
          <w:iCs/>
        </w:rPr>
        <w:t>De minister van VWS is behalve voor de besteding van het begrotingsgeld ook verantwoordelijk voor de premie</w:t>
      </w:r>
      <w:r w:rsidR="00184187">
        <w:rPr>
          <w:iCs/>
        </w:rPr>
        <w:t xml:space="preserve">gefinancierde zorguitgaven. </w:t>
      </w:r>
      <w:r w:rsidRPr="002F5344" w:rsidR="00184187">
        <w:rPr>
          <w:iCs/>
        </w:rPr>
        <w:t>De bruto premiegefinancierde</w:t>
      </w:r>
      <w:r w:rsidRPr="002F5344">
        <w:rPr>
          <w:iCs/>
        </w:rPr>
        <w:t xml:space="preserve"> uitgaven zijn voor 2026 geraamd op € </w:t>
      </w:r>
      <w:r w:rsidRPr="002F5344" w:rsidR="007A6044">
        <w:rPr>
          <w:iCs/>
        </w:rPr>
        <w:t>11</w:t>
      </w:r>
      <w:r w:rsidRPr="002F5344" w:rsidR="00184187">
        <w:rPr>
          <w:iCs/>
        </w:rPr>
        <w:t>3,6</w:t>
      </w:r>
      <w:r w:rsidRPr="002F5344" w:rsidR="007A6044">
        <w:rPr>
          <w:iCs/>
        </w:rPr>
        <w:t xml:space="preserve"> </w:t>
      </w:r>
      <w:r w:rsidRPr="002F5344">
        <w:rPr>
          <w:iCs/>
        </w:rPr>
        <w:t xml:space="preserve">miljard. </w:t>
      </w:r>
      <w:r w:rsidRPr="002F5344" w:rsidR="00184187">
        <w:rPr>
          <w:iCs/>
        </w:rPr>
        <w:t>Ten opzichte van de ontwerpbegroting 2025 (</w:t>
      </w:r>
      <w:r w:rsidRPr="002F5344" w:rsidR="00184187">
        <w:t>€ 108,4 miljard</w:t>
      </w:r>
      <w:r w:rsidRPr="002F5344" w:rsidR="00184187">
        <w:rPr>
          <w:iCs/>
        </w:rPr>
        <w:t>) zijn deze gestegen met</w:t>
      </w:r>
      <w:r w:rsidRPr="002F5344" w:rsidR="00184187">
        <w:t xml:space="preserve"> 4,8%.</w:t>
      </w:r>
      <w:r w:rsidR="00184187">
        <w:t xml:space="preserve"> </w:t>
      </w:r>
      <w:r w:rsidRPr="002C36FE" w:rsidR="00E06131">
        <w:rPr>
          <w:iCs/>
        </w:rPr>
        <w:t>De premiegefinancierde</w:t>
      </w:r>
      <w:r w:rsidR="00E06131">
        <w:rPr>
          <w:iCs/>
        </w:rPr>
        <w:t xml:space="preserve"> zorgu</w:t>
      </w:r>
      <w:r w:rsidRPr="00E06131" w:rsidR="00E06131">
        <w:rPr>
          <w:iCs/>
        </w:rPr>
        <w:t>itgaven vallen niet onder het formeel budgetrecht of dechargeverlening</w:t>
      </w:r>
      <w:r w:rsidR="00E06131">
        <w:rPr>
          <w:iCs/>
        </w:rPr>
        <w:t xml:space="preserve"> </w:t>
      </w:r>
      <w:r w:rsidRPr="00E06131" w:rsidR="00E06131">
        <w:rPr>
          <w:iCs/>
        </w:rPr>
        <w:t>van het parlement en zijn niet opgenomen in de rijksrekening</w:t>
      </w:r>
      <w:r w:rsidR="00E06131">
        <w:rPr>
          <w:iCs/>
        </w:rPr>
        <w:t xml:space="preserve">. </w:t>
      </w:r>
      <w:r w:rsidRPr="00517145" w:rsidR="00517145">
        <w:rPr>
          <w:iCs/>
        </w:rPr>
        <w:t>Het parlement kan invloed uitoefenen op uitgaven van de Zvw en de Wlz door als</w:t>
      </w:r>
      <w:r w:rsidR="00517145">
        <w:rPr>
          <w:iCs/>
        </w:rPr>
        <w:t xml:space="preserve"> </w:t>
      </w:r>
      <w:r w:rsidRPr="00517145" w:rsidR="00517145">
        <w:rPr>
          <w:iCs/>
        </w:rPr>
        <w:t>medewetgever de wet- en regelgeving aan te passen. Het gaat dan bijvoorbeeld over het</w:t>
      </w:r>
      <w:r w:rsidR="00517145">
        <w:rPr>
          <w:iCs/>
        </w:rPr>
        <w:t xml:space="preserve"> </w:t>
      </w:r>
      <w:r w:rsidRPr="00517145" w:rsidR="00517145">
        <w:rPr>
          <w:iCs/>
        </w:rPr>
        <w:t>aanpassen van de aanspraken op zorg om zo het verzekerde basispakket te wijzigen. Ook</w:t>
      </w:r>
      <w:r w:rsidR="00517145">
        <w:rPr>
          <w:iCs/>
        </w:rPr>
        <w:t xml:space="preserve"> </w:t>
      </w:r>
      <w:r w:rsidRPr="00517145" w:rsidR="00517145">
        <w:rPr>
          <w:iCs/>
        </w:rPr>
        <w:lastRenderedPageBreak/>
        <w:t>kan het parlement de hoogte van de eigen betalingen (inclusief het eigen risico) aanpassen.</w:t>
      </w:r>
      <w:r w:rsidR="00517145">
        <w:rPr>
          <w:iCs/>
        </w:rPr>
        <w:t xml:space="preserve"> </w:t>
      </w:r>
    </w:p>
    <w:p w:rsidR="004D7C99" w:rsidP="005C1461" w:rsidRDefault="004D7C99" w14:paraId="79304E03" w14:textId="77777777">
      <w:pPr>
        <w:rPr>
          <w:b/>
        </w:rPr>
      </w:pPr>
    </w:p>
    <w:p w:rsidRPr="00477BD7" w:rsidR="007B25E4" w:rsidP="00535528" w:rsidRDefault="00AC4F6B" w14:paraId="45E5D025" w14:textId="77777777">
      <w:pPr>
        <w:pStyle w:val="Kop1"/>
        <w:numPr>
          <w:ilvl w:val="0"/>
          <w:numId w:val="16"/>
        </w:numPr>
        <w:spacing w:after="120"/>
        <w:ind w:left="357" w:hanging="357"/>
      </w:pPr>
      <w:r w:rsidRPr="00477BD7">
        <w:t>Sturen op Resultaten</w:t>
      </w:r>
    </w:p>
    <w:p w:rsidRPr="00455A2F" w:rsidR="00270340" w:rsidP="00E61E55" w:rsidRDefault="00270340" w14:paraId="66858B2E" w14:textId="77777777">
      <w:pPr>
        <w:rPr>
          <w:i/>
        </w:rPr>
      </w:pPr>
      <w:r w:rsidRPr="00455A2F">
        <w:rPr>
          <w:i/>
        </w:rPr>
        <w:t>Doelen</w:t>
      </w:r>
    </w:p>
    <w:p w:rsidRPr="005C1461" w:rsidR="001164DB" w:rsidP="00E61E55" w:rsidRDefault="001164DB" w14:paraId="0A5C2B23" w14:textId="229E2B0C">
      <w:r>
        <w:t>In de Staat van de Rijksverantwoording 2024 deden wij de aa</w:t>
      </w:r>
      <w:r w:rsidRPr="00EB41F4">
        <w:t xml:space="preserve">nbeveling om </w:t>
      </w:r>
      <w:r w:rsidRPr="005C1461">
        <w:t xml:space="preserve">een aantal specifieke en meetbare hoofddoelen </w:t>
      </w:r>
      <w:r w:rsidRPr="005C1461" w:rsidR="009C3960">
        <w:t>van het kabinetsbeleid</w:t>
      </w:r>
      <w:r w:rsidRPr="0042647F" w:rsidR="009C3960">
        <w:t xml:space="preserve"> voor de lange en korte termijn</w:t>
      </w:r>
      <w:r w:rsidRPr="005C1461" w:rsidR="009C3960">
        <w:t xml:space="preserve"> </w:t>
      </w:r>
      <w:r w:rsidRPr="005C1461">
        <w:t>te kiezen (zoals stikstofreductie, woningen, vestigingsklimaat, migratie) en deze op te nemen in de beleidsagenda in de begroting. In het jaarverslag kunnen vervolgens de concrete resultaten van het beleid in relatie tot het doel</w:t>
      </w:r>
      <w:r w:rsidRPr="005C1461" w:rsidR="006978E3">
        <w:t xml:space="preserve"> worden gemeld</w:t>
      </w:r>
      <w:r w:rsidRPr="005C1461">
        <w:t>.</w:t>
      </w:r>
      <w:r w:rsidRPr="005C1461" w:rsidR="006978E3">
        <w:t xml:space="preserve"> Op deze wijze kunnen doelen en resultaten beter worden gevolgd. </w:t>
      </w:r>
    </w:p>
    <w:p w:rsidR="006978E3" w:rsidP="00E61E55" w:rsidRDefault="006978E3" w14:paraId="0CEF89DA" w14:textId="77777777"/>
    <w:p w:rsidR="00714E40" w:rsidP="00E61E55" w:rsidRDefault="00714E40" w14:paraId="5C882325" w14:textId="6A59BD84">
      <w:r>
        <w:t xml:space="preserve">We stellen vast dat </w:t>
      </w:r>
      <w:r w:rsidR="00C068F2">
        <w:t xml:space="preserve">voor de in de beleidsagenda aangegeven </w:t>
      </w:r>
      <w:r w:rsidR="000D1CCD">
        <w:t>beleids</w:t>
      </w:r>
      <w:r w:rsidR="00C068F2">
        <w:t xml:space="preserve">prioriteiten </w:t>
      </w:r>
      <w:r w:rsidRPr="001A2150" w:rsidR="005C463C">
        <w:t>beperkt</w:t>
      </w:r>
      <w:r w:rsidR="00C068F2">
        <w:t xml:space="preserve"> </w:t>
      </w:r>
      <w:r w:rsidR="005B0FA0">
        <w:t xml:space="preserve">concrete </w:t>
      </w:r>
      <w:r w:rsidR="006978E3">
        <w:t xml:space="preserve">doelen </w:t>
      </w:r>
      <w:r w:rsidR="00C068F2">
        <w:t>zijn geformuleerd.</w:t>
      </w:r>
      <w:r>
        <w:t xml:space="preserve"> </w:t>
      </w:r>
      <w:r w:rsidR="001A2150">
        <w:t xml:space="preserve">Bij verschillende prioriteiten benoemt </w:t>
      </w:r>
      <w:r w:rsidR="00141EA6">
        <w:t xml:space="preserve">de minister van </w:t>
      </w:r>
      <w:r w:rsidR="001A2150">
        <w:t xml:space="preserve">VWS </w:t>
      </w:r>
      <w:r w:rsidR="00DD5240">
        <w:t xml:space="preserve">te nemen acties </w:t>
      </w:r>
      <w:r w:rsidR="009866EF">
        <w:t>maar</w:t>
      </w:r>
      <w:r w:rsidR="00936D3F">
        <w:t xml:space="preserve"> </w:t>
      </w:r>
      <w:r w:rsidR="000A6CFE">
        <w:t>ontbreekt een specifiek, meetbaar en tijdgebonden te behalen resultaat.</w:t>
      </w:r>
      <w:r w:rsidR="009866EF">
        <w:t xml:space="preserve"> Zo gaat </w:t>
      </w:r>
      <w:r w:rsidR="00141EA6">
        <w:t xml:space="preserve">de minister van </w:t>
      </w:r>
      <w:r w:rsidR="009866EF">
        <w:t xml:space="preserve">VWS op de hoofdprioriteit arbeidsmarkttekorten in de zorg </w:t>
      </w:r>
      <w:r w:rsidR="00936D3F">
        <w:t>bijv</w:t>
      </w:r>
      <w:r w:rsidR="009866EF">
        <w:t>oorbeeld</w:t>
      </w:r>
      <w:r w:rsidR="00936D3F">
        <w:t xml:space="preserve"> samen met veldpartijen </w:t>
      </w:r>
      <w:r w:rsidRPr="00936D3F" w:rsidR="00936D3F">
        <w:t xml:space="preserve">inzetten </w:t>
      </w:r>
      <w:r w:rsidR="00936D3F">
        <w:t>“</w:t>
      </w:r>
      <w:r w:rsidRPr="00936D3F" w:rsidR="00936D3F">
        <w:t xml:space="preserve">op het (strategisch) opleiden </w:t>
      </w:r>
      <w:r w:rsidR="00936D3F">
        <w:t>en scholen van professionals</w:t>
      </w:r>
      <w:r w:rsidR="009866EF">
        <w:t xml:space="preserve">” en </w:t>
      </w:r>
      <w:r w:rsidR="00250CEE">
        <w:t>samen</w:t>
      </w:r>
      <w:r w:rsidR="00936D3F">
        <w:t>werken aan “</w:t>
      </w:r>
      <w:r w:rsidRPr="00936D3F" w:rsidR="00936D3F">
        <w:t xml:space="preserve">het terugdringen van verzuim en het tegengaan van agressie.” </w:t>
      </w:r>
    </w:p>
    <w:p w:rsidR="0072712A" w:rsidP="00E61E55" w:rsidRDefault="0072712A" w14:paraId="6DB9300F" w14:textId="01D3272F"/>
    <w:p w:rsidR="00F75030" w:rsidP="005B0FA0" w:rsidRDefault="005B0FA0" w14:paraId="63498AE3" w14:textId="2EE40DB3">
      <w:r>
        <w:t xml:space="preserve">Wij hebben in deze ontwerpbegroting </w:t>
      </w:r>
      <w:r w:rsidRPr="006574EE">
        <w:t>2026 wel</w:t>
      </w:r>
      <w:r w:rsidR="00F75030">
        <w:t xml:space="preserve"> een</w:t>
      </w:r>
      <w:r>
        <w:t xml:space="preserve"> verwijzing naar doelstellingen brede welvaart gevonden. </w:t>
      </w:r>
      <w:r w:rsidR="00F75030">
        <w:t xml:space="preserve">Zo geeft de minister aan </w:t>
      </w:r>
      <w:r w:rsidR="0049363E">
        <w:t>m</w:t>
      </w:r>
      <w:r w:rsidRPr="0049363E" w:rsidR="0049363E">
        <w:t>et de Sa</w:t>
      </w:r>
      <w:r w:rsidR="0049363E">
        <w:t xml:space="preserve">menhangende preventiestrategie </w:t>
      </w:r>
      <w:r w:rsidRPr="0049363E" w:rsidR="0049363E">
        <w:t>in</w:t>
      </w:r>
      <w:r w:rsidR="0049363E">
        <w:t xml:space="preserve"> te zetten</w:t>
      </w:r>
      <w:r w:rsidRPr="0049363E" w:rsidR="0049363E">
        <w:t xml:space="preserve"> op een gezonde generatie in 2040.</w:t>
      </w:r>
      <w:r w:rsidR="0049363E">
        <w:t xml:space="preserve"> Daarbij spelen </w:t>
      </w:r>
      <w:r w:rsidR="0068133F">
        <w:t xml:space="preserve">het verminderen van overgewicht bij </w:t>
      </w:r>
      <w:r w:rsidRPr="0068133F" w:rsidR="0068133F">
        <w:t xml:space="preserve">kinderen </w:t>
      </w:r>
      <w:r w:rsidR="0068133F">
        <w:t>(</w:t>
      </w:r>
      <w:r w:rsidR="006574EE">
        <w:t xml:space="preserve">4 </w:t>
      </w:r>
      <w:r w:rsidR="0068133F">
        <w:t>t/m</w:t>
      </w:r>
      <w:r w:rsidR="006574EE">
        <w:t xml:space="preserve"> </w:t>
      </w:r>
      <w:r w:rsidR="0068133F">
        <w:t xml:space="preserve">18 </w:t>
      </w:r>
      <w:r w:rsidRPr="0068133F" w:rsidR="0068133F">
        <w:t xml:space="preserve">jaar </w:t>
      </w:r>
      <w:r w:rsidR="0068133F">
        <w:t>niet hoger is dan 9,1%) , een rookvrije generatie (in</w:t>
      </w:r>
      <w:r w:rsidR="006574EE">
        <w:t xml:space="preserve"> 2040 rookt geen enkele jongere van 12 t/m </w:t>
      </w:r>
      <w:r w:rsidR="0068133F">
        <w:t>2</w:t>
      </w:r>
      <w:r w:rsidR="006574EE">
        <w:t>5</w:t>
      </w:r>
      <w:r w:rsidR="0068133F">
        <w:t xml:space="preserve"> </w:t>
      </w:r>
      <w:r w:rsidR="006574EE">
        <w:t>jaar</w:t>
      </w:r>
      <w:r w:rsidR="0068133F">
        <w:t>)</w:t>
      </w:r>
      <w:r w:rsidR="006574EE">
        <w:t xml:space="preserve"> </w:t>
      </w:r>
      <w:r w:rsidR="0068133F">
        <w:t xml:space="preserve">en een hoge vaccinatiegraad </w:t>
      </w:r>
      <w:r w:rsidR="006574EE">
        <w:t xml:space="preserve">(o.a. MBR-vaccinatiegraad minimaal 95%) </w:t>
      </w:r>
      <w:r w:rsidR="0068133F">
        <w:t xml:space="preserve">een belangrijke rol. </w:t>
      </w:r>
      <w:r w:rsidR="00942606">
        <w:t>Dit zijn goede voorbeelden van specif</w:t>
      </w:r>
      <w:r w:rsidR="00C13AF6">
        <w:t>ieke en meetbare (smart) doelen</w:t>
      </w:r>
      <w:r w:rsidR="00942606">
        <w:t xml:space="preserve"> </w:t>
      </w:r>
      <w:r w:rsidR="00C13AF6">
        <w:t>en</w:t>
      </w:r>
      <w:r w:rsidR="00761116">
        <w:t xml:space="preserve"> </w:t>
      </w:r>
      <w:r w:rsidR="00C13AF6">
        <w:t>t</w:t>
      </w:r>
      <w:r w:rsidR="0068133F">
        <w:t>hema’s die met een indicator in de monitor Brede Welvaart vertegenwoordigd zijn</w:t>
      </w:r>
      <w:r w:rsidR="00DD5240">
        <w:t xml:space="preserve"> en die de minister wil beïnvloeden</w:t>
      </w:r>
      <w:r w:rsidR="0068133F">
        <w:t>.</w:t>
      </w:r>
    </w:p>
    <w:p w:rsidR="00DD5240" w:rsidP="00E61E55" w:rsidRDefault="00DD5240" w14:paraId="734E11A6" w14:textId="77777777"/>
    <w:p w:rsidR="00E61E55" w:rsidP="00E61E55" w:rsidRDefault="003868B7" w14:paraId="7475A5AF" w14:textId="594626DF">
      <w:r>
        <w:t>We</w:t>
      </w:r>
      <w:r w:rsidR="00C068F2">
        <w:t xml:space="preserve"> </w:t>
      </w:r>
      <w:r w:rsidR="00815548">
        <w:t xml:space="preserve">geven ter illustratie </w:t>
      </w:r>
      <w:r w:rsidR="005B0FA0">
        <w:t xml:space="preserve">enkele voorbeelden </w:t>
      </w:r>
      <w:r w:rsidR="00815548">
        <w:t xml:space="preserve">van een </w:t>
      </w:r>
      <w:r w:rsidR="00D83EA0">
        <w:t xml:space="preserve">formulering van </w:t>
      </w:r>
      <w:r w:rsidR="00DC4381">
        <w:t xml:space="preserve">een </w:t>
      </w:r>
      <w:r w:rsidR="00815548">
        <w:t xml:space="preserve">doelstelling </w:t>
      </w:r>
      <w:r w:rsidR="005B0FA0">
        <w:t xml:space="preserve">(beleidsprioriteit of anderszins) </w:t>
      </w:r>
      <w:r w:rsidR="00815548">
        <w:t>in de</w:t>
      </w:r>
      <w:r w:rsidR="0072712A">
        <w:t>ze ontwerp</w:t>
      </w:r>
      <w:r w:rsidR="001C4D87">
        <w:t>begroting</w:t>
      </w:r>
      <w:r w:rsidR="00815548">
        <w:t>:</w:t>
      </w:r>
    </w:p>
    <w:p w:rsidR="00436F15" w:rsidP="00E61E55" w:rsidRDefault="00436F15" w14:paraId="60621CB0" w14:textId="77777777"/>
    <w:p w:rsidRPr="00850ABC" w:rsidR="00850ABC" w:rsidP="00850ABC" w:rsidRDefault="00D842AF" w14:paraId="2EF37E5B" w14:textId="6E73C7BB">
      <w:pPr>
        <w:rPr>
          <w:b/>
        </w:rPr>
      </w:pPr>
      <w:r>
        <w:rPr>
          <w:b/>
        </w:rPr>
        <w:t>Tabel 2:</w:t>
      </w:r>
      <w:r w:rsidR="00F60AD6">
        <w:rPr>
          <w:b/>
        </w:rPr>
        <w:t xml:space="preserve"> </w:t>
      </w:r>
      <w:r w:rsidR="00850ABC">
        <w:rPr>
          <w:b/>
        </w:rPr>
        <w:t xml:space="preserve">Goed en minder goed voorbeeld van doelformulering in de begroting </w:t>
      </w:r>
      <w:r w:rsidRPr="00850ABC" w:rsidR="00850ABC">
        <w:rPr>
          <w:b/>
        </w:rPr>
        <w:t xml:space="preserve">van </w:t>
      </w:r>
      <w:r w:rsidR="00850ABC">
        <w:rPr>
          <w:b/>
        </w:rPr>
        <w:t xml:space="preserve">ministerie van </w:t>
      </w:r>
      <w:r w:rsidRPr="001C28F7" w:rsidR="001C28F7">
        <w:rPr>
          <w:b/>
        </w:rPr>
        <w:t>Volksgezondheid, Welzijn en Sport</w:t>
      </w:r>
    </w:p>
    <w:tbl>
      <w:tblPr>
        <w:tblStyle w:val="Tabelraster"/>
        <w:tblW w:w="0" w:type="auto"/>
        <w:tblLook w:val="04A0" w:firstRow="1" w:lastRow="0" w:firstColumn="1" w:lastColumn="0" w:noHBand="0" w:noVBand="1"/>
      </w:tblPr>
      <w:tblGrid>
        <w:gridCol w:w="1007"/>
        <w:gridCol w:w="2796"/>
        <w:gridCol w:w="1327"/>
        <w:gridCol w:w="2798"/>
      </w:tblGrid>
      <w:tr w:rsidRPr="00477BD7" w:rsidR="00436F15" w:rsidTr="008C3A85" w14:paraId="0AB7228E" w14:textId="77777777">
        <w:tc>
          <w:tcPr>
            <w:tcW w:w="1007" w:type="dxa"/>
            <w:shd w:val="clear" w:color="auto" w:fill="DEEAF6" w:themeFill="accent1" w:themeFillTint="33"/>
          </w:tcPr>
          <w:p w:rsidRPr="00477BD7" w:rsidR="00436F15" w:rsidP="00477BD7" w:rsidRDefault="00436F15" w14:paraId="4E432A8C" w14:textId="77777777">
            <w:pPr>
              <w:spacing w:line="240" w:lineRule="auto"/>
              <w:rPr>
                <w:b/>
                <w:sz w:val="18"/>
                <w:szCs w:val="18"/>
              </w:rPr>
            </w:pPr>
          </w:p>
        </w:tc>
        <w:tc>
          <w:tcPr>
            <w:tcW w:w="2816" w:type="dxa"/>
            <w:shd w:val="clear" w:color="auto" w:fill="DEEAF6" w:themeFill="accent1" w:themeFillTint="33"/>
          </w:tcPr>
          <w:p w:rsidRPr="00477BD7" w:rsidR="00436F15" w:rsidP="00477BD7" w:rsidRDefault="00436F15" w14:paraId="01C40D43" w14:textId="77777777">
            <w:pPr>
              <w:spacing w:line="240" w:lineRule="auto"/>
              <w:rPr>
                <w:b/>
                <w:sz w:val="18"/>
                <w:szCs w:val="18"/>
              </w:rPr>
            </w:pPr>
            <w:r w:rsidRPr="00477BD7">
              <w:rPr>
                <w:b/>
                <w:sz w:val="18"/>
                <w:szCs w:val="18"/>
              </w:rPr>
              <w:t>Doelformulering</w:t>
            </w:r>
          </w:p>
        </w:tc>
        <w:tc>
          <w:tcPr>
            <w:tcW w:w="1275" w:type="dxa"/>
            <w:shd w:val="clear" w:color="auto" w:fill="DEEAF6" w:themeFill="accent1" w:themeFillTint="33"/>
          </w:tcPr>
          <w:p w:rsidRPr="00477BD7" w:rsidR="00436F15" w:rsidP="00477BD7" w:rsidRDefault="00436F15" w14:paraId="593D72FE" w14:textId="77777777">
            <w:pPr>
              <w:spacing w:line="240" w:lineRule="auto"/>
              <w:rPr>
                <w:b/>
                <w:sz w:val="18"/>
                <w:szCs w:val="18"/>
              </w:rPr>
            </w:pPr>
            <w:r w:rsidRPr="00477BD7">
              <w:rPr>
                <w:b/>
                <w:sz w:val="18"/>
                <w:szCs w:val="18"/>
              </w:rPr>
              <w:t>Beleidsartikel</w:t>
            </w:r>
          </w:p>
        </w:tc>
        <w:tc>
          <w:tcPr>
            <w:tcW w:w="2830" w:type="dxa"/>
            <w:shd w:val="clear" w:color="auto" w:fill="DEEAF6" w:themeFill="accent1" w:themeFillTint="33"/>
          </w:tcPr>
          <w:p w:rsidRPr="00477BD7" w:rsidR="00436F15" w:rsidP="00477BD7" w:rsidRDefault="00436F15" w14:paraId="25716833" w14:textId="77777777">
            <w:pPr>
              <w:spacing w:line="240" w:lineRule="auto"/>
              <w:rPr>
                <w:b/>
                <w:sz w:val="18"/>
                <w:szCs w:val="18"/>
              </w:rPr>
            </w:pPr>
            <w:r w:rsidRPr="00477BD7">
              <w:rPr>
                <w:b/>
                <w:sz w:val="18"/>
                <w:szCs w:val="18"/>
              </w:rPr>
              <w:t>Toelichting AR</w:t>
            </w:r>
          </w:p>
        </w:tc>
      </w:tr>
      <w:tr w:rsidRPr="00477BD7" w:rsidR="008C3A85" w:rsidTr="008C3A85" w14:paraId="63ADF490" w14:textId="77777777">
        <w:tc>
          <w:tcPr>
            <w:tcW w:w="1007" w:type="dxa"/>
          </w:tcPr>
          <w:p w:rsidRPr="00477BD7" w:rsidR="008C3A85" w:rsidP="008C3A85" w:rsidRDefault="008C3A85" w14:paraId="2EB553A4" w14:textId="77777777">
            <w:pPr>
              <w:spacing w:line="240" w:lineRule="auto"/>
              <w:rPr>
                <w:sz w:val="18"/>
                <w:szCs w:val="18"/>
              </w:rPr>
            </w:pPr>
            <w:r w:rsidRPr="00477BD7">
              <w:rPr>
                <w:sz w:val="18"/>
                <w:szCs w:val="18"/>
              </w:rPr>
              <w:t xml:space="preserve">Goed voorbeeld </w:t>
            </w:r>
          </w:p>
        </w:tc>
        <w:tc>
          <w:tcPr>
            <w:tcW w:w="2816" w:type="dxa"/>
          </w:tcPr>
          <w:p w:rsidRPr="00477BD7" w:rsidR="008C3A85" w:rsidP="008C3A85" w:rsidRDefault="00ED6E4E" w14:paraId="7D567AF0" w14:textId="3BA04FED">
            <w:pPr>
              <w:spacing w:line="240" w:lineRule="auto"/>
              <w:rPr>
                <w:sz w:val="18"/>
                <w:szCs w:val="18"/>
              </w:rPr>
            </w:pPr>
            <w:r w:rsidRPr="00ED6E4E">
              <w:rPr>
                <w:sz w:val="18"/>
                <w:szCs w:val="18"/>
              </w:rPr>
              <w:t>In het Aanvullend Zorg- en Welzijnsakkoord (AZWA) hebben partijen</w:t>
            </w:r>
            <w:r w:rsidR="00A2307C">
              <w:rPr>
                <w:sz w:val="18"/>
                <w:szCs w:val="18"/>
              </w:rPr>
              <w:t xml:space="preserve"> onder andere</w:t>
            </w:r>
            <w:r w:rsidRPr="00ED6E4E">
              <w:rPr>
                <w:sz w:val="18"/>
                <w:szCs w:val="18"/>
              </w:rPr>
              <w:t xml:space="preserve"> afgesproken om het stijgende </w:t>
            </w:r>
            <w:r w:rsidRPr="00ED6E4E">
              <w:rPr>
                <w:sz w:val="18"/>
                <w:szCs w:val="18"/>
              </w:rPr>
              <w:lastRenderedPageBreak/>
              <w:t>arbeidsmarkttekort met 100.000 personen lager uit te laten komen in 2028 dan in een situatie zonder maatregelen. Specifiek voor het AZWA hebben partijen de ambitie om een potentiële arbeidsbesparing te realiseren van minimaal 40.000 personen, als deel van het hele transitiedoel van 100.000 personen.”</w:t>
            </w:r>
          </w:p>
        </w:tc>
        <w:tc>
          <w:tcPr>
            <w:tcW w:w="1275" w:type="dxa"/>
          </w:tcPr>
          <w:p w:rsidRPr="00477BD7" w:rsidR="008C3A85" w:rsidP="008C3A85" w:rsidRDefault="008C3A85" w14:paraId="79B74A83" w14:textId="0499CAD8">
            <w:pPr>
              <w:spacing w:line="240" w:lineRule="auto"/>
              <w:rPr>
                <w:sz w:val="18"/>
                <w:szCs w:val="18"/>
              </w:rPr>
            </w:pPr>
            <w:r>
              <w:rPr>
                <w:sz w:val="18"/>
                <w:szCs w:val="18"/>
              </w:rPr>
              <w:lastRenderedPageBreak/>
              <w:t>4</w:t>
            </w:r>
          </w:p>
        </w:tc>
        <w:tc>
          <w:tcPr>
            <w:tcW w:w="2830" w:type="dxa"/>
          </w:tcPr>
          <w:p w:rsidRPr="00C2632B" w:rsidR="008C3A85" w:rsidP="00CF7532" w:rsidRDefault="00ED6E4E" w14:paraId="07B27137" w14:textId="7486F8E3">
            <w:pPr>
              <w:spacing w:line="240" w:lineRule="auto"/>
            </w:pPr>
            <w:r>
              <w:rPr>
                <w:sz w:val="18"/>
                <w:szCs w:val="18"/>
              </w:rPr>
              <w:t>We merken op dat om dit doel volledig smart te krijgen het van belang is dat er een nulmeting plaats heeft</w:t>
            </w:r>
            <w:r w:rsidR="00CF7532">
              <w:rPr>
                <w:sz w:val="18"/>
                <w:szCs w:val="18"/>
              </w:rPr>
              <w:t xml:space="preserve"> tegen welke de </w:t>
            </w:r>
            <w:r w:rsidR="00CF7532">
              <w:rPr>
                <w:sz w:val="18"/>
                <w:szCs w:val="18"/>
              </w:rPr>
              <w:lastRenderedPageBreak/>
              <w:t>resultaten hiervan afgezet kunnen worden</w:t>
            </w:r>
            <w:r>
              <w:rPr>
                <w:sz w:val="18"/>
                <w:szCs w:val="18"/>
              </w:rPr>
              <w:t>.</w:t>
            </w:r>
          </w:p>
        </w:tc>
      </w:tr>
      <w:tr w:rsidRPr="00477BD7" w:rsidR="008C3A85" w:rsidTr="008C3A85" w14:paraId="4019F3AC" w14:textId="77777777">
        <w:tc>
          <w:tcPr>
            <w:tcW w:w="1007" w:type="dxa"/>
          </w:tcPr>
          <w:p w:rsidRPr="00477BD7" w:rsidR="008C3A85" w:rsidP="008C3A85" w:rsidRDefault="008C3A85" w14:paraId="238C3140" w14:textId="77777777">
            <w:pPr>
              <w:spacing w:line="240" w:lineRule="auto"/>
              <w:rPr>
                <w:sz w:val="18"/>
                <w:szCs w:val="18"/>
              </w:rPr>
            </w:pPr>
            <w:r w:rsidRPr="00477BD7">
              <w:rPr>
                <w:sz w:val="18"/>
                <w:szCs w:val="18"/>
              </w:rPr>
              <w:lastRenderedPageBreak/>
              <w:t>Minder goed voorbeeld</w:t>
            </w:r>
          </w:p>
        </w:tc>
        <w:tc>
          <w:tcPr>
            <w:tcW w:w="2816" w:type="dxa"/>
          </w:tcPr>
          <w:p w:rsidRPr="00477BD7" w:rsidR="008C3A85" w:rsidP="008C3A85" w:rsidRDefault="008C3A85" w14:paraId="544A1E2B" w14:textId="7DA04FAC">
            <w:pPr>
              <w:spacing w:line="240" w:lineRule="auto"/>
              <w:rPr>
                <w:sz w:val="18"/>
                <w:szCs w:val="18"/>
              </w:rPr>
            </w:pPr>
            <w:r w:rsidRPr="00F82083">
              <w:rPr>
                <w:sz w:val="18"/>
                <w:szCs w:val="18"/>
              </w:rPr>
              <w:t>Om het werken in zorg en welzijn aantrekkelijk te maken en te houden, werkt</w:t>
            </w:r>
            <w:r>
              <w:rPr>
                <w:sz w:val="18"/>
                <w:szCs w:val="18"/>
              </w:rPr>
              <w:t xml:space="preserve"> </w:t>
            </w:r>
            <w:r w:rsidRPr="00F82083">
              <w:rPr>
                <w:sz w:val="18"/>
                <w:szCs w:val="18"/>
              </w:rPr>
              <w:t>het demissionaire kabinet samen met het veld verder aan het terugdringen</w:t>
            </w:r>
            <w:r>
              <w:rPr>
                <w:sz w:val="18"/>
                <w:szCs w:val="18"/>
              </w:rPr>
              <w:t xml:space="preserve"> </w:t>
            </w:r>
            <w:r w:rsidRPr="00F82083">
              <w:rPr>
                <w:sz w:val="18"/>
                <w:szCs w:val="18"/>
              </w:rPr>
              <w:t>van verzuim en het tegengaan van agressie.</w:t>
            </w:r>
          </w:p>
        </w:tc>
        <w:tc>
          <w:tcPr>
            <w:tcW w:w="1275" w:type="dxa"/>
          </w:tcPr>
          <w:p w:rsidRPr="00477BD7" w:rsidR="008C3A85" w:rsidP="008C3A85" w:rsidRDefault="008C3A85" w14:paraId="3A74411F" w14:textId="64B1ECF2">
            <w:pPr>
              <w:spacing w:line="240" w:lineRule="auto"/>
              <w:rPr>
                <w:sz w:val="18"/>
                <w:szCs w:val="18"/>
              </w:rPr>
            </w:pPr>
            <w:r>
              <w:rPr>
                <w:sz w:val="18"/>
                <w:szCs w:val="18"/>
              </w:rPr>
              <w:t>4</w:t>
            </w:r>
          </w:p>
        </w:tc>
        <w:tc>
          <w:tcPr>
            <w:tcW w:w="2830" w:type="dxa"/>
          </w:tcPr>
          <w:p w:rsidRPr="00477BD7" w:rsidR="008C3A85" w:rsidP="008C3A85" w:rsidRDefault="008C3A85" w14:paraId="18F31283" w14:textId="1896D1C5">
            <w:pPr>
              <w:spacing w:line="240" w:lineRule="auto"/>
              <w:rPr>
                <w:sz w:val="18"/>
                <w:szCs w:val="18"/>
              </w:rPr>
            </w:pPr>
            <w:r>
              <w:rPr>
                <w:sz w:val="18"/>
                <w:szCs w:val="18"/>
              </w:rPr>
              <w:t xml:space="preserve">We missen hier een concreet doel. Wat willen </w:t>
            </w:r>
            <w:r w:rsidR="00141EA6">
              <w:rPr>
                <w:sz w:val="18"/>
                <w:szCs w:val="18"/>
              </w:rPr>
              <w:t xml:space="preserve">de minister van </w:t>
            </w:r>
            <w:r>
              <w:rPr>
                <w:sz w:val="18"/>
                <w:szCs w:val="18"/>
              </w:rPr>
              <w:t xml:space="preserve">VWS en het veld bereiken aan procentuele reductie van verzuim en geweld, en per wanneer? </w:t>
            </w:r>
          </w:p>
        </w:tc>
      </w:tr>
    </w:tbl>
    <w:p w:rsidR="00786D4C" w:rsidP="00E61E55" w:rsidRDefault="00786D4C" w14:paraId="01EBE682" w14:textId="77777777"/>
    <w:p w:rsidRPr="006E0C93" w:rsidR="00E61E55" w:rsidP="006E0C93" w:rsidRDefault="00E61E55" w14:paraId="7C26FE27" w14:textId="77777777">
      <w:pPr>
        <w:rPr>
          <w:i/>
        </w:rPr>
      </w:pPr>
      <w:r w:rsidRPr="006E0C93">
        <w:rPr>
          <w:i/>
        </w:rPr>
        <w:t>Strategische evaluatieagenda (SEA)</w:t>
      </w:r>
    </w:p>
    <w:p w:rsidR="00E61E55" w:rsidP="00E61E55" w:rsidRDefault="00E61E55" w14:paraId="7EF106B0" w14:textId="77777777">
      <w:r>
        <w:t xml:space="preserve">De minister is verantwoordelijk voor het periodiek onderzoeken van de doelmatigheid en doeltreffendheid van het beleid dat aan zijn/haar begroting ten grondslag ligt. De SEA laat zien welke evaluaties zijn uitgevoerd en gepland </w:t>
      </w:r>
      <w:r w:rsidR="00E46966">
        <w:t>per</w:t>
      </w:r>
      <w:r>
        <w:t xml:space="preserve"> beleidsthema. </w:t>
      </w:r>
      <w:r w:rsidR="008D004B">
        <w:t>D</w:t>
      </w:r>
      <w:r>
        <w:t xml:space="preserve">e </w:t>
      </w:r>
      <w:r w:rsidR="008D004B">
        <w:t xml:space="preserve">Kamer kan de </w:t>
      </w:r>
      <w:r>
        <w:t>evaluatieagenda in d</w:t>
      </w:r>
      <w:r w:rsidR="008D004B">
        <w:t>ez</w:t>
      </w:r>
      <w:r>
        <w:t xml:space="preserve">e begroting beoordelen en </w:t>
      </w:r>
      <w:r w:rsidR="008D004B">
        <w:t xml:space="preserve">kan de </w:t>
      </w:r>
      <w:r>
        <w:t xml:space="preserve">minister </w:t>
      </w:r>
      <w:r w:rsidR="008D004B">
        <w:t>aan</w:t>
      </w:r>
      <w:r w:rsidR="00657213">
        <w:t xml:space="preserve">geven </w:t>
      </w:r>
      <w:r>
        <w:t xml:space="preserve">welke evaluaties </w:t>
      </w:r>
      <w:r w:rsidR="00E5567C">
        <w:t xml:space="preserve">met extra belangstelling worden gevolgd en </w:t>
      </w:r>
      <w:r>
        <w:t xml:space="preserve">welke </w:t>
      </w:r>
      <w:r w:rsidR="00E5567C">
        <w:t>evaluaties ontbreken in de agenda</w:t>
      </w:r>
      <w:r>
        <w:t>.</w:t>
      </w:r>
      <w:r w:rsidR="000951D1">
        <w:t xml:space="preserve"> Wij </w:t>
      </w:r>
      <w:r w:rsidR="0011440A">
        <w:t>zijn nagegaan</w:t>
      </w:r>
      <w:r w:rsidR="000951D1">
        <w:t xml:space="preserve">: </w:t>
      </w:r>
    </w:p>
    <w:p w:rsidR="00F2434B" w:rsidP="00F2434B" w:rsidRDefault="000951D1" w14:paraId="7F9A9D1F" w14:textId="77777777">
      <w:pPr>
        <w:pStyle w:val="Lijstalinea"/>
        <w:numPr>
          <w:ilvl w:val="0"/>
          <w:numId w:val="21"/>
        </w:numPr>
      </w:pPr>
      <w:r>
        <w:t xml:space="preserve">of </w:t>
      </w:r>
      <w:r w:rsidR="00E5567C">
        <w:t>minister</w:t>
      </w:r>
      <w:r w:rsidR="00E61E55">
        <w:t xml:space="preserve"> de Kamer inzicht geeft of de evaluat</w:t>
      </w:r>
      <w:r w:rsidR="00F2434B">
        <w:t>ieagenda financieel dekkend</w:t>
      </w:r>
      <w:r w:rsidR="0090015D">
        <w:t xml:space="preserve"> is</w:t>
      </w:r>
      <w:r w:rsidR="00F2434B">
        <w:t>;</w:t>
      </w:r>
    </w:p>
    <w:p w:rsidR="00F2434B" w:rsidP="00F2434B" w:rsidRDefault="000951D1" w14:paraId="698AB2F5" w14:textId="5C5AEF5C">
      <w:pPr>
        <w:pStyle w:val="Lijstalinea"/>
        <w:numPr>
          <w:ilvl w:val="0"/>
          <w:numId w:val="21"/>
        </w:numPr>
      </w:pPr>
      <w:r>
        <w:t xml:space="preserve">of, </w:t>
      </w:r>
      <w:r w:rsidR="00E61E55">
        <w:t xml:space="preserve">op basis van de kennis uit eerder onderzoek, de SEA </w:t>
      </w:r>
      <w:r w:rsidR="00CC15BE">
        <w:t xml:space="preserve">(inhoudelijke) </w:t>
      </w:r>
      <w:r w:rsidR="00F305B8">
        <w:t>blinde vlekken</w:t>
      </w:r>
      <w:r w:rsidR="00E61E55">
        <w:t xml:space="preserve"> kent</w:t>
      </w:r>
      <w:r w:rsidR="005B0FA0">
        <w:t>;</w:t>
      </w:r>
    </w:p>
    <w:p w:rsidR="00E61E55" w:rsidP="00F2434B" w:rsidRDefault="001D0FCA" w14:paraId="09005539" w14:textId="77777777">
      <w:pPr>
        <w:pStyle w:val="Lijstalinea"/>
        <w:numPr>
          <w:ilvl w:val="0"/>
          <w:numId w:val="21"/>
        </w:numPr>
      </w:pPr>
      <w:r>
        <w:t xml:space="preserve">Daarnaast </w:t>
      </w:r>
      <w:r w:rsidR="00E61E55">
        <w:t xml:space="preserve">wijzen </w:t>
      </w:r>
      <w:r>
        <w:t xml:space="preserve">we de Kamer </w:t>
      </w:r>
      <w:r w:rsidR="00E61E55">
        <w:t>op evaluaties</w:t>
      </w:r>
      <w:r>
        <w:t xml:space="preserve"> die ons inziens van bijzonder belang zijn. </w:t>
      </w:r>
      <w:r w:rsidR="00E61E55">
        <w:t xml:space="preserve"> </w:t>
      </w:r>
    </w:p>
    <w:p w:rsidR="001D0FCA" w:rsidP="00E61E55" w:rsidRDefault="001D0FCA" w14:paraId="6CD2149E" w14:textId="77777777"/>
    <w:p w:rsidR="00C97ABD" w:rsidP="00C97ABD" w:rsidRDefault="00C97ABD" w14:paraId="526DD1FB" w14:textId="77777777">
      <w:r>
        <w:t xml:space="preserve">a. </w:t>
      </w:r>
      <w:r w:rsidRPr="00C56F7F">
        <w:rPr>
          <w:i/>
        </w:rPr>
        <w:t>Afdekking van de uitgaven door evaluatieonderzoek</w:t>
      </w:r>
      <w:r>
        <w:t xml:space="preserve"> </w:t>
      </w:r>
    </w:p>
    <w:p w:rsidR="0088410E" w:rsidP="00BE5434" w:rsidRDefault="00C97ABD" w14:paraId="3826616A" w14:textId="77777777">
      <w:pPr>
        <w:rPr>
          <w:color w:val="auto"/>
        </w:rPr>
      </w:pPr>
      <w:r>
        <w:t xml:space="preserve">Uit de SEA blijkt dat </w:t>
      </w:r>
      <w:r w:rsidRPr="00F360AB">
        <w:t>voor alle</w:t>
      </w:r>
      <w:r>
        <w:t xml:space="preserve"> begrotingsartikelen evaluaties zijn uitgevoerd</w:t>
      </w:r>
      <w:r w:rsidR="001461F3">
        <w:t xml:space="preserve"> of gepland</w:t>
      </w:r>
      <w:r w:rsidR="003F51FF">
        <w:t>.</w:t>
      </w:r>
      <w:r>
        <w:t xml:space="preserve"> </w:t>
      </w:r>
      <w:r w:rsidR="0088410E">
        <w:t xml:space="preserve">Dat vinden we positief. </w:t>
      </w:r>
      <w:r w:rsidR="00BE5434">
        <w:t xml:space="preserve">De minister maakt </w:t>
      </w:r>
      <w:r w:rsidR="0088410E">
        <w:t xml:space="preserve">echter </w:t>
      </w:r>
      <w:r w:rsidRPr="00F360AB" w:rsidR="00BE5434">
        <w:t xml:space="preserve">niet inzichtelijk in hoeverre </w:t>
      </w:r>
      <w:r w:rsidR="0088410E">
        <w:t xml:space="preserve">de </w:t>
      </w:r>
      <w:r w:rsidRPr="00F360AB" w:rsidR="00BE5434">
        <w:t>begrotingsmiddelen met evaluaties zijn afgedekt en biedt de Kamer</w:t>
      </w:r>
      <w:r w:rsidR="003E460C">
        <w:t xml:space="preserve"> </w:t>
      </w:r>
      <w:r w:rsidRPr="00F360AB" w:rsidR="00BE5434">
        <w:t xml:space="preserve">zo </w:t>
      </w:r>
      <w:r w:rsidR="003E460C">
        <w:t>in de ontwerpbegroting g</w:t>
      </w:r>
      <w:r w:rsidRPr="00F360AB" w:rsidR="00BE5434">
        <w:t xml:space="preserve">een duidelijk beeld van de </w:t>
      </w:r>
      <w:r w:rsidR="0088410E">
        <w:t xml:space="preserve">financiële </w:t>
      </w:r>
      <w:r w:rsidRPr="00F360AB" w:rsidR="00BE5434">
        <w:t>afdek</w:t>
      </w:r>
      <w:r w:rsidRPr="00E235B8" w:rsidR="00BE5434">
        <w:t xml:space="preserve">king </w:t>
      </w:r>
      <w:r w:rsidR="0088410E">
        <w:t>en van de resterende evaluatieopgave</w:t>
      </w:r>
      <w:r w:rsidR="00BE5434">
        <w:t xml:space="preserve">. </w:t>
      </w:r>
      <w:r w:rsidRPr="008977E0" w:rsidR="00BE5434">
        <w:rPr>
          <w:color w:val="auto"/>
        </w:rPr>
        <w:t>Op deze wijze heeft de Tweede Kamer geen inzicht in de mate</w:t>
      </w:r>
      <w:r w:rsidRPr="00AA39D1" w:rsidR="00BE5434">
        <w:rPr>
          <w:color w:val="auto"/>
        </w:rPr>
        <w:t xml:space="preserve"> waarin geplande en uitgevoerde evaluaties in de SEA </w:t>
      </w:r>
      <w:r w:rsidR="00DF32AB">
        <w:rPr>
          <w:color w:val="auto"/>
        </w:rPr>
        <w:t xml:space="preserve">alle </w:t>
      </w:r>
      <w:r w:rsidRPr="00AA39D1" w:rsidR="00BE5434">
        <w:rPr>
          <w:color w:val="auto"/>
        </w:rPr>
        <w:t xml:space="preserve">uitgaven afdekken. </w:t>
      </w:r>
      <w:r w:rsidRPr="0088410E" w:rsidR="0088410E">
        <w:rPr>
          <w:color w:val="auto"/>
        </w:rPr>
        <w:t xml:space="preserve">Pas bij de opzet van de periodieke rapportage (de zogenaamde Harbersbrief) wordt volledig inzichtelijk of alle geldstromen zijn afgedekt. </w:t>
      </w:r>
    </w:p>
    <w:p w:rsidR="007119A2" w:rsidP="00BE5434" w:rsidRDefault="00141EA6" w14:paraId="5F486BE6" w14:textId="6138F7FE">
      <w:r>
        <w:t xml:space="preserve">De minister van </w:t>
      </w:r>
      <w:r w:rsidRPr="00F360AB" w:rsidR="00AB460B">
        <w:t xml:space="preserve">VWS </w:t>
      </w:r>
      <w:r w:rsidR="00AB460B">
        <w:t>focust</w:t>
      </w:r>
      <w:r w:rsidRPr="00F360AB" w:rsidR="00AB460B">
        <w:t xml:space="preserve"> </w:t>
      </w:r>
      <w:r w:rsidR="00AB460B">
        <w:t xml:space="preserve">in de SEA </w:t>
      </w:r>
      <w:r w:rsidRPr="00F360AB" w:rsidR="00AB460B">
        <w:t xml:space="preserve">op de </w:t>
      </w:r>
      <w:r w:rsidR="00AB460B">
        <w:t xml:space="preserve">uitgaven </w:t>
      </w:r>
      <w:r w:rsidRPr="00F360AB" w:rsidR="00AB460B">
        <w:t>met de grootste maatschappelijke waarde</w:t>
      </w:r>
      <w:r w:rsidR="00AB460B">
        <w:t>.</w:t>
      </w:r>
      <w:r w:rsidDel="00AB460B" w:rsidR="00AB460B">
        <w:t xml:space="preserve"> </w:t>
      </w:r>
      <w:r w:rsidR="00AB460B">
        <w:t>D</w:t>
      </w:r>
      <w:r w:rsidR="00F360AB">
        <w:t xml:space="preserve">e </w:t>
      </w:r>
      <w:r w:rsidRPr="00F360AB" w:rsidR="00F360AB">
        <w:t xml:space="preserve">SEA van VWS </w:t>
      </w:r>
      <w:r w:rsidR="00DF32AB">
        <w:t xml:space="preserve">beperkt zich niet tot de </w:t>
      </w:r>
      <w:r w:rsidRPr="00F360AB" w:rsidR="00F360AB">
        <w:t>begroting</w:t>
      </w:r>
      <w:r w:rsidR="00666EAA">
        <w:t>s</w:t>
      </w:r>
      <w:r w:rsidRPr="00F360AB" w:rsidR="00F360AB">
        <w:t>gefinancierde uitgaven</w:t>
      </w:r>
      <w:r w:rsidR="00DF32AB">
        <w:t xml:space="preserve">, </w:t>
      </w:r>
      <w:r w:rsidR="00DF32AB">
        <w:lastRenderedPageBreak/>
        <w:t>waartoe zij verplicht zijn evaluaties te houden, maar evalueert op vrijwillige basis ook premiegefinancierde uitgaven. Dat ook</w:t>
      </w:r>
      <w:r w:rsidR="00A26A62">
        <w:t xml:space="preserve"> premiegefinancierde uitgaven worden meegenomen</w:t>
      </w:r>
      <w:r w:rsidR="007A0928">
        <w:t xml:space="preserve"> vinden we positief</w:t>
      </w:r>
      <w:r w:rsidR="00A26A62">
        <w:t xml:space="preserve">. </w:t>
      </w:r>
    </w:p>
    <w:p w:rsidR="004D7C99" w:rsidP="00BE5434" w:rsidRDefault="004D7C99" w14:paraId="618EBE96" w14:textId="77777777">
      <w:pPr>
        <w:rPr>
          <w:color w:val="auto"/>
        </w:rPr>
      </w:pPr>
    </w:p>
    <w:p w:rsidR="00C97ABD" w:rsidP="00C97ABD" w:rsidRDefault="00C5735B" w14:paraId="2EB4CDEA" w14:textId="77777777">
      <w:r>
        <w:t>b</w:t>
      </w:r>
      <w:r w:rsidR="00C97ABD">
        <w:t xml:space="preserve">. </w:t>
      </w:r>
      <w:r w:rsidRPr="00C56F7F" w:rsidR="00C97ABD">
        <w:rPr>
          <w:i/>
        </w:rPr>
        <w:t xml:space="preserve">Evidente </w:t>
      </w:r>
      <w:r w:rsidRPr="00C56F7F" w:rsidR="00D640C7">
        <w:rPr>
          <w:i/>
        </w:rPr>
        <w:t>blinde vlekken</w:t>
      </w:r>
      <w:r w:rsidRPr="00C56F7F" w:rsidR="00C97ABD">
        <w:rPr>
          <w:i/>
        </w:rPr>
        <w:t xml:space="preserve"> in de SEA</w:t>
      </w:r>
      <w:r w:rsidR="00C97ABD">
        <w:t xml:space="preserve"> </w:t>
      </w:r>
    </w:p>
    <w:p w:rsidR="00C97ABD" w:rsidP="00C97ABD" w:rsidRDefault="00C97ABD" w14:paraId="694C456C" w14:textId="6955656B">
      <w:pPr>
        <w:rPr>
          <w:highlight w:val="yellow"/>
        </w:rPr>
      </w:pPr>
      <w:r>
        <w:t xml:space="preserve">Het </w:t>
      </w:r>
      <w:r w:rsidR="00C11613">
        <w:t xml:space="preserve">persoonsgebonden budget (PGB) </w:t>
      </w:r>
      <w:r w:rsidR="008E79AA">
        <w:t xml:space="preserve">wil </w:t>
      </w:r>
      <w:r w:rsidR="00141EA6">
        <w:t xml:space="preserve">de minister van </w:t>
      </w:r>
      <w:r w:rsidR="008E79AA">
        <w:t>VWS nadrukkelijker/</w:t>
      </w:r>
      <w:r w:rsidR="003D2089">
        <w:t xml:space="preserve"> </w:t>
      </w:r>
      <w:r w:rsidR="008E79AA">
        <w:t>prominenter in de SEA opnemen</w:t>
      </w:r>
      <w:r>
        <w:t>.</w:t>
      </w:r>
      <w:r w:rsidR="00F515E1">
        <w:t xml:space="preserve"> In de huidige SEA is é</w:t>
      </w:r>
      <w:r w:rsidR="00044FA2">
        <w:t>én onderzoek naar het PGB</w:t>
      </w:r>
      <w:r w:rsidR="00F515E1">
        <w:t xml:space="preserve"> opgenomen. </w:t>
      </w:r>
      <w:r>
        <w:t xml:space="preserve">We achten </w:t>
      </w:r>
      <w:r w:rsidR="00044FA2">
        <w:t xml:space="preserve">meer onderzoek naar </w:t>
      </w:r>
      <w:r>
        <w:t xml:space="preserve">het onderwerp relevant voor de oordeelsvorming van de </w:t>
      </w:r>
      <w:r w:rsidR="00DC4381">
        <w:t xml:space="preserve">Kamer </w:t>
      </w:r>
      <w:r>
        <w:t xml:space="preserve">over het </w:t>
      </w:r>
      <w:r w:rsidRPr="003E460C">
        <w:t>betreffende beleidsterrein</w:t>
      </w:r>
      <w:r w:rsidR="003D2089">
        <w:t xml:space="preserve">. Ook </w:t>
      </w:r>
      <w:r w:rsidRPr="003E460C" w:rsidR="00C11613">
        <w:t xml:space="preserve">omdat </w:t>
      </w:r>
      <w:r w:rsidR="003D2089">
        <w:t xml:space="preserve">er </w:t>
      </w:r>
      <w:r w:rsidRPr="003E460C" w:rsidR="00387C69">
        <w:t xml:space="preserve">veel mensen </w:t>
      </w:r>
      <w:r w:rsidR="00387C69">
        <w:t xml:space="preserve">met een van de vier soorten PGB </w:t>
      </w:r>
      <w:r w:rsidRPr="003E460C" w:rsidR="00387C69">
        <w:t>zorg inkopen</w:t>
      </w:r>
      <w:r w:rsidR="00387C69">
        <w:t>.</w:t>
      </w:r>
      <w:r w:rsidRPr="003E460C" w:rsidR="00387C69">
        <w:t xml:space="preserve"> </w:t>
      </w:r>
    </w:p>
    <w:p w:rsidR="00C5735B" w:rsidP="00C97ABD" w:rsidRDefault="00C5735B" w14:paraId="2E104203" w14:textId="77777777">
      <w:pPr>
        <w:rPr>
          <w:highlight w:val="yellow"/>
        </w:rPr>
      </w:pPr>
    </w:p>
    <w:p w:rsidR="00C5735B" w:rsidP="00C5735B" w:rsidRDefault="00C5735B" w14:paraId="40C137A5" w14:textId="77777777">
      <w:pPr>
        <w:pStyle w:val="Lijstalinea"/>
        <w:ind w:left="0"/>
      </w:pPr>
      <w:r>
        <w:t xml:space="preserve">c. </w:t>
      </w:r>
      <w:r w:rsidRPr="00C56F7F">
        <w:rPr>
          <w:i/>
        </w:rPr>
        <w:t>Geplande evaluaties in de SEA die wij van bijzonder belang achten</w:t>
      </w:r>
    </w:p>
    <w:p w:rsidRPr="00EB667E" w:rsidR="00EB667E" w:rsidP="00EB667E" w:rsidRDefault="00DF32AB" w14:paraId="02ED2CE9" w14:textId="540FC25D">
      <w:pPr>
        <w:pStyle w:val="Lijstalinea"/>
        <w:ind w:left="0"/>
        <w:rPr>
          <w:highlight w:val="yellow"/>
        </w:rPr>
      </w:pPr>
      <w:r>
        <w:t>Gegeven maatschappelijke onrust over dure geneesmiddelen en medicijntekorten (zie</w:t>
      </w:r>
      <w:r w:rsidR="00667974">
        <w:t xml:space="preserve"> </w:t>
      </w:r>
      <w:r w:rsidR="007F4B22">
        <w:t xml:space="preserve">ook </w:t>
      </w:r>
      <w:r w:rsidR="00667974">
        <w:t>ons rapport</w:t>
      </w:r>
      <w:r>
        <w:t xml:space="preserve">: </w:t>
      </w:r>
      <w:r w:rsidRPr="00667974" w:rsidR="00667974">
        <w:rPr>
          <w:i/>
        </w:rPr>
        <w:t>Paardenmiddel of noodverband? Resultaten prijsonderhandelingen geneesmiddelen</w:t>
      </w:r>
      <w:r w:rsidR="007F4B22">
        <w:t xml:space="preserve"> (2020) en </w:t>
      </w:r>
      <w:r w:rsidR="00305F2B">
        <w:t>V</w:t>
      </w:r>
      <w:r w:rsidRPr="00305F2B" w:rsidR="00EB667E">
        <w:rPr>
          <w:i/>
        </w:rPr>
        <w:t>oorraden tegen medicijntekorten</w:t>
      </w:r>
      <w:r w:rsidR="007F4B22">
        <w:t xml:space="preserve"> in ons </w:t>
      </w:r>
      <w:r w:rsidR="00EB667E">
        <w:t>Verantwoordingsonderzoek 2024)</w:t>
      </w:r>
      <w:r w:rsidR="00305F2B">
        <w:t xml:space="preserve">, de door de minister benoemde arbeidsmarkttekorten </w:t>
      </w:r>
      <w:r w:rsidR="00622F70">
        <w:t xml:space="preserve">in haar rapporteren over het </w:t>
      </w:r>
      <w:r w:rsidR="00305F2B">
        <w:t>IZA (</w:t>
      </w:r>
      <w:r w:rsidR="00667974">
        <w:t>zie</w:t>
      </w:r>
      <w:r w:rsidR="00D34D3B">
        <w:t xml:space="preserve"> ook</w:t>
      </w:r>
      <w:r w:rsidR="00667974">
        <w:t xml:space="preserve">: </w:t>
      </w:r>
      <w:r w:rsidR="00305F2B">
        <w:t xml:space="preserve">Verantwoordingsonderzoek 2024) </w:t>
      </w:r>
      <w:r w:rsidR="00DE134A">
        <w:t xml:space="preserve">en de </w:t>
      </w:r>
      <w:r w:rsidR="00C44DBA">
        <w:t xml:space="preserve">houdbaarheid van de Wmo in de toekomst </w:t>
      </w:r>
      <w:r w:rsidRPr="00C56F7F" w:rsidR="00C5735B">
        <w:t xml:space="preserve">vinden we de </w:t>
      </w:r>
      <w:r w:rsidR="00C35173">
        <w:t xml:space="preserve">volgende </w:t>
      </w:r>
      <w:r w:rsidRPr="00C56F7F" w:rsidR="00C5735B">
        <w:t>evaluatieonderzoeken</w:t>
      </w:r>
      <w:r w:rsidR="00666EAA">
        <w:t xml:space="preserve"> </w:t>
      </w:r>
      <w:r w:rsidR="00C35173">
        <w:t xml:space="preserve">van bijzonder belang voor de Tweede Kamer </w:t>
      </w:r>
      <w:r w:rsidRPr="00324099" w:rsidR="00C35173">
        <w:rPr>
          <w:color w:val="auto"/>
        </w:rPr>
        <w:t>commissie Volksgezondheid Welzijn en Sport</w:t>
      </w:r>
      <w:r w:rsidR="00EB667E">
        <w:t>:</w:t>
      </w:r>
      <w:r w:rsidRPr="00C56F7F" w:rsidR="00C5735B">
        <w:t xml:space="preserve"> </w:t>
      </w:r>
    </w:p>
    <w:p w:rsidR="00EB667E" w:rsidP="00622F70" w:rsidRDefault="00EB667E" w14:paraId="0D6480AF" w14:textId="592FEE7C">
      <w:pPr>
        <w:pStyle w:val="Lijstalinea"/>
        <w:numPr>
          <w:ilvl w:val="0"/>
          <w:numId w:val="28"/>
        </w:numPr>
        <w:rPr>
          <w:color w:val="auto"/>
        </w:rPr>
      </w:pPr>
      <w:r w:rsidRPr="00666EAA">
        <w:rPr>
          <w:i/>
          <w:color w:val="auto"/>
        </w:rPr>
        <w:t>Genees-, hulpmiddelen en lichaamsmateriaal</w:t>
      </w:r>
      <w:r w:rsidR="00DE134A">
        <w:rPr>
          <w:color w:val="auto"/>
        </w:rPr>
        <w:t xml:space="preserve"> (</w:t>
      </w:r>
      <w:r w:rsidR="008176A1">
        <w:rPr>
          <w:color w:val="auto"/>
        </w:rPr>
        <w:t xml:space="preserve">publicatie </w:t>
      </w:r>
      <w:r w:rsidR="00BE7CD3">
        <w:rPr>
          <w:color w:val="auto"/>
        </w:rPr>
        <w:t>eind 2025</w:t>
      </w:r>
      <w:r w:rsidR="00622F70">
        <w:rPr>
          <w:color w:val="auto"/>
        </w:rPr>
        <w:t xml:space="preserve"> – </w:t>
      </w:r>
      <w:r w:rsidRPr="00622F70" w:rsidR="00622F70">
        <w:rPr>
          <w:color w:val="auto"/>
        </w:rPr>
        <w:t>hoofdvraag</w:t>
      </w:r>
      <w:r w:rsidR="00622F70">
        <w:rPr>
          <w:color w:val="auto"/>
        </w:rPr>
        <w:t>:</w:t>
      </w:r>
      <w:r w:rsidRPr="00622F70" w:rsidR="00622F70">
        <w:rPr>
          <w:color w:val="auto"/>
        </w:rPr>
        <w:t xml:space="preserve"> in welke mate </w:t>
      </w:r>
      <w:r w:rsidR="00622F70">
        <w:rPr>
          <w:color w:val="auto"/>
        </w:rPr>
        <w:t xml:space="preserve">zijn </w:t>
      </w:r>
      <w:r w:rsidRPr="00622F70" w:rsidR="00622F70">
        <w:rPr>
          <w:color w:val="auto"/>
        </w:rPr>
        <w:t xml:space="preserve">de beleidsinstrumenten </w:t>
      </w:r>
      <w:r w:rsidR="00622F70">
        <w:rPr>
          <w:color w:val="auto"/>
        </w:rPr>
        <w:t xml:space="preserve">t.a.v. </w:t>
      </w:r>
      <w:r w:rsidRPr="00622F70" w:rsidR="00622F70">
        <w:rPr>
          <w:color w:val="auto"/>
        </w:rPr>
        <w:t>beschikbaarheid van geneesmiddelen, medische technologie en lichaamsmateriaal doeltreffend en doelmatig</w:t>
      </w:r>
      <w:r w:rsidR="00622F70">
        <w:rPr>
          <w:color w:val="auto"/>
        </w:rPr>
        <w:t>)</w:t>
      </w:r>
      <w:r w:rsidR="00D34D3B">
        <w:rPr>
          <w:color w:val="auto"/>
        </w:rPr>
        <w:t>.</w:t>
      </w:r>
    </w:p>
    <w:p w:rsidRPr="00EB667E" w:rsidR="00EB667E" w:rsidP="00D34D3B" w:rsidRDefault="00A5284B" w14:paraId="7FED6C9A" w14:textId="6D6D30B0">
      <w:pPr>
        <w:pStyle w:val="Lijstalinea"/>
        <w:numPr>
          <w:ilvl w:val="0"/>
          <w:numId w:val="28"/>
        </w:numPr>
        <w:rPr>
          <w:color w:val="auto"/>
        </w:rPr>
      </w:pPr>
      <w:r w:rsidRPr="00666EAA">
        <w:rPr>
          <w:i/>
          <w:color w:val="auto"/>
        </w:rPr>
        <w:t>Arbeidsmarkt en opleidingen zorg en welzijn</w:t>
      </w:r>
      <w:r w:rsidR="00DE134A">
        <w:rPr>
          <w:color w:val="auto"/>
        </w:rPr>
        <w:t xml:space="preserve"> (</w:t>
      </w:r>
      <w:r w:rsidR="008176A1">
        <w:rPr>
          <w:color w:val="auto"/>
        </w:rPr>
        <w:t xml:space="preserve">publicatie </w:t>
      </w:r>
      <w:r w:rsidR="00DE134A">
        <w:rPr>
          <w:color w:val="auto"/>
        </w:rPr>
        <w:t>verwacht eind 2025</w:t>
      </w:r>
      <w:r w:rsidR="00D34D3B">
        <w:rPr>
          <w:color w:val="auto"/>
        </w:rPr>
        <w:t xml:space="preserve"> – </w:t>
      </w:r>
      <w:r w:rsidRPr="00D34D3B" w:rsidR="00D34D3B">
        <w:rPr>
          <w:color w:val="auto"/>
        </w:rPr>
        <w:t xml:space="preserve">hoofdvraag: </w:t>
      </w:r>
      <w:r w:rsidR="00D34D3B">
        <w:rPr>
          <w:color w:val="auto"/>
        </w:rPr>
        <w:t>o</w:t>
      </w:r>
      <w:r w:rsidRPr="00D34D3B" w:rsidR="00D34D3B">
        <w:rPr>
          <w:color w:val="auto"/>
        </w:rPr>
        <w:t>p welke wijze kan de doeltreffendheid en doelmatigheid van het arbeidsmarkten opleidingsbeleid worden vergroot, rekening houdend met de rol die het ministerie van VWS hierin kan en hoort te spelen?</w:t>
      </w:r>
      <w:r w:rsidR="00DE134A">
        <w:rPr>
          <w:color w:val="auto"/>
        </w:rPr>
        <w:t>)</w:t>
      </w:r>
      <w:r w:rsidR="0038336E">
        <w:rPr>
          <w:color w:val="auto"/>
        </w:rPr>
        <w:t>.</w:t>
      </w:r>
    </w:p>
    <w:p w:rsidRPr="00324099" w:rsidR="00324099" w:rsidP="00AC3CE7" w:rsidRDefault="00666EAA" w14:paraId="2127AC7E" w14:textId="33F75424">
      <w:pPr>
        <w:pStyle w:val="Lijstalinea"/>
        <w:numPr>
          <w:ilvl w:val="0"/>
          <w:numId w:val="28"/>
        </w:numPr>
        <w:rPr>
          <w:color w:val="auto"/>
        </w:rPr>
      </w:pPr>
      <w:r w:rsidRPr="00324099">
        <w:rPr>
          <w:i/>
        </w:rPr>
        <w:t>M</w:t>
      </w:r>
      <w:r w:rsidRPr="00324099" w:rsidR="00BE7CD3">
        <w:rPr>
          <w:i/>
        </w:rPr>
        <w:t>aatschappelijke ondersteuning</w:t>
      </w:r>
      <w:r w:rsidRPr="001F6D57" w:rsidR="00C44DBA">
        <w:t xml:space="preserve"> </w:t>
      </w:r>
      <w:r w:rsidR="00C44DBA">
        <w:t>(</w:t>
      </w:r>
      <w:r w:rsidR="008176A1">
        <w:rPr>
          <w:color w:val="auto"/>
        </w:rPr>
        <w:t xml:space="preserve">publicatie </w:t>
      </w:r>
      <w:r w:rsidR="00C44DBA">
        <w:t>gepland voor</w:t>
      </w:r>
      <w:r w:rsidRPr="001F6D57" w:rsidR="00C44DBA">
        <w:t xml:space="preserve"> 202</w:t>
      </w:r>
      <w:r w:rsidR="00BE7CD3">
        <w:t>6</w:t>
      </w:r>
      <w:r w:rsidR="00DD1156">
        <w:t xml:space="preserve"> – </w:t>
      </w:r>
      <w:r w:rsidR="00726DC8">
        <w:t xml:space="preserve">via de Harbersbrief kan </w:t>
      </w:r>
      <w:r w:rsidR="00DD1156">
        <w:t>de Tweede Kamer begin 2026 nog invloed uitoefenen op de taakopdracht voor dit onderzoek</w:t>
      </w:r>
      <w:r w:rsidR="00C44DBA">
        <w:t>)</w:t>
      </w:r>
      <w:r w:rsidR="00D34D3B">
        <w:t>.</w:t>
      </w:r>
    </w:p>
    <w:p w:rsidRPr="00324099" w:rsidR="00C5735B" w:rsidP="00324099" w:rsidRDefault="00C5735B" w14:paraId="32A8166E" w14:textId="753A533A">
      <w:pPr>
        <w:rPr>
          <w:color w:val="auto"/>
        </w:rPr>
      </w:pPr>
      <w:r w:rsidRPr="00324099">
        <w:rPr>
          <w:color w:val="auto"/>
        </w:rPr>
        <w:t xml:space="preserve">Wij adviseren u </w:t>
      </w:r>
      <w:r w:rsidR="007D5C99">
        <w:rPr>
          <w:color w:val="auto"/>
        </w:rPr>
        <w:t>bovenstaande</w:t>
      </w:r>
      <w:r w:rsidRPr="00324099">
        <w:rPr>
          <w:color w:val="auto"/>
        </w:rPr>
        <w:t xml:space="preserve"> evaluatie(s) voor uw agendering in overweging te nemen.</w:t>
      </w:r>
    </w:p>
    <w:p w:rsidR="00C97ABD" w:rsidP="00E61E55" w:rsidRDefault="00C97ABD" w14:paraId="757135FA" w14:textId="77777777"/>
    <w:p w:rsidR="00E61E55" w:rsidP="00535528" w:rsidRDefault="00E61E55" w14:paraId="442B1107" w14:textId="77777777">
      <w:pPr>
        <w:pStyle w:val="Kop1"/>
        <w:numPr>
          <w:ilvl w:val="0"/>
          <w:numId w:val="16"/>
        </w:numPr>
        <w:spacing w:after="120"/>
        <w:ind w:left="357" w:hanging="357"/>
      </w:pPr>
      <w:r>
        <w:t>Risico’s en beheer</w:t>
      </w:r>
    </w:p>
    <w:p w:rsidR="00254C80" w:rsidP="00850ABC" w:rsidRDefault="00725EB5" w14:paraId="057F6298" w14:textId="77777777">
      <w:r>
        <w:t>Wij verwachten dat in de begroting aandacht wordt besteed aan financiële risico’s en/of beleidsrisico</w:t>
      </w:r>
      <w:r w:rsidR="00487490">
        <w:t>’</w:t>
      </w:r>
      <w:r>
        <w:t>s</w:t>
      </w:r>
      <w:r w:rsidR="00487490">
        <w:t xml:space="preserve"> en hoe de </w:t>
      </w:r>
      <w:r w:rsidR="00154FF1">
        <w:t>minister</w:t>
      </w:r>
      <w:r w:rsidR="00487490">
        <w:t xml:space="preserve"> daarmee </w:t>
      </w:r>
      <w:r w:rsidR="00154FF1">
        <w:t xml:space="preserve">wil omgaan. </w:t>
      </w:r>
      <w:r w:rsidR="00DB1C05">
        <w:t xml:space="preserve">In onderstaande tabel schetsen we </w:t>
      </w:r>
      <w:r w:rsidR="007904F3">
        <w:t xml:space="preserve">een aantal </w:t>
      </w:r>
      <w:r w:rsidR="00DB1C05">
        <w:t>gesignaleerde risico</w:t>
      </w:r>
      <w:r w:rsidR="00487490">
        <w:t>’</w:t>
      </w:r>
      <w:r w:rsidR="00DB1C05">
        <w:t>s</w:t>
      </w:r>
      <w:r w:rsidR="00487490">
        <w:t xml:space="preserve"> en </w:t>
      </w:r>
      <w:r w:rsidR="00F60AD6">
        <w:t xml:space="preserve">hoe de </w:t>
      </w:r>
      <w:r w:rsidR="00487490">
        <w:t xml:space="preserve">minister </w:t>
      </w:r>
      <w:r w:rsidR="00F60AD6">
        <w:t xml:space="preserve">deze </w:t>
      </w:r>
      <w:r w:rsidR="009B4C3D">
        <w:t>aanpakt</w:t>
      </w:r>
      <w:r w:rsidR="00DB1C05">
        <w:t>.</w:t>
      </w:r>
    </w:p>
    <w:p w:rsidRPr="00850ABC" w:rsidR="00850ABC" w:rsidP="00850ABC" w:rsidRDefault="00850ABC" w14:paraId="7DDD2CD0" w14:textId="1CCD27DF">
      <w:pPr>
        <w:rPr>
          <w:b/>
        </w:rPr>
      </w:pPr>
      <w:r w:rsidRPr="00850ABC">
        <w:rPr>
          <w:b/>
        </w:rPr>
        <w:lastRenderedPageBreak/>
        <w:t xml:space="preserve">Tabel </w:t>
      </w:r>
      <w:r w:rsidR="00F60AD6">
        <w:rPr>
          <w:b/>
        </w:rPr>
        <w:t>3</w:t>
      </w:r>
      <w:r w:rsidRPr="00850ABC">
        <w:rPr>
          <w:b/>
        </w:rPr>
        <w:t xml:space="preserve">: </w:t>
      </w:r>
      <w:r>
        <w:rPr>
          <w:b/>
        </w:rPr>
        <w:t xml:space="preserve">Adressering van risico’s in de begroting </w:t>
      </w:r>
      <w:r w:rsidRPr="00850ABC">
        <w:rPr>
          <w:b/>
        </w:rPr>
        <w:t xml:space="preserve">van </w:t>
      </w:r>
      <w:r>
        <w:rPr>
          <w:b/>
        </w:rPr>
        <w:t xml:space="preserve">ministerie van </w:t>
      </w:r>
      <w:r w:rsidR="001C28F7">
        <w:rPr>
          <w:b/>
        </w:rPr>
        <w:t>Volksgezondheid, Welzijn en Sport</w:t>
      </w:r>
    </w:p>
    <w:tbl>
      <w:tblPr>
        <w:tblStyle w:val="Tabelraster"/>
        <w:tblW w:w="0" w:type="auto"/>
        <w:tblLook w:val="04A0" w:firstRow="1" w:lastRow="0" w:firstColumn="1" w:lastColumn="0" w:noHBand="0" w:noVBand="1"/>
      </w:tblPr>
      <w:tblGrid>
        <w:gridCol w:w="2163"/>
        <w:gridCol w:w="2018"/>
        <w:gridCol w:w="1109"/>
        <w:gridCol w:w="2638"/>
      </w:tblGrid>
      <w:tr w:rsidRPr="000A3FC6" w:rsidR="0090334B" w:rsidTr="00E11973" w14:paraId="18F0D937" w14:textId="77777777">
        <w:tc>
          <w:tcPr>
            <w:tcW w:w="1397" w:type="dxa"/>
            <w:shd w:val="clear" w:color="auto" w:fill="DEEAF6" w:themeFill="accent1" w:themeFillTint="33"/>
          </w:tcPr>
          <w:p w:rsidRPr="00477BD7" w:rsidR="0060427A" w:rsidP="00477BD7" w:rsidRDefault="0060427A" w14:paraId="7590C06B" w14:textId="77777777">
            <w:pPr>
              <w:spacing w:line="240" w:lineRule="auto"/>
              <w:rPr>
                <w:b/>
                <w:sz w:val="18"/>
              </w:rPr>
            </w:pPr>
            <w:r w:rsidRPr="00477BD7">
              <w:rPr>
                <w:b/>
                <w:sz w:val="18"/>
              </w:rPr>
              <w:t>Risico</w:t>
            </w:r>
            <w:r w:rsidRPr="00477BD7" w:rsidR="00154FF1">
              <w:rPr>
                <w:b/>
                <w:sz w:val="18"/>
              </w:rPr>
              <w:t>-</w:t>
            </w:r>
            <w:r w:rsidRPr="00477BD7" w:rsidR="00487490">
              <w:rPr>
                <w:b/>
                <w:sz w:val="18"/>
              </w:rPr>
              <w:t>omschrijving</w:t>
            </w:r>
          </w:p>
        </w:tc>
        <w:tc>
          <w:tcPr>
            <w:tcW w:w="2355" w:type="dxa"/>
            <w:shd w:val="clear" w:color="auto" w:fill="DEEAF6" w:themeFill="accent1" w:themeFillTint="33"/>
          </w:tcPr>
          <w:p w:rsidRPr="00477BD7" w:rsidR="0060427A" w:rsidP="00477BD7" w:rsidRDefault="0060427A" w14:paraId="4D32B478" w14:textId="77777777">
            <w:pPr>
              <w:spacing w:line="240" w:lineRule="auto"/>
              <w:rPr>
                <w:b/>
                <w:sz w:val="18"/>
              </w:rPr>
            </w:pPr>
            <w:r w:rsidRPr="00477BD7">
              <w:rPr>
                <w:b/>
                <w:sz w:val="18"/>
              </w:rPr>
              <w:t>Bron</w:t>
            </w:r>
          </w:p>
        </w:tc>
        <w:tc>
          <w:tcPr>
            <w:tcW w:w="1205" w:type="dxa"/>
            <w:shd w:val="clear" w:color="auto" w:fill="DEEAF6" w:themeFill="accent1" w:themeFillTint="33"/>
          </w:tcPr>
          <w:p w:rsidRPr="00477BD7" w:rsidR="0060427A" w:rsidP="00477BD7" w:rsidRDefault="0060427A" w14:paraId="2D423324" w14:textId="77777777">
            <w:pPr>
              <w:spacing w:line="240" w:lineRule="auto"/>
              <w:rPr>
                <w:b/>
                <w:sz w:val="18"/>
              </w:rPr>
            </w:pPr>
            <w:r w:rsidRPr="00477BD7">
              <w:rPr>
                <w:b/>
                <w:sz w:val="18"/>
              </w:rPr>
              <w:t>Aandacht in begroting ja/nee</w:t>
            </w:r>
          </w:p>
        </w:tc>
        <w:tc>
          <w:tcPr>
            <w:tcW w:w="2971" w:type="dxa"/>
            <w:shd w:val="clear" w:color="auto" w:fill="DEEAF6" w:themeFill="accent1" w:themeFillTint="33"/>
          </w:tcPr>
          <w:p w:rsidRPr="00477BD7" w:rsidR="0060427A" w:rsidP="00477BD7" w:rsidRDefault="00154FF1" w14:paraId="5FB0B3DC" w14:textId="77777777">
            <w:pPr>
              <w:spacing w:line="240" w:lineRule="auto"/>
              <w:rPr>
                <w:b/>
                <w:sz w:val="18"/>
              </w:rPr>
            </w:pPr>
            <w:r w:rsidRPr="00477BD7">
              <w:rPr>
                <w:b/>
                <w:sz w:val="18"/>
              </w:rPr>
              <w:t xml:space="preserve">Wijze waarop risico wordt </w:t>
            </w:r>
            <w:r w:rsidRPr="00477BD7" w:rsidR="00DE0479">
              <w:rPr>
                <w:b/>
                <w:sz w:val="18"/>
              </w:rPr>
              <w:t xml:space="preserve">aangepakt </w:t>
            </w:r>
          </w:p>
        </w:tc>
      </w:tr>
      <w:tr w:rsidRPr="000A3FC6" w:rsidR="0090334B" w:rsidTr="00E11973" w14:paraId="4BB9D0DC" w14:textId="77777777">
        <w:tc>
          <w:tcPr>
            <w:tcW w:w="1397" w:type="dxa"/>
          </w:tcPr>
          <w:p w:rsidRPr="000A3FC6" w:rsidR="0060427A" w:rsidP="00DA0004" w:rsidRDefault="000A41BD" w14:paraId="6AC9C1BC" w14:textId="13C519DB">
            <w:pPr>
              <w:spacing w:line="240" w:lineRule="auto"/>
              <w:rPr>
                <w:sz w:val="18"/>
                <w:szCs w:val="18"/>
              </w:rPr>
            </w:pPr>
            <w:r>
              <w:rPr>
                <w:sz w:val="18"/>
                <w:szCs w:val="18"/>
              </w:rPr>
              <w:t>Toename</w:t>
            </w:r>
            <w:r w:rsidR="00324099">
              <w:rPr>
                <w:sz w:val="18"/>
                <w:szCs w:val="18"/>
              </w:rPr>
              <w:t xml:space="preserve"> problematiek</w:t>
            </w:r>
            <w:r>
              <w:rPr>
                <w:sz w:val="18"/>
                <w:szCs w:val="18"/>
              </w:rPr>
              <w:t xml:space="preserve"> </w:t>
            </w:r>
            <w:r w:rsidR="004170A4">
              <w:rPr>
                <w:sz w:val="18"/>
                <w:szCs w:val="18"/>
              </w:rPr>
              <w:t>leefstijl en -</w:t>
            </w:r>
            <w:r w:rsidR="00324099">
              <w:rPr>
                <w:sz w:val="18"/>
                <w:szCs w:val="18"/>
              </w:rPr>
              <w:t>omgeving</w:t>
            </w:r>
          </w:p>
        </w:tc>
        <w:tc>
          <w:tcPr>
            <w:tcW w:w="2355" w:type="dxa"/>
          </w:tcPr>
          <w:p w:rsidRPr="00254C80" w:rsidR="0060427A" w:rsidP="00B747E6" w:rsidRDefault="00E83070" w14:paraId="54D0E3C4" w14:textId="1D993EED">
            <w:pPr>
              <w:pStyle w:val="Lijstalinea"/>
              <w:numPr>
                <w:ilvl w:val="0"/>
                <w:numId w:val="32"/>
              </w:numPr>
              <w:spacing w:line="240" w:lineRule="auto"/>
              <w:ind w:left="170" w:hanging="170"/>
              <w:rPr>
                <w:sz w:val="16"/>
                <w:szCs w:val="18"/>
              </w:rPr>
            </w:pPr>
            <w:hyperlink w:history="1" r:id="rId9">
              <w:r w:rsidRPr="00254C80" w:rsidR="00B747E6">
                <w:rPr>
                  <w:rStyle w:val="Hyperlink"/>
                  <w:sz w:val="18"/>
                </w:rPr>
                <w:t>RIVM</w:t>
              </w:r>
            </w:hyperlink>
          </w:p>
          <w:p w:rsidR="00B747E6" w:rsidP="00477BD7" w:rsidRDefault="00B747E6" w14:paraId="1A49177B" w14:textId="77777777">
            <w:pPr>
              <w:spacing w:line="240" w:lineRule="auto"/>
              <w:rPr>
                <w:sz w:val="18"/>
                <w:szCs w:val="18"/>
              </w:rPr>
            </w:pPr>
          </w:p>
          <w:p w:rsidRPr="000A3FC6" w:rsidR="00B747E6" w:rsidP="00477BD7" w:rsidRDefault="00B747E6" w14:paraId="591A3052" w14:textId="6CB77358">
            <w:pPr>
              <w:spacing w:line="240" w:lineRule="auto"/>
              <w:rPr>
                <w:sz w:val="18"/>
                <w:szCs w:val="18"/>
              </w:rPr>
            </w:pPr>
          </w:p>
        </w:tc>
        <w:tc>
          <w:tcPr>
            <w:tcW w:w="1205" w:type="dxa"/>
          </w:tcPr>
          <w:p w:rsidRPr="000A3FC6" w:rsidR="0060427A" w:rsidP="00477BD7" w:rsidRDefault="00637F38" w14:paraId="5CBCB0B3" w14:textId="090B1226">
            <w:pPr>
              <w:spacing w:line="240" w:lineRule="auto"/>
              <w:rPr>
                <w:sz w:val="18"/>
                <w:szCs w:val="18"/>
              </w:rPr>
            </w:pPr>
            <w:r>
              <w:rPr>
                <w:sz w:val="18"/>
                <w:szCs w:val="18"/>
              </w:rPr>
              <w:t>ja</w:t>
            </w:r>
          </w:p>
        </w:tc>
        <w:tc>
          <w:tcPr>
            <w:tcW w:w="2971" w:type="dxa"/>
          </w:tcPr>
          <w:p w:rsidRPr="000A3FC6" w:rsidR="0060427A" w:rsidP="00120FFD" w:rsidRDefault="00E7190B" w14:paraId="4DD3A6FB" w14:textId="7DCBD769">
            <w:pPr>
              <w:spacing w:line="240" w:lineRule="auto"/>
              <w:rPr>
                <w:sz w:val="18"/>
                <w:szCs w:val="18"/>
              </w:rPr>
            </w:pPr>
            <w:r>
              <w:rPr>
                <w:sz w:val="18"/>
                <w:szCs w:val="18"/>
              </w:rPr>
              <w:t xml:space="preserve">VWS blijft in 2026 preventie en leefstijlprogramma’s financieren, w.o. </w:t>
            </w:r>
            <w:r w:rsidR="00120FFD">
              <w:rPr>
                <w:sz w:val="18"/>
                <w:szCs w:val="18"/>
              </w:rPr>
              <w:t>voorlichting, educatie en het creëren van gezondere omgevingen op plekken waar veel kinderen komen.</w:t>
            </w:r>
          </w:p>
        </w:tc>
      </w:tr>
      <w:tr w:rsidRPr="000A3FC6" w:rsidR="0090334B" w:rsidTr="00E11973" w14:paraId="04390EC8" w14:textId="77777777">
        <w:tc>
          <w:tcPr>
            <w:tcW w:w="1397" w:type="dxa"/>
          </w:tcPr>
          <w:p w:rsidRPr="000A3FC6" w:rsidR="0060427A" w:rsidP="00A2307C" w:rsidRDefault="00A2307C" w14:paraId="328E746B" w14:textId="09FF0E8F">
            <w:pPr>
              <w:spacing w:line="240" w:lineRule="auto"/>
              <w:rPr>
                <w:sz w:val="18"/>
                <w:szCs w:val="18"/>
              </w:rPr>
            </w:pPr>
            <w:r>
              <w:rPr>
                <w:sz w:val="18"/>
                <w:szCs w:val="18"/>
              </w:rPr>
              <w:t xml:space="preserve">Gebrekkige impact </w:t>
            </w:r>
            <w:r w:rsidR="00667974">
              <w:rPr>
                <w:sz w:val="18"/>
                <w:szCs w:val="18"/>
              </w:rPr>
              <w:t xml:space="preserve">van </w:t>
            </w:r>
            <w:r w:rsidR="00022439">
              <w:rPr>
                <w:sz w:val="18"/>
                <w:szCs w:val="18"/>
              </w:rPr>
              <w:t>hoofdlijnenakkoorden en instrumenten gestoeld op een inspanningsverplichting.</w:t>
            </w:r>
          </w:p>
        </w:tc>
        <w:tc>
          <w:tcPr>
            <w:tcW w:w="2355" w:type="dxa"/>
          </w:tcPr>
          <w:p w:rsidRPr="00F503DA" w:rsidR="00A7006E" w:rsidP="00F503DA" w:rsidRDefault="00E11973" w14:paraId="1E150750" w14:textId="5E28F9CE">
            <w:pPr>
              <w:pStyle w:val="Lijstalinea"/>
              <w:numPr>
                <w:ilvl w:val="0"/>
                <w:numId w:val="32"/>
              </w:numPr>
              <w:spacing w:line="240" w:lineRule="auto"/>
              <w:ind w:left="170" w:hanging="170"/>
              <w:rPr>
                <w:sz w:val="18"/>
                <w:szCs w:val="18"/>
              </w:rPr>
            </w:pPr>
            <w:r>
              <w:rPr>
                <w:sz w:val="18"/>
                <w:szCs w:val="18"/>
              </w:rPr>
              <w:t xml:space="preserve">Algemene Rekenkamer: </w:t>
            </w:r>
            <w:hyperlink w:history="1" r:id="rId10">
              <w:r w:rsidRPr="00022439" w:rsidR="00022439">
                <w:rPr>
                  <w:rStyle w:val="Hyperlink"/>
                  <w:sz w:val="18"/>
                  <w:szCs w:val="18"/>
                </w:rPr>
                <w:t>Zorgakkoorden</w:t>
              </w:r>
            </w:hyperlink>
            <w:r w:rsidR="00022439">
              <w:rPr>
                <w:sz w:val="18"/>
                <w:szCs w:val="18"/>
              </w:rPr>
              <w:t xml:space="preserve"> (</w:t>
            </w:r>
            <w:r>
              <w:rPr>
                <w:sz w:val="18"/>
                <w:szCs w:val="18"/>
              </w:rPr>
              <w:t>20</w:t>
            </w:r>
            <w:r w:rsidR="00022439">
              <w:rPr>
                <w:sz w:val="18"/>
                <w:szCs w:val="18"/>
              </w:rPr>
              <w:t>16</w:t>
            </w:r>
            <w:r>
              <w:rPr>
                <w:sz w:val="18"/>
                <w:szCs w:val="18"/>
              </w:rPr>
              <w:t>)</w:t>
            </w:r>
          </w:p>
        </w:tc>
        <w:tc>
          <w:tcPr>
            <w:tcW w:w="1205" w:type="dxa"/>
          </w:tcPr>
          <w:p w:rsidRPr="000A3FC6" w:rsidR="0060427A" w:rsidP="00477BD7" w:rsidRDefault="00673122" w14:paraId="27C644C2" w14:textId="30CEAA7F">
            <w:pPr>
              <w:spacing w:line="240" w:lineRule="auto"/>
              <w:rPr>
                <w:sz w:val="18"/>
                <w:szCs w:val="18"/>
              </w:rPr>
            </w:pPr>
            <w:r>
              <w:rPr>
                <w:sz w:val="18"/>
                <w:szCs w:val="18"/>
              </w:rPr>
              <w:t>nee</w:t>
            </w:r>
          </w:p>
        </w:tc>
        <w:tc>
          <w:tcPr>
            <w:tcW w:w="2971" w:type="dxa"/>
          </w:tcPr>
          <w:p w:rsidRPr="000A3FC6" w:rsidR="0060427A" w:rsidP="00141EA6" w:rsidRDefault="00022439" w14:paraId="7C487EE5" w14:textId="46863C24">
            <w:pPr>
              <w:spacing w:line="240" w:lineRule="auto"/>
              <w:rPr>
                <w:sz w:val="18"/>
                <w:szCs w:val="18"/>
              </w:rPr>
            </w:pPr>
            <w:r>
              <w:rPr>
                <w:sz w:val="18"/>
                <w:szCs w:val="18"/>
              </w:rPr>
              <w:t xml:space="preserve">We zien dat er steeds meer akkoorden worden gesloten. De </w:t>
            </w:r>
            <w:r w:rsidR="00A7006E">
              <w:rPr>
                <w:sz w:val="18"/>
                <w:szCs w:val="18"/>
              </w:rPr>
              <w:t xml:space="preserve">afdwingbaarheid van de daarin gemaakte afspraken </w:t>
            </w:r>
            <w:r w:rsidR="007F4B22">
              <w:rPr>
                <w:sz w:val="18"/>
                <w:szCs w:val="18"/>
              </w:rPr>
              <w:t>is een thema dat meer</w:t>
            </w:r>
            <w:r w:rsidR="00A7006E">
              <w:rPr>
                <w:sz w:val="18"/>
                <w:szCs w:val="18"/>
              </w:rPr>
              <w:t xml:space="preserve"> aandacht verdient.</w:t>
            </w:r>
          </w:p>
        </w:tc>
      </w:tr>
      <w:tr w:rsidRPr="000A3FC6" w:rsidR="0090334B" w:rsidTr="00E11973" w14:paraId="391ABB45" w14:textId="77777777">
        <w:tc>
          <w:tcPr>
            <w:tcW w:w="1397" w:type="dxa"/>
          </w:tcPr>
          <w:p w:rsidRPr="000A3FC6" w:rsidR="0060427A" w:rsidP="00B43916" w:rsidRDefault="007C3343" w14:paraId="1BF8BE3D" w14:textId="5CF8B63A">
            <w:pPr>
              <w:spacing w:line="240" w:lineRule="auto"/>
              <w:rPr>
                <w:sz w:val="18"/>
                <w:szCs w:val="18"/>
              </w:rPr>
            </w:pPr>
            <w:r>
              <w:rPr>
                <w:sz w:val="18"/>
                <w:szCs w:val="18"/>
              </w:rPr>
              <w:t xml:space="preserve">Onvoldoende </w:t>
            </w:r>
            <w:r w:rsidRPr="00324099" w:rsidR="00324099">
              <w:rPr>
                <w:sz w:val="18"/>
                <w:szCs w:val="18"/>
              </w:rPr>
              <w:t xml:space="preserve">nadenken over </w:t>
            </w:r>
            <w:r w:rsidR="00637F38">
              <w:rPr>
                <w:sz w:val="18"/>
                <w:szCs w:val="18"/>
              </w:rPr>
              <w:t>verdeling van</w:t>
            </w:r>
            <w:r w:rsidRPr="00324099" w:rsidR="00324099">
              <w:rPr>
                <w:sz w:val="18"/>
                <w:szCs w:val="18"/>
              </w:rPr>
              <w:t xml:space="preserve"> schaarste</w:t>
            </w:r>
            <w:r>
              <w:rPr>
                <w:sz w:val="18"/>
                <w:szCs w:val="18"/>
              </w:rPr>
              <w:t xml:space="preserve"> door o</w:t>
            </w:r>
            <w:r w:rsidR="00B43916">
              <w:rPr>
                <w:sz w:val="18"/>
                <w:szCs w:val="18"/>
              </w:rPr>
              <w:t>nder andere</w:t>
            </w:r>
            <w:r>
              <w:rPr>
                <w:sz w:val="18"/>
                <w:szCs w:val="18"/>
              </w:rPr>
              <w:t xml:space="preserve"> </w:t>
            </w:r>
            <w:r w:rsidR="00E11973">
              <w:rPr>
                <w:sz w:val="18"/>
                <w:szCs w:val="18"/>
              </w:rPr>
              <w:t>personeelstekort</w:t>
            </w:r>
          </w:p>
        </w:tc>
        <w:tc>
          <w:tcPr>
            <w:tcW w:w="2355" w:type="dxa"/>
          </w:tcPr>
          <w:p w:rsidR="00B13009" w:rsidP="00B13009" w:rsidRDefault="00B13009" w14:paraId="2430DBD4" w14:textId="77777777">
            <w:pPr>
              <w:pStyle w:val="Lijstalinea"/>
              <w:numPr>
                <w:ilvl w:val="0"/>
                <w:numId w:val="32"/>
              </w:numPr>
              <w:spacing w:line="240" w:lineRule="auto"/>
              <w:ind w:left="170" w:hanging="170"/>
              <w:rPr>
                <w:sz w:val="18"/>
                <w:szCs w:val="18"/>
              </w:rPr>
            </w:pPr>
            <w:r w:rsidRPr="00B13009">
              <w:rPr>
                <w:sz w:val="18"/>
                <w:szCs w:val="18"/>
              </w:rPr>
              <w:t xml:space="preserve">Artsenfederatie </w:t>
            </w:r>
            <w:hyperlink w:history="1" r:id="rId11">
              <w:r w:rsidRPr="00B13009">
                <w:rPr>
                  <w:rStyle w:val="Hyperlink"/>
                  <w:sz w:val="18"/>
                  <w:szCs w:val="18"/>
                </w:rPr>
                <w:t>KNMG</w:t>
              </w:r>
            </w:hyperlink>
          </w:p>
          <w:p w:rsidR="00B13009" w:rsidP="00B13009" w:rsidRDefault="00E83070" w14:paraId="6BDE0996" w14:textId="77777777">
            <w:pPr>
              <w:pStyle w:val="Lijstalinea"/>
              <w:numPr>
                <w:ilvl w:val="0"/>
                <w:numId w:val="32"/>
              </w:numPr>
              <w:spacing w:line="240" w:lineRule="auto"/>
              <w:ind w:left="170" w:hanging="170"/>
              <w:rPr>
                <w:sz w:val="18"/>
                <w:szCs w:val="18"/>
              </w:rPr>
            </w:pPr>
            <w:hyperlink w:history="1" r:id="rId12">
              <w:r w:rsidRPr="00B13009" w:rsidR="00B13009">
                <w:rPr>
                  <w:rStyle w:val="Hyperlink"/>
                  <w:sz w:val="18"/>
                  <w:szCs w:val="18"/>
                </w:rPr>
                <w:t>IGJ</w:t>
              </w:r>
            </w:hyperlink>
          </w:p>
          <w:p w:rsidRPr="000A3FC6" w:rsidR="00B13009" w:rsidP="00B13009" w:rsidRDefault="00E83070" w14:paraId="30A6EAC0" w14:textId="611C3461">
            <w:pPr>
              <w:pStyle w:val="Lijstalinea"/>
              <w:numPr>
                <w:ilvl w:val="0"/>
                <w:numId w:val="32"/>
              </w:numPr>
              <w:spacing w:line="240" w:lineRule="auto"/>
              <w:ind w:left="170" w:hanging="170"/>
              <w:rPr>
                <w:sz w:val="18"/>
                <w:szCs w:val="18"/>
              </w:rPr>
            </w:pPr>
            <w:hyperlink w:history="1" r:id="rId13">
              <w:r w:rsidRPr="00B13009" w:rsidR="00B13009">
                <w:rPr>
                  <w:rStyle w:val="Hyperlink"/>
                  <w:sz w:val="18"/>
                  <w:szCs w:val="18"/>
                </w:rPr>
                <w:t>Zorginstituut Nederland</w:t>
              </w:r>
            </w:hyperlink>
          </w:p>
        </w:tc>
        <w:tc>
          <w:tcPr>
            <w:tcW w:w="1205" w:type="dxa"/>
          </w:tcPr>
          <w:p w:rsidRPr="000A3FC6" w:rsidR="0060427A" w:rsidP="00477BD7" w:rsidRDefault="00637F38" w14:paraId="0E889142" w14:textId="66C411AD">
            <w:pPr>
              <w:spacing w:line="240" w:lineRule="auto"/>
              <w:rPr>
                <w:sz w:val="18"/>
                <w:szCs w:val="18"/>
              </w:rPr>
            </w:pPr>
            <w:r>
              <w:rPr>
                <w:sz w:val="18"/>
                <w:szCs w:val="18"/>
              </w:rPr>
              <w:t>nee</w:t>
            </w:r>
          </w:p>
        </w:tc>
        <w:tc>
          <w:tcPr>
            <w:tcW w:w="2971" w:type="dxa"/>
          </w:tcPr>
          <w:p w:rsidRPr="000A3FC6" w:rsidR="00DC200D" w:rsidP="00E11973" w:rsidRDefault="00DC200D" w14:paraId="28394BB9" w14:textId="0E790DDC">
            <w:pPr>
              <w:spacing w:line="240" w:lineRule="auto"/>
              <w:rPr>
                <w:sz w:val="18"/>
                <w:szCs w:val="18"/>
              </w:rPr>
            </w:pPr>
            <w:r>
              <w:rPr>
                <w:sz w:val="18"/>
                <w:szCs w:val="18"/>
              </w:rPr>
              <w:t>H</w:t>
            </w:r>
            <w:r w:rsidRPr="00DC200D">
              <w:rPr>
                <w:sz w:val="18"/>
                <w:szCs w:val="18"/>
              </w:rPr>
              <w:t>et houdbaarheidsonderzoek Wmo 2015</w:t>
            </w:r>
            <w:r>
              <w:rPr>
                <w:sz w:val="18"/>
                <w:szCs w:val="18"/>
              </w:rPr>
              <w:t xml:space="preserve"> </w:t>
            </w:r>
            <w:r w:rsidR="00E11973">
              <w:rPr>
                <w:sz w:val="18"/>
                <w:szCs w:val="18"/>
              </w:rPr>
              <w:t>(publicatie eind 2025) zal</w:t>
            </w:r>
            <w:r>
              <w:rPr>
                <w:sz w:val="18"/>
                <w:szCs w:val="18"/>
              </w:rPr>
              <w:t xml:space="preserve"> input </w:t>
            </w:r>
            <w:r w:rsidR="00E11973">
              <w:rPr>
                <w:sz w:val="18"/>
                <w:szCs w:val="18"/>
              </w:rPr>
              <w:t xml:space="preserve">zijn </w:t>
            </w:r>
            <w:r>
              <w:rPr>
                <w:sz w:val="18"/>
                <w:szCs w:val="18"/>
              </w:rPr>
              <w:t xml:space="preserve">voor de SEA naar </w:t>
            </w:r>
            <w:r w:rsidR="00E11973">
              <w:rPr>
                <w:sz w:val="18"/>
                <w:szCs w:val="18"/>
              </w:rPr>
              <w:t>M</w:t>
            </w:r>
            <w:r>
              <w:rPr>
                <w:sz w:val="18"/>
                <w:szCs w:val="18"/>
              </w:rPr>
              <w:t xml:space="preserve">aatschappelijke </w:t>
            </w:r>
            <w:r w:rsidR="00E11973">
              <w:rPr>
                <w:sz w:val="18"/>
                <w:szCs w:val="18"/>
              </w:rPr>
              <w:t>O</w:t>
            </w:r>
            <w:r>
              <w:rPr>
                <w:sz w:val="18"/>
                <w:szCs w:val="18"/>
              </w:rPr>
              <w:t xml:space="preserve">ndersteuning. Geschetste scenario’s vragen om bestuurlijke en politieke besluitvorming. </w:t>
            </w:r>
          </w:p>
        </w:tc>
      </w:tr>
      <w:tr w:rsidRPr="000A3FC6" w:rsidR="0090334B" w:rsidTr="00E11973" w14:paraId="6CD97077" w14:textId="77777777">
        <w:tc>
          <w:tcPr>
            <w:tcW w:w="1397" w:type="dxa"/>
          </w:tcPr>
          <w:p w:rsidR="00155D56" w:rsidP="00155D56" w:rsidRDefault="0037253F" w14:paraId="60B7C98B" w14:textId="08F7CD60">
            <w:pPr>
              <w:spacing w:line="240" w:lineRule="auto"/>
              <w:rPr>
                <w:sz w:val="18"/>
                <w:szCs w:val="18"/>
              </w:rPr>
            </w:pPr>
            <w:r>
              <w:rPr>
                <w:sz w:val="18"/>
                <w:szCs w:val="18"/>
              </w:rPr>
              <w:t>De stijging van zorg</w:t>
            </w:r>
            <w:r w:rsidR="000C3A30">
              <w:rPr>
                <w:sz w:val="18"/>
                <w:szCs w:val="18"/>
              </w:rPr>
              <w:t>uitgaven</w:t>
            </w:r>
            <w:r>
              <w:rPr>
                <w:sz w:val="18"/>
                <w:szCs w:val="18"/>
              </w:rPr>
              <w:t xml:space="preserve"> ten opzichte van andere overheidsuitgaven. </w:t>
            </w:r>
          </w:p>
          <w:p w:rsidR="00155D56" w:rsidP="00155D56" w:rsidRDefault="00155D56" w14:paraId="17CCFD99" w14:textId="77777777">
            <w:pPr>
              <w:spacing w:line="240" w:lineRule="auto"/>
              <w:rPr>
                <w:sz w:val="18"/>
                <w:szCs w:val="18"/>
              </w:rPr>
            </w:pPr>
          </w:p>
          <w:p w:rsidRPr="00247B8B" w:rsidR="00C57838" w:rsidRDefault="00155D56" w14:paraId="12D5F992" w14:textId="3754E9D7">
            <w:pPr>
              <w:spacing w:line="240" w:lineRule="auto"/>
              <w:rPr>
                <w:sz w:val="18"/>
                <w:szCs w:val="18"/>
              </w:rPr>
            </w:pPr>
            <w:r w:rsidRPr="00155D56">
              <w:rPr>
                <w:sz w:val="18"/>
                <w:szCs w:val="18"/>
              </w:rPr>
              <w:t>Uit ramingen van het RIVM</w:t>
            </w:r>
            <w:r w:rsidR="00285C08">
              <w:rPr>
                <w:rStyle w:val="Voetnootmarkering"/>
                <w:sz w:val="18"/>
                <w:szCs w:val="18"/>
              </w:rPr>
              <w:footnoteReference w:id="2"/>
            </w:r>
            <w:r w:rsidRPr="00155D56">
              <w:rPr>
                <w:sz w:val="18"/>
                <w:szCs w:val="18"/>
              </w:rPr>
              <w:t xml:space="preserve"> blijkt dat als percentage van het Bruto Binnenlands Prod</w:t>
            </w:r>
            <w:r w:rsidR="0090334B">
              <w:rPr>
                <w:sz w:val="18"/>
                <w:szCs w:val="18"/>
              </w:rPr>
              <w:t>uct (BBP) de zorguitgaven oplopen</w:t>
            </w:r>
            <w:r w:rsidRPr="00155D56">
              <w:rPr>
                <w:sz w:val="18"/>
                <w:szCs w:val="18"/>
              </w:rPr>
              <w:t xml:space="preserve"> van 11,2% in 2023 tot 14,6% in 2050 </w:t>
            </w:r>
            <w:r w:rsidR="00285C08">
              <w:rPr>
                <w:sz w:val="18"/>
                <w:szCs w:val="18"/>
              </w:rPr>
              <w:t>(zie onderstaande figuur).</w:t>
            </w:r>
            <w:r w:rsidR="006C7DD0">
              <w:t xml:space="preserve"> </w:t>
            </w:r>
            <w:r w:rsidRPr="00254C80" w:rsidR="006C7DD0">
              <w:rPr>
                <w:sz w:val="18"/>
                <w:szCs w:val="18"/>
              </w:rPr>
              <w:t xml:space="preserve">Hierbij </w:t>
            </w:r>
            <w:r w:rsidRPr="009D59B2" w:rsidR="006C7DD0">
              <w:rPr>
                <w:sz w:val="18"/>
                <w:szCs w:val="18"/>
              </w:rPr>
              <w:t xml:space="preserve">is geen rekening gehouden </w:t>
            </w:r>
            <w:r w:rsidRPr="00C13AF6" w:rsidR="0090334B">
              <w:rPr>
                <w:sz w:val="18"/>
                <w:szCs w:val="18"/>
              </w:rPr>
              <w:t xml:space="preserve">met stijgende </w:t>
            </w:r>
            <w:r w:rsidRPr="00C13AF6" w:rsidR="006C7DD0">
              <w:rPr>
                <w:sz w:val="18"/>
                <w:szCs w:val="18"/>
              </w:rPr>
              <w:t>personeelstekorten in de zorg.</w:t>
            </w:r>
          </w:p>
        </w:tc>
        <w:tc>
          <w:tcPr>
            <w:tcW w:w="2355" w:type="dxa"/>
          </w:tcPr>
          <w:p w:rsidRPr="00D169F3" w:rsidR="00C57838" w:rsidP="00247B8B" w:rsidRDefault="00E83070" w14:paraId="35D41162" w14:textId="76E4D7C8">
            <w:pPr>
              <w:pStyle w:val="Lijstalinea"/>
              <w:numPr>
                <w:ilvl w:val="0"/>
                <w:numId w:val="32"/>
              </w:numPr>
              <w:spacing w:line="240" w:lineRule="auto"/>
              <w:ind w:left="170" w:hanging="170"/>
              <w:rPr>
                <w:sz w:val="18"/>
                <w:szCs w:val="18"/>
              </w:rPr>
            </w:pPr>
            <w:hyperlink w:history="1" r:id="rId14">
              <w:r w:rsidRPr="00254C80" w:rsidR="00C57838">
                <w:rPr>
                  <w:rStyle w:val="Hyperlink"/>
                  <w:sz w:val="18"/>
                  <w:szCs w:val="18"/>
                </w:rPr>
                <w:t>RIVM</w:t>
              </w:r>
            </w:hyperlink>
          </w:p>
        </w:tc>
        <w:tc>
          <w:tcPr>
            <w:tcW w:w="1205" w:type="dxa"/>
          </w:tcPr>
          <w:p w:rsidR="00C57838" w:rsidP="00477BD7" w:rsidRDefault="006C7DD0" w14:paraId="23ABB10C" w14:textId="075CFC10">
            <w:pPr>
              <w:spacing w:line="240" w:lineRule="auto"/>
              <w:rPr>
                <w:sz w:val="18"/>
                <w:szCs w:val="18"/>
              </w:rPr>
            </w:pPr>
            <w:r>
              <w:rPr>
                <w:sz w:val="18"/>
                <w:szCs w:val="18"/>
              </w:rPr>
              <w:t>Ja</w:t>
            </w:r>
          </w:p>
        </w:tc>
        <w:tc>
          <w:tcPr>
            <w:tcW w:w="2971" w:type="dxa"/>
          </w:tcPr>
          <w:p w:rsidRPr="00254C80" w:rsidR="00C57838" w:rsidRDefault="006C7DD0" w14:paraId="0CB3E80A" w14:textId="318DC405">
            <w:pPr>
              <w:spacing w:line="240" w:lineRule="auto"/>
            </w:pPr>
            <w:r>
              <w:rPr>
                <w:sz w:val="18"/>
                <w:szCs w:val="18"/>
              </w:rPr>
              <w:t xml:space="preserve">De minister van </w:t>
            </w:r>
            <w:r w:rsidR="00570639">
              <w:rPr>
                <w:sz w:val="18"/>
                <w:szCs w:val="18"/>
              </w:rPr>
              <w:t xml:space="preserve">VWS zet </w:t>
            </w:r>
            <w:r>
              <w:rPr>
                <w:sz w:val="18"/>
                <w:szCs w:val="18"/>
              </w:rPr>
              <w:t xml:space="preserve">met het integraal zorgakkoord (IZA) en het </w:t>
            </w:r>
            <w:r w:rsidRPr="006C7DD0">
              <w:rPr>
                <w:sz w:val="18"/>
                <w:szCs w:val="18"/>
              </w:rPr>
              <w:t>Aanvullend Zorg- en Welzijnsakkoord</w:t>
            </w:r>
            <w:r>
              <w:rPr>
                <w:sz w:val="18"/>
                <w:szCs w:val="18"/>
              </w:rPr>
              <w:t xml:space="preserve"> (AZWA) </w:t>
            </w:r>
            <w:r w:rsidR="00570639">
              <w:rPr>
                <w:sz w:val="18"/>
                <w:szCs w:val="18"/>
              </w:rPr>
              <w:t>in op gelij</w:t>
            </w:r>
            <w:r>
              <w:rPr>
                <w:sz w:val="18"/>
                <w:szCs w:val="18"/>
              </w:rPr>
              <w:t xml:space="preserve">kwaardigere toegang tot zorg, het </w:t>
            </w:r>
            <w:r w:rsidR="00570639">
              <w:rPr>
                <w:sz w:val="18"/>
                <w:szCs w:val="18"/>
              </w:rPr>
              <w:t xml:space="preserve">verminderen </w:t>
            </w:r>
            <w:r>
              <w:rPr>
                <w:sz w:val="18"/>
                <w:szCs w:val="18"/>
              </w:rPr>
              <w:t xml:space="preserve">van het </w:t>
            </w:r>
            <w:r w:rsidR="00570639">
              <w:rPr>
                <w:sz w:val="18"/>
                <w:szCs w:val="18"/>
              </w:rPr>
              <w:t>personeelstekort</w:t>
            </w:r>
            <w:r>
              <w:rPr>
                <w:sz w:val="18"/>
                <w:szCs w:val="18"/>
              </w:rPr>
              <w:t xml:space="preserve"> en passende zorg</w:t>
            </w:r>
            <w:r w:rsidR="00570639">
              <w:rPr>
                <w:sz w:val="18"/>
                <w:szCs w:val="18"/>
              </w:rPr>
              <w:t>.</w:t>
            </w:r>
            <w:r w:rsidR="00247B8B">
              <w:t xml:space="preserve"> </w:t>
            </w:r>
          </w:p>
        </w:tc>
      </w:tr>
    </w:tbl>
    <w:p w:rsidR="00DB1C05" w:rsidP="00725EB5" w:rsidRDefault="00DB1C05" w14:paraId="11B31C77" w14:textId="77777777"/>
    <w:p w:rsidRPr="0070496B" w:rsidR="005F51A5" w:rsidP="005F51A5" w:rsidRDefault="00156005" w14:paraId="1C111172" w14:textId="29ADD329">
      <w:r>
        <w:t>Wij v</w:t>
      </w:r>
      <w:r w:rsidR="00BC2298">
        <w:t xml:space="preserve">ragen </w:t>
      </w:r>
      <w:r w:rsidR="00657213">
        <w:t xml:space="preserve">uw </w:t>
      </w:r>
      <w:r w:rsidR="00BC2298">
        <w:t xml:space="preserve">aandacht voor </w:t>
      </w:r>
      <w:r w:rsidR="00F60AD6">
        <w:t xml:space="preserve">deze </w:t>
      </w:r>
      <w:r w:rsidR="00BC2298">
        <w:t>risico</w:t>
      </w:r>
      <w:r w:rsidR="00F60AD6">
        <w:t>’s</w:t>
      </w:r>
      <w:r w:rsidR="009B4C3D">
        <w:t xml:space="preserve"> want deze kunnen uiteindelijk </w:t>
      </w:r>
      <w:r w:rsidR="00F60AD6">
        <w:t>g</w:t>
      </w:r>
      <w:r w:rsidR="00BC2298">
        <w:t>evolgen</w:t>
      </w:r>
      <w:r w:rsidR="00F60AD6">
        <w:t xml:space="preserve"> </w:t>
      </w:r>
      <w:r w:rsidR="00BC2298">
        <w:t xml:space="preserve">hebben voor de raming (begroting) </w:t>
      </w:r>
      <w:r w:rsidR="00BF032E">
        <w:t>en het bereiken van afgesproken resultaten</w:t>
      </w:r>
      <w:r w:rsidR="00BC2298">
        <w:t>.</w:t>
      </w:r>
    </w:p>
    <w:p w:rsidR="00D06D97" w:rsidP="00D06D97" w:rsidRDefault="005A4EDC" w14:paraId="334DCF41" w14:textId="2E290634">
      <w:pPr>
        <w:spacing w:line="240" w:lineRule="auto"/>
      </w:pPr>
      <w:r>
        <w:rPr>
          <w:noProof/>
        </w:rPr>
        <w:lastRenderedPageBreak/>
        <w:drawing>
          <wp:inline distT="0" distB="0" distL="0" distR="0" wp14:anchorId="76DFB594" wp14:editId="1A9A785C">
            <wp:extent cx="4620057" cy="3299841"/>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Zorguitgaven_aandeel_BBP.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28916" cy="3306169"/>
                    </a:xfrm>
                    <a:prstGeom prst="rect">
                      <a:avLst/>
                    </a:prstGeom>
                  </pic:spPr>
                </pic:pic>
              </a:graphicData>
            </a:graphic>
          </wp:inline>
        </w:drawing>
      </w:r>
    </w:p>
    <w:p w:rsidR="00B73F01" w:rsidP="006247D9" w:rsidRDefault="00B73F01" w14:paraId="06CF4A8A" w14:textId="77777777"/>
    <w:p w:rsidR="006247D9" w:rsidP="006247D9" w:rsidRDefault="006247D9" w14:paraId="236F3403" w14:textId="363ABF72">
      <w:r>
        <w:t xml:space="preserve">Wij vertrouwen erop dat deze brief behulpzaam is bij de begrotingsbehandeling in uw Kamer. </w:t>
      </w:r>
    </w:p>
    <w:p w:rsidR="006247D9" w:rsidP="006247D9" w:rsidRDefault="006247D9" w14:paraId="7C2B23E3" w14:textId="77777777"/>
    <w:p w:rsidR="006247D9" w:rsidP="006247D9" w:rsidRDefault="006247D9" w14:paraId="1E0CC2A3" w14:textId="77777777">
      <w:r>
        <w:t>Algemene Rekenkamer</w:t>
      </w:r>
    </w:p>
    <w:p w:rsidR="006247D9" w:rsidP="006247D9" w:rsidRDefault="006247D9" w14:paraId="6A93B4C3" w14:textId="77777777"/>
    <w:p w:rsidR="006247D9" w:rsidP="006247D9" w:rsidRDefault="006247D9" w14:paraId="3F8A9CF8" w14:textId="77777777"/>
    <w:p w:rsidR="006247D9" w:rsidP="006247D9" w:rsidRDefault="006247D9" w14:paraId="43B4A0CC" w14:textId="77777777"/>
    <w:p w:rsidR="006247D9" w:rsidP="006247D9" w:rsidRDefault="006247D9" w14:paraId="03898FA0" w14:textId="77777777"/>
    <w:p w:rsidR="006247D9" w:rsidP="006247D9" w:rsidRDefault="006247D9" w14:paraId="4F57949D" w14:textId="77777777">
      <w:r>
        <w:t xml:space="preserve">Pieter Duisenberg, </w:t>
      </w:r>
    </w:p>
    <w:p w:rsidR="006247D9" w:rsidP="006247D9" w:rsidRDefault="006247D9" w14:paraId="6DED1A4F" w14:textId="77777777">
      <w:r>
        <w:t>president</w:t>
      </w:r>
    </w:p>
    <w:p w:rsidR="006247D9" w:rsidP="006247D9" w:rsidRDefault="006247D9" w14:paraId="3C172948" w14:textId="77777777"/>
    <w:p w:rsidR="006247D9" w:rsidP="006247D9" w:rsidRDefault="006247D9" w14:paraId="5F978E3D" w14:textId="77777777"/>
    <w:p w:rsidR="006247D9" w:rsidP="006247D9" w:rsidRDefault="006247D9" w14:paraId="5438A741" w14:textId="77777777"/>
    <w:p w:rsidR="006247D9" w:rsidP="006247D9" w:rsidRDefault="006247D9" w14:paraId="1C755470" w14:textId="77777777">
      <w:r>
        <w:t>Cornelis van der Werf,</w:t>
      </w:r>
    </w:p>
    <w:p w:rsidR="00E430E7" w:rsidP="005A2F1E" w:rsidRDefault="006247D9" w14:paraId="5C350EC6" w14:textId="7008DEC6">
      <w:r>
        <w:t>secretaris</w:t>
      </w:r>
    </w:p>
    <w:sectPr w:rsidR="00E430E7">
      <w:headerReference w:type="even" r:id="rId16"/>
      <w:headerReference w:type="default" r:id="rId17"/>
      <w:footerReference w:type="even" r:id="rId18"/>
      <w:footerReference w:type="default" r:id="rId19"/>
      <w:headerReference w:type="first" r:id="rId20"/>
      <w:footerReference w:type="first" r:id="rId21"/>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0F4A0" w14:textId="77777777" w:rsidR="00504E91" w:rsidRDefault="00504E91">
      <w:pPr>
        <w:spacing w:line="240" w:lineRule="auto"/>
      </w:pPr>
      <w:r>
        <w:separator/>
      </w:r>
    </w:p>
  </w:endnote>
  <w:endnote w:type="continuationSeparator" w:id="0">
    <w:p w14:paraId="775C75F6" w14:textId="77777777" w:rsidR="00504E91" w:rsidRDefault="00504E91">
      <w:pPr>
        <w:spacing w:line="240" w:lineRule="auto"/>
      </w:pPr>
      <w:r>
        <w:continuationSeparator/>
      </w:r>
    </w:p>
  </w:endnote>
  <w:endnote w:type="continuationNotice" w:id="1">
    <w:p w14:paraId="25C512DB" w14:textId="77777777" w:rsidR="00504E91" w:rsidRDefault="00504E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Bold">
    <w:altName w:val="Roboto"/>
    <w:panose1 w:val="02000000000000000000"/>
    <w:charset w:val="00"/>
    <w:family w:val="roman"/>
    <w:notTrueType/>
    <w:pitch w:val="default"/>
  </w:font>
  <w:font w:name="Roboto Italic">
    <w:altName w:val="Roboto"/>
    <w:panose1 w:val="00000000000000000000"/>
    <w:charset w:val="00"/>
    <w:family w:val="roman"/>
    <w:notTrueType/>
    <w:pitch w:val="default"/>
  </w:font>
  <w:font w:name="Vesper Libre">
    <w:altName w:val="Mangal"/>
    <w:panose1 w:val="00000500000000000000"/>
    <w:charset w:val="00"/>
    <w:family w:val="auto"/>
    <w:pitch w:val="variable"/>
    <w:sig w:usb0="00008007" w:usb1="00000000" w:usb2="00000000" w:usb3="00000000" w:csb0="00000093" w:csb1="00000000"/>
  </w:font>
  <w:font w:name="Vesper Libre Medium">
    <w:altName w:val="Mangal"/>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AFF" w:usb1="5000217F" w:usb2="00000021" w:usb3="00000000" w:csb0="0000019F" w:csb1="00000000"/>
  </w:font>
  <w:font w:name="Roboto Thin">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8A36E" w14:textId="77777777" w:rsidR="00E83070" w:rsidRDefault="00E830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E27C9" w14:textId="77777777" w:rsidR="00641AF9" w:rsidRDefault="00641AF9">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2E8D9" w14:textId="77777777" w:rsidR="00E83070" w:rsidRDefault="00E830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B6733" w14:textId="77777777" w:rsidR="00504E91" w:rsidRDefault="00504E91">
      <w:pPr>
        <w:spacing w:line="240" w:lineRule="auto"/>
      </w:pPr>
      <w:r>
        <w:separator/>
      </w:r>
    </w:p>
  </w:footnote>
  <w:footnote w:type="continuationSeparator" w:id="0">
    <w:p w14:paraId="492AAAE1" w14:textId="77777777" w:rsidR="00504E91" w:rsidRDefault="00504E91">
      <w:pPr>
        <w:spacing w:line="240" w:lineRule="auto"/>
      </w:pPr>
      <w:r>
        <w:continuationSeparator/>
      </w:r>
    </w:p>
  </w:footnote>
  <w:footnote w:type="continuationNotice" w:id="1">
    <w:p w14:paraId="2EBFED7B" w14:textId="77777777" w:rsidR="00504E91" w:rsidRDefault="00504E91">
      <w:pPr>
        <w:spacing w:line="240" w:lineRule="auto"/>
      </w:pPr>
    </w:p>
  </w:footnote>
  <w:footnote w:id="2">
    <w:p w14:paraId="18E0F92C" w14:textId="6E23DFBA" w:rsidR="00285C08" w:rsidRDefault="00285C08">
      <w:pPr>
        <w:pStyle w:val="Voetnoottekst"/>
      </w:pPr>
      <w:r>
        <w:rPr>
          <w:rStyle w:val="Voetnootmarkering"/>
        </w:rPr>
        <w:footnoteRef/>
      </w:r>
      <w:r>
        <w:t xml:space="preserve"> </w:t>
      </w:r>
      <w:r w:rsidRPr="005A4EDC">
        <w:rPr>
          <w:sz w:val="18"/>
          <w:szCs w:val="18"/>
        </w:rPr>
        <w:t>R</w:t>
      </w:r>
      <w:r w:rsidR="006C313E">
        <w:rPr>
          <w:sz w:val="18"/>
          <w:szCs w:val="18"/>
        </w:rPr>
        <w:t>I</w:t>
      </w:r>
      <w:r w:rsidRPr="005A4EDC">
        <w:rPr>
          <w:sz w:val="18"/>
          <w:szCs w:val="18"/>
        </w:rPr>
        <w:t>VM (2024) Volksgezondheid Toekomst Verkenning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8E727" w14:textId="30FA7C57" w:rsidR="00E4686E" w:rsidRDefault="00E83070">
    <w:pPr>
      <w:pStyle w:val="Koptekst"/>
    </w:pPr>
    <w:r>
      <w:rPr>
        <w:noProof/>
      </w:rPr>
      <w:pict w14:anchorId="5846D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0735" o:spid="_x0000_s45061" type="#_x0000_t136" style="position:absolute;margin-left:0;margin-top:0;width:391.7pt;height:167.85pt;rotation:315;z-index:-251648000;mso-position-horizontal:center;mso-position-horizontal-relative:margin;mso-position-vertical:center;mso-position-vertical-relative:margin" o:allowincell="f" fillcolor="silver" stroked="f">
          <v:fill opacity=".5"/>
          <v:textpath style="font-family:&quot;Roboto&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2A3FB" w14:textId="67D02FC6" w:rsidR="00641AF9" w:rsidRDefault="00641AF9">
    <w:r>
      <w:rPr>
        <w:noProof/>
      </w:rPr>
      <mc:AlternateContent>
        <mc:Choice Requires="wps">
          <w:drawing>
            <wp:anchor distT="0" distB="0" distL="0" distR="0" simplePos="0" relativeHeight="251651072" behindDoc="0" locked="1" layoutInCell="1" allowOverlap="1" wp14:anchorId="00F4059A" wp14:editId="2C878B4F">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7A84A3B5" w14:textId="77777777" w:rsidR="00641AF9" w:rsidRDefault="00641AF9">
                          <w:pPr>
                            <w:spacing w:line="240" w:lineRule="auto"/>
                          </w:pPr>
                          <w:r>
                            <w:rPr>
                              <w:noProof/>
                            </w:rPr>
                            <w:drawing>
                              <wp:inline distT="0" distB="0" distL="0" distR="0" wp14:anchorId="4069CAE5" wp14:editId="35998038">
                                <wp:extent cx="2647315" cy="1083493"/>
                                <wp:effectExtent l="0" t="0" r="0" b="0"/>
                                <wp:docPr id="2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0F4059A"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7A84A3B5" w14:textId="77777777" w:rsidR="00641AF9" w:rsidRDefault="00641AF9">
                    <w:pPr>
                      <w:spacing w:line="240" w:lineRule="auto"/>
                    </w:pPr>
                    <w:r>
                      <w:rPr>
                        <w:noProof/>
                      </w:rPr>
                      <w:drawing>
                        <wp:inline distT="0" distB="0" distL="0" distR="0" wp14:anchorId="4069CAE5" wp14:editId="35998038">
                          <wp:extent cx="2647315" cy="1083493"/>
                          <wp:effectExtent l="0" t="0" r="0" b="0"/>
                          <wp:docPr id="2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66F82F8A" wp14:editId="5A449E4E">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291623F6" w14:textId="3E548E22" w:rsidR="00641AF9" w:rsidRDefault="00641AF9">
                          <w:pPr>
                            <w:pStyle w:val="Paginanummering"/>
                          </w:pPr>
                          <w:r>
                            <w:fldChar w:fldCharType="begin"/>
                          </w:r>
                          <w:r>
                            <w:instrText>PAGE</w:instrText>
                          </w:r>
                          <w:r>
                            <w:fldChar w:fldCharType="separate"/>
                          </w:r>
                          <w:r w:rsidR="00E83070">
                            <w:rPr>
                              <w:noProof/>
                            </w:rPr>
                            <w:t>7</w:t>
                          </w:r>
                          <w:r>
                            <w:fldChar w:fldCharType="end"/>
                          </w:r>
                          <w:r>
                            <w:t>/</w:t>
                          </w:r>
                          <w:r>
                            <w:fldChar w:fldCharType="begin"/>
                          </w:r>
                          <w:r>
                            <w:instrText>NUMPAGES</w:instrText>
                          </w:r>
                          <w:r>
                            <w:fldChar w:fldCharType="separate"/>
                          </w:r>
                          <w:r w:rsidR="00E83070">
                            <w:rPr>
                              <w:noProof/>
                            </w:rPr>
                            <w:t>7</w:t>
                          </w:r>
                          <w:r>
                            <w:fldChar w:fldCharType="end"/>
                          </w:r>
                          <w:r>
                            <w:t xml:space="preserve"> </w:t>
                          </w:r>
                        </w:p>
                      </w:txbxContent>
                    </wps:txbx>
                    <wps:bodyPr vert="horz" wrap="square" lIns="0" tIns="0" rIns="0" bIns="0" anchor="t" anchorCtr="0"/>
                  </wps:wsp>
                </a:graphicData>
              </a:graphic>
            </wp:anchor>
          </w:drawing>
        </mc:Choice>
        <mc:Fallback>
          <w:pict>
            <v:shapetype w14:anchorId="66F82F8A"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291623F6" w14:textId="3E548E22" w:rsidR="00641AF9" w:rsidRDefault="00641AF9">
                    <w:pPr>
                      <w:pStyle w:val="Paginanummering"/>
                    </w:pPr>
                    <w:r>
                      <w:fldChar w:fldCharType="begin"/>
                    </w:r>
                    <w:r>
                      <w:instrText>PAGE</w:instrText>
                    </w:r>
                    <w:r>
                      <w:fldChar w:fldCharType="separate"/>
                    </w:r>
                    <w:r w:rsidR="00E83070">
                      <w:rPr>
                        <w:noProof/>
                      </w:rPr>
                      <w:t>7</w:t>
                    </w:r>
                    <w:r>
                      <w:fldChar w:fldCharType="end"/>
                    </w:r>
                    <w:r>
                      <w:t>/</w:t>
                    </w:r>
                    <w:r>
                      <w:fldChar w:fldCharType="begin"/>
                    </w:r>
                    <w:r>
                      <w:instrText>NUMPAGES</w:instrText>
                    </w:r>
                    <w:r>
                      <w:fldChar w:fldCharType="separate"/>
                    </w:r>
                    <w:r w:rsidR="00E83070">
                      <w:rPr>
                        <w:noProof/>
                      </w:rPr>
                      <w:t>7</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579FE57" wp14:editId="041F0795">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12FCEAA5" w14:textId="77777777" w:rsidR="00641AF9" w:rsidRDefault="00641AF9"/>
                      </w:txbxContent>
                    </wps:txbx>
                    <wps:bodyPr vert="horz" wrap="square" lIns="0" tIns="0" rIns="0" bIns="0" anchor="t" anchorCtr="0"/>
                  </wps:wsp>
                </a:graphicData>
              </a:graphic>
            </wp:anchor>
          </w:drawing>
        </mc:Choice>
        <mc:Fallback>
          <w:pict>
            <v:shape w14:anchorId="1579FE57"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12FCEAA5"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572868B" wp14:editId="05A04ACE">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146DEDB" w14:textId="77777777" w:rsidR="00641AF9" w:rsidRDefault="00641AF9">
                          <w:pPr>
                            <w:spacing w:line="240" w:lineRule="auto"/>
                          </w:pPr>
                          <w:r>
                            <w:rPr>
                              <w:noProof/>
                            </w:rPr>
                            <w:drawing>
                              <wp:inline distT="0" distB="0" distL="0" distR="0" wp14:anchorId="5CD8B3B1" wp14:editId="007274DB">
                                <wp:extent cx="359410" cy="1114780"/>
                                <wp:effectExtent l="0" t="0" r="0" b="0"/>
                                <wp:docPr id="22"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72868B"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4146DEDB" w14:textId="77777777" w:rsidR="00641AF9" w:rsidRDefault="00641AF9">
                    <w:pPr>
                      <w:spacing w:line="240" w:lineRule="auto"/>
                    </w:pPr>
                    <w:r>
                      <w:rPr>
                        <w:noProof/>
                      </w:rPr>
                      <w:drawing>
                        <wp:inline distT="0" distB="0" distL="0" distR="0" wp14:anchorId="5CD8B3B1" wp14:editId="007274DB">
                          <wp:extent cx="359410" cy="1114780"/>
                          <wp:effectExtent l="0" t="0" r="0" b="0"/>
                          <wp:docPr id="22"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1627F2C" wp14:editId="6AB5BFFB">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77D319E3" w14:textId="4B7D9FDE" w:rsidR="00641AF9" w:rsidRDefault="00641AF9">
                          <w:pPr>
                            <w:spacing w:line="240" w:lineRule="auto"/>
                          </w:pPr>
                        </w:p>
                      </w:txbxContent>
                    </wps:txbx>
                    <wps:bodyPr vert="horz" wrap="square" lIns="0" tIns="0" rIns="0" bIns="0" anchor="t" anchorCtr="0"/>
                  </wps:wsp>
                </a:graphicData>
              </a:graphic>
            </wp:anchor>
          </w:drawing>
        </mc:Choice>
        <mc:Fallback>
          <w:pict>
            <v:shape w14:anchorId="71627F2C"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77D319E3" w14:textId="4B7D9FDE" w:rsidR="00641AF9" w:rsidRDefault="00641AF9">
                    <w:pPr>
                      <w:spacing w:line="240" w:lineRule="auto"/>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bookmarkEnd w:id="0"/>
  <w:p w14:paraId="12D7F6F5" w14:textId="5F459919" w:rsidR="00641AF9" w:rsidRDefault="00641AF9">
    <w:pPr>
      <w:spacing w:after="6960" w:line="14" w:lineRule="exact"/>
    </w:pPr>
    <w:r>
      <w:rPr>
        <w:noProof/>
      </w:rPr>
      <mc:AlternateContent>
        <mc:Choice Requires="wps">
          <w:drawing>
            <wp:anchor distT="0" distB="0" distL="0" distR="0" simplePos="0" relativeHeight="251656192" behindDoc="0" locked="1" layoutInCell="1" allowOverlap="1" wp14:anchorId="5992E9E8" wp14:editId="74244E6E">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081E084B" w14:textId="77777777" w:rsidR="00641AF9" w:rsidRDefault="00641AF9">
                          <w:pPr>
                            <w:spacing w:line="240" w:lineRule="auto"/>
                          </w:pPr>
                          <w:r>
                            <w:rPr>
                              <w:noProof/>
                            </w:rPr>
                            <w:drawing>
                              <wp:inline distT="0" distB="0" distL="0" distR="0" wp14:anchorId="4736BFE0" wp14:editId="1A6BBFD5">
                                <wp:extent cx="2368550" cy="969400"/>
                                <wp:effectExtent l="0" t="0" r="0" b="0"/>
                                <wp:docPr id="24"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992E9E8"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T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dbvLU8EBAABUAwAADgAAAAAAAAAAAAAA&#10;AAAuAgAAZHJzL2Uyb0RvYy54bWxQSwECLQAUAAYACAAAACEAJ1k5w+AAAAALAQAADwAAAAAAAAAA&#10;AAAAAAAbBAAAZHJzL2Rvd25yZXYueG1sUEsFBgAAAAAEAAQA8wAAACgFAAAAAA==&#10;" filled="f" stroked="f">
              <v:textbox inset="0,0,0,0">
                <w:txbxContent>
                  <w:p w14:paraId="081E084B" w14:textId="77777777" w:rsidR="00641AF9" w:rsidRDefault="00641AF9">
                    <w:pPr>
                      <w:spacing w:line="240" w:lineRule="auto"/>
                    </w:pPr>
                    <w:r>
                      <w:rPr>
                        <w:noProof/>
                      </w:rPr>
                      <w:drawing>
                        <wp:inline distT="0" distB="0" distL="0" distR="0" wp14:anchorId="4736BFE0" wp14:editId="1A6BBFD5">
                          <wp:extent cx="2368550" cy="969400"/>
                          <wp:effectExtent l="0" t="0" r="0" b="0"/>
                          <wp:docPr id="24"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FE1DA68" wp14:editId="068498C8">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02E30F4C" w14:textId="77777777" w:rsidR="00641AF9" w:rsidRDefault="00641AF9">
                          <w:pPr>
                            <w:pStyle w:val="Afzendergegevens"/>
                          </w:pPr>
                          <w:r>
                            <w:t>Postbus 20015</w:t>
                          </w:r>
                        </w:p>
                        <w:p w14:paraId="5BCE95A0" w14:textId="77777777" w:rsidR="00641AF9" w:rsidRDefault="00641AF9">
                          <w:pPr>
                            <w:pStyle w:val="Afzendergegevens"/>
                          </w:pPr>
                          <w:r>
                            <w:t>2500 EA  Den Haag</w:t>
                          </w:r>
                        </w:p>
                        <w:p w14:paraId="1F4F02C0" w14:textId="77777777" w:rsidR="00641AF9" w:rsidRDefault="00641AF9">
                          <w:pPr>
                            <w:pStyle w:val="Afzendergegevens"/>
                          </w:pPr>
                          <w:r>
                            <w:t>070 342 43 44</w:t>
                          </w:r>
                        </w:p>
                        <w:p w14:paraId="3529339A" w14:textId="77777777" w:rsidR="00641AF9" w:rsidRDefault="00641AF9">
                          <w:pPr>
                            <w:pStyle w:val="Afzendergegevens"/>
                          </w:pPr>
                          <w:r>
                            <w:t>voorlichting@rekenkamer.nl</w:t>
                          </w:r>
                        </w:p>
                        <w:p w14:paraId="08AD6919" w14:textId="77777777" w:rsidR="00641AF9" w:rsidRDefault="00641AF9">
                          <w:pPr>
                            <w:pStyle w:val="Afzendergegevensurl"/>
                          </w:pPr>
                          <w:r>
                            <w:t>www.rekenkamer.nl</w:t>
                          </w:r>
                        </w:p>
                      </w:txbxContent>
                    </wps:txbx>
                    <wps:bodyPr vert="horz" wrap="square" lIns="0" tIns="0" rIns="0" bIns="0" anchor="t" anchorCtr="0"/>
                  </wps:wsp>
                </a:graphicData>
              </a:graphic>
            </wp:anchor>
          </w:drawing>
        </mc:Choice>
        <mc:Fallback>
          <w:pict>
            <v:shape w14:anchorId="2FE1DA68"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wN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9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OS4TA3BAQAAVQMAAA4AAAAAAAAAAAAA&#10;AAAALgIAAGRycy9lMm9Eb2MueG1sUEsBAi0AFAAGAAgAAAAhANfxrvfhAAAADAEAAA8AAAAAAAAA&#10;AAAAAAAAGwQAAGRycy9kb3ducmV2LnhtbFBLBQYAAAAABAAEAPMAAAApBQAAAAA=&#10;" filled="f" stroked="f">
              <v:textbox inset="0,0,0,0">
                <w:txbxContent>
                  <w:p w14:paraId="02E30F4C" w14:textId="77777777" w:rsidR="00641AF9" w:rsidRDefault="00641AF9">
                    <w:pPr>
                      <w:pStyle w:val="Afzendergegevens"/>
                    </w:pPr>
                    <w:r>
                      <w:t>Postbus 20015</w:t>
                    </w:r>
                  </w:p>
                  <w:p w14:paraId="5BCE95A0" w14:textId="77777777" w:rsidR="00641AF9" w:rsidRDefault="00641AF9">
                    <w:pPr>
                      <w:pStyle w:val="Afzendergegevens"/>
                    </w:pPr>
                    <w:r>
                      <w:t>2500 EA  Den Haag</w:t>
                    </w:r>
                  </w:p>
                  <w:p w14:paraId="1F4F02C0" w14:textId="77777777" w:rsidR="00641AF9" w:rsidRDefault="00641AF9">
                    <w:pPr>
                      <w:pStyle w:val="Afzendergegevens"/>
                    </w:pPr>
                    <w:r>
                      <w:t>070 342 43 44</w:t>
                    </w:r>
                  </w:p>
                  <w:p w14:paraId="3529339A" w14:textId="77777777" w:rsidR="00641AF9" w:rsidRDefault="00641AF9">
                    <w:pPr>
                      <w:pStyle w:val="Afzendergegevens"/>
                    </w:pPr>
                    <w:r>
                      <w:t>voorlichting@rekenkamer.nl</w:t>
                    </w:r>
                  </w:p>
                  <w:p w14:paraId="08AD6919" w14:textId="77777777" w:rsidR="00641AF9" w:rsidRDefault="00641AF9">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7E5F1B2" wp14:editId="3B76069E">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01485394" w14:textId="77777777">
                            <w:tc>
                              <w:tcPr>
                                <w:tcW w:w="2370" w:type="dxa"/>
                              </w:tcPr>
                              <w:p w14:paraId="114C1CC0" w14:textId="77777777" w:rsidR="00641AF9" w:rsidRDefault="00641AF9">
                                <w:pPr>
                                  <w:pStyle w:val="Subjects"/>
                                </w:pPr>
                                <w:r>
                                  <w:t>datum</w:t>
                                </w:r>
                              </w:p>
                            </w:tc>
                            <w:tc>
                              <w:tcPr>
                                <w:tcW w:w="431" w:type="dxa"/>
                              </w:tcPr>
                              <w:p w14:paraId="2FF7ABF8" w14:textId="77777777" w:rsidR="00641AF9" w:rsidRDefault="00641AF9"/>
                            </w:tc>
                            <w:tc>
                              <w:tcPr>
                                <w:tcW w:w="7971" w:type="dxa"/>
                              </w:tcPr>
                              <w:p w14:paraId="4B8D281A" w14:textId="77777777" w:rsidR="00641AF9" w:rsidRDefault="00641AF9" w:rsidP="007B25E4">
                                <w:r>
                                  <w:t>2</w:t>
                                </w:r>
                                <w:r w:rsidR="007B25E4">
                                  <w:t>3</w:t>
                                </w:r>
                                <w:r>
                                  <w:t xml:space="preserve"> september 202</w:t>
                                </w:r>
                                <w:r w:rsidR="007B25E4">
                                  <w:t>5</w:t>
                                </w:r>
                              </w:p>
                            </w:tc>
                          </w:tr>
                          <w:tr w:rsidR="00641AF9" w14:paraId="6766A519" w14:textId="77777777">
                            <w:tc>
                              <w:tcPr>
                                <w:tcW w:w="2370" w:type="dxa"/>
                              </w:tcPr>
                              <w:p w14:paraId="4EBAF7FB" w14:textId="77777777" w:rsidR="00641AF9" w:rsidRDefault="00641AF9">
                                <w:pPr>
                                  <w:pStyle w:val="Subjects"/>
                                </w:pPr>
                                <w:r>
                                  <w:t>betreft</w:t>
                                </w:r>
                              </w:p>
                            </w:tc>
                            <w:tc>
                              <w:tcPr>
                                <w:tcW w:w="431" w:type="dxa"/>
                              </w:tcPr>
                              <w:p w14:paraId="75C84042" w14:textId="77777777" w:rsidR="00641AF9" w:rsidRDefault="00641AF9"/>
                            </w:tc>
                            <w:tc>
                              <w:tcPr>
                                <w:tcW w:w="7971" w:type="dxa"/>
                              </w:tcPr>
                              <w:p w14:paraId="1E5614BF" w14:textId="2136C9C8" w:rsidR="00641AF9" w:rsidRDefault="00641AF9" w:rsidP="00E37931">
                                <w:r>
                                  <w:t>Aandachtspunten bij de ontwerpbegroting 202</w:t>
                                </w:r>
                                <w:r w:rsidR="00E37931">
                                  <w:t>6</w:t>
                                </w:r>
                                <w:r>
                                  <w:t xml:space="preserve"> </w:t>
                                </w:r>
                                <w:r w:rsidRPr="00085174">
                                  <w:t xml:space="preserve">begrotingshoofdstuk </w:t>
                                </w:r>
                                <w:r w:rsidR="009F4EA2" w:rsidRPr="009F4EA2">
                                  <w:t>XVI</w:t>
                                </w:r>
                                <w:r w:rsidR="00881D72">
                                  <w:t xml:space="preserve"> van het ministerie van </w:t>
                                </w:r>
                                <w:r w:rsidR="009F4EA2">
                                  <w:t>Volksgezondheid, Welzijn en Sport</w:t>
                                </w:r>
                              </w:p>
                            </w:tc>
                          </w:tr>
                        </w:tbl>
                        <w:p w14:paraId="67D89562" w14:textId="77777777" w:rsidR="00641AF9" w:rsidRDefault="00641AF9"/>
                      </w:txbxContent>
                    </wps:txbx>
                    <wps:bodyPr vert="horz" wrap="square" lIns="0" tIns="0" rIns="0" bIns="0" anchor="t" anchorCtr="0"/>
                  </wps:wsp>
                </a:graphicData>
              </a:graphic>
            </wp:anchor>
          </w:drawing>
        </mc:Choice>
        <mc:Fallback>
          <w:pict>
            <v:shapetype w14:anchorId="27E5F1B2"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01485394" w14:textId="77777777">
                      <w:tc>
                        <w:tcPr>
                          <w:tcW w:w="2370" w:type="dxa"/>
                        </w:tcPr>
                        <w:p w14:paraId="114C1CC0" w14:textId="77777777" w:rsidR="00641AF9" w:rsidRDefault="00641AF9">
                          <w:pPr>
                            <w:pStyle w:val="Subjects"/>
                          </w:pPr>
                          <w:r>
                            <w:t>datum</w:t>
                          </w:r>
                        </w:p>
                      </w:tc>
                      <w:tc>
                        <w:tcPr>
                          <w:tcW w:w="431" w:type="dxa"/>
                        </w:tcPr>
                        <w:p w14:paraId="2FF7ABF8" w14:textId="77777777" w:rsidR="00641AF9" w:rsidRDefault="00641AF9"/>
                      </w:tc>
                      <w:tc>
                        <w:tcPr>
                          <w:tcW w:w="7971" w:type="dxa"/>
                        </w:tcPr>
                        <w:p w14:paraId="4B8D281A" w14:textId="77777777" w:rsidR="00641AF9" w:rsidRDefault="00641AF9" w:rsidP="007B25E4">
                          <w:r>
                            <w:t>2</w:t>
                          </w:r>
                          <w:r w:rsidR="007B25E4">
                            <w:t>3</w:t>
                          </w:r>
                          <w:r>
                            <w:t xml:space="preserve"> september 202</w:t>
                          </w:r>
                          <w:r w:rsidR="007B25E4">
                            <w:t>5</w:t>
                          </w:r>
                        </w:p>
                      </w:tc>
                    </w:tr>
                    <w:tr w:rsidR="00641AF9" w14:paraId="6766A519" w14:textId="77777777">
                      <w:tc>
                        <w:tcPr>
                          <w:tcW w:w="2370" w:type="dxa"/>
                        </w:tcPr>
                        <w:p w14:paraId="4EBAF7FB" w14:textId="77777777" w:rsidR="00641AF9" w:rsidRDefault="00641AF9">
                          <w:pPr>
                            <w:pStyle w:val="Subjects"/>
                          </w:pPr>
                          <w:r>
                            <w:t>betreft</w:t>
                          </w:r>
                        </w:p>
                      </w:tc>
                      <w:tc>
                        <w:tcPr>
                          <w:tcW w:w="431" w:type="dxa"/>
                        </w:tcPr>
                        <w:p w14:paraId="75C84042" w14:textId="77777777" w:rsidR="00641AF9" w:rsidRDefault="00641AF9"/>
                      </w:tc>
                      <w:tc>
                        <w:tcPr>
                          <w:tcW w:w="7971" w:type="dxa"/>
                        </w:tcPr>
                        <w:p w14:paraId="1E5614BF" w14:textId="2136C9C8" w:rsidR="00641AF9" w:rsidRDefault="00641AF9" w:rsidP="00E37931">
                          <w:r>
                            <w:t>Aandachtspunten bij de ontwerpbegroting 202</w:t>
                          </w:r>
                          <w:r w:rsidR="00E37931">
                            <w:t>6</w:t>
                          </w:r>
                          <w:r>
                            <w:t xml:space="preserve"> </w:t>
                          </w:r>
                          <w:r w:rsidRPr="00085174">
                            <w:t xml:space="preserve">begrotingshoofdstuk </w:t>
                          </w:r>
                          <w:r w:rsidR="009F4EA2" w:rsidRPr="009F4EA2">
                            <w:t>XVI</w:t>
                          </w:r>
                          <w:r w:rsidR="00881D72">
                            <w:t xml:space="preserve"> van het ministerie van </w:t>
                          </w:r>
                          <w:r w:rsidR="009F4EA2">
                            <w:t>Volksgezondheid, Welzijn en Sport</w:t>
                          </w:r>
                        </w:p>
                      </w:tc>
                    </w:tr>
                  </w:tbl>
                  <w:p w14:paraId="67D89562"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9E8A3C8" wp14:editId="2CDFF4F7">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27D55C72" w14:textId="752A9D55" w:rsidR="00641AF9" w:rsidRDefault="00641AF9">
                          <w:pPr>
                            <w:pStyle w:val="Paginanummering"/>
                          </w:pPr>
                          <w:r>
                            <w:fldChar w:fldCharType="begin"/>
                          </w:r>
                          <w:r>
                            <w:instrText>PAGE</w:instrText>
                          </w:r>
                          <w:r>
                            <w:fldChar w:fldCharType="separate"/>
                          </w:r>
                          <w:r w:rsidR="00E83070">
                            <w:rPr>
                              <w:noProof/>
                            </w:rPr>
                            <w:t>1</w:t>
                          </w:r>
                          <w:r>
                            <w:fldChar w:fldCharType="end"/>
                          </w:r>
                          <w:r>
                            <w:t>/</w:t>
                          </w:r>
                          <w:r>
                            <w:fldChar w:fldCharType="begin"/>
                          </w:r>
                          <w:r>
                            <w:instrText>NUMPAGES</w:instrText>
                          </w:r>
                          <w:r>
                            <w:fldChar w:fldCharType="separate"/>
                          </w:r>
                          <w:r w:rsidR="00E83070">
                            <w:rPr>
                              <w:noProof/>
                            </w:rPr>
                            <w:t>7</w:t>
                          </w:r>
                          <w:r>
                            <w:fldChar w:fldCharType="end"/>
                          </w:r>
                          <w:r>
                            <w:t xml:space="preserve"> </w:t>
                          </w:r>
                        </w:p>
                      </w:txbxContent>
                    </wps:txbx>
                    <wps:bodyPr vert="horz" wrap="square" lIns="0" tIns="0" rIns="0" bIns="0" anchor="t" anchorCtr="0"/>
                  </wps:wsp>
                </a:graphicData>
              </a:graphic>
            </wp:anchor>
          </w:drawing>
        </mc:Choice>
        <mc:Fallback>
          <w:pict>
            <v:shape w14:anchorId="39E8A3C8"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27D55C72" w14:textId="752A9D55" w:rsidR="00641AF9" w:rsidRDefault="00641AF9">
                    <w:pPr>
                      <w:pStyle w:val="Paginanummering"/>
                    </w:pPr>
                    <w:r>
                      <w:fldChar w:fldCharType="begin"/>
                    </w:r>
                    <w:r>
                      <w:instrText>PAGE</w:instrText>
                    </w:r>
                    <w:r>
                      <w:fldChar w:fldCharType="separate"/>
                    </w:r>
                    <w:r w:rsidR="00E83070">
                      <w:rPr>
                        <w:noProof/>
                      </w:rPr>
                      <w:t>1</w:t>
                    </w:r>
                    <w:r>
                      <w:fldChar w:fldCharType="end"/>
                    </w:r>
                    <w:r>
                      <w:t>/</w:t>
                    </w:r>
                    <w:r>
                      <w:fldChar w:fldCharType="begin"/>
                    </w:r>
                    <w:r>
                      <w:instrText>NUMPAGES</w:instrText>
                    </w:r>
                    <w:r>
                      <w:fldChar w:fldCharType="separate"/>
                    </w:r>
                    <w:r w:rsidR="00E83070">
                      <w:rPr>
                        <w:noProof/>
                      </w:rPr>
                      <w:t>7</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6C5823F" wp14:editId="02226E8D">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51415391" w14:textId="77777777" w:rsidR="00641AF9" w:rsidRDefault="00641AF9"/>
                      </w:txbxContent>
                    </wps:txbx>
                    <wps:bodyPr vert="horz" wrap="square" lIns="0" tIns="0" rIns="0" bIns="0" anchor="t" anchorCtr="0"/>
                  </wps:wsp>
                </a:graphicData>
              </a:graphic>
            </wp:anchor>
          </w:drawing>
        </mc:Choice>
        <mc:Fallback>
          <w:pict>
            <v:shape w14:anchorId="26C5823F"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giZglb8BAABUAwAADgAAAAAAAAAAAAAAAAAu&#10;AgAAZHJzL2Uyb0RvYy54bWxQSwECLQAUAAYACAAAACEAIP6bwt8AAAAKAQAADwAAAAAAAAAAAAAA&#10;AAAZBAAAZHJzL2Rvd25yZXYueG1sUEsFBgAAAAAEAAQA8wAAACUFAAAAAA==&#10;" filled="f" stroked="f">
              <v:textbox inset="0,0,0,0">
                <w:txbxContent>
                  <w:p w14:paraId="51415391"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DF7CB85" wp14:editId="2647A548">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436881F5" w14:textId="77777777">
                            <w:tc>
                              <w:tcPr>
                                <w:tcW w:w="2407" w:type="dxa"/>
                              </w:tcPr>
                              <w:p w14:paraId="0DA3B855" w14:textId="77777777" w:rsidR="00641AF9" w:rsidRDefault="00641AF9">
                                <w:pPr>
                                  <w:pStyle w:val="Subjects"/>
                                </w:pPr>
                              </w:p>
                            </w:tc>
                            <w:tc>
                              <w:tcPr>
                                <w:tcW w:w="425" w:type="dxa"/>
                              </w:tcPr>
                              <w:p w14:paraId="5CE359BD" w14:textId="77777777" w:rsidR="00641AF9" w:rsidRDefault="00641AF9"/>
                            </w:tc>
                            <w:tc>
                              <w:tcPr>
                                <w:tcW w:w="4247" w:type="dxa"/>
                              </w:tcPr>
                              <w:p w14:paraId="18F67EBB" w14:textId="77777777" w:rsidR="00641AF9" w:rsidRDefault="00641AF9"/>
                            </w:tc>
                          </w:tr>
                          <w:tr w:rsidR="00641AF9" w14:paraId="0EE42CF8" w14:textId="77777777">
                            <w:tc>
                              <w:tcPr>
                                <w:tcW w:w="2407" w:type="dxa"/>
                              </w:tcPr>
                              <w:p w14:paraId="1B4E6C6C" w14:textId="77777777" w:rsidR="00641AF9" w:rsidRDefault="00641AF9">
                                <w:pPr>
                                  <w:pStyle w:val="Subjects"/>
                                </w:pPr>
                                <w:r>
                                  <w:t>ons kenmerk</w:t>
                                </w:r>
                              </w:p>
                            </w:tc>
                            <w:tc>
                              <w:tcPr>
                                <w:tcW w:w="425" w:type="dxa"/>
                              </w:tcPr>
                              <w:p w14:paraId="2AA22B99" w14:textId="77777777" w:rsidR="00641AF9" w:rsidRDefault="00641AF9"/>
                            </w:tc>
                            <w:tc>
                              <w:tcPr>
                                <w:tcW w:w="4247" w:type="dxa"/>
                              </w:tcPr>
                              <w:p w14:paraId="2A6F678C" w14:textId="0C9737B5" w:rsidR="00641AF9" w:rsidRPr="00881D72" w:rsidRDefault="00881D72">
                                <w:r w:rsidRPr="00881D72">
                                  <w:rPr>
                                    <w:color w:val="333333"/>
                                    <w:shd w:val="clear" w:color="auto" w:fill="FFFFFF"/>
                                  </w:rPr>
                                  <w:t>25004215 R</w:t>
                                </w:r>
                              </w:p>
                            </w:tc>
                          </w:tr>
                          <w:tr w:rsidR="00641AF9" w14:paraId="3D1B0296" w14:textId="77777777">
                            <w:tc>
                              <w:tcPr>
                                <w:tcW w:w="2407" w:type="dxa"/>
                              </w:tcPr>
                              <w:p w14:paraId="629DE807" w14:textId="77777777" w:rsidR="00641AF9" w:rsidRDefault="00641AF9">
                                <w:pPr>
                                  <w:pStyle w:val="Subjects"/>
                                </w:pPr>
                                <w:r>
                                  <w:t>bijlage(n)</w:t>
                                </w:r>
                              </w:p>
                            </w:tc>
                            <w:tc>
                              <w:tcPr>
                                <w:tcW w:w="425" w:type="dxa"/>
                              </w:tcPr>
                              <w:p w14:paraId="5EDB4EC0" w14:textId="77777777" w:rsidR="00641AF9" w:rsidRDefault="00641AF9"/>
                            </w:tc>
                            <w:tc>
                              <w:tcPr>
                                <w:tcW w:w="4247" w:type="dxa"/>
                              </w:tcPr>
                              <w:p w14:paraId="1E68FF68" w14:textId="77777777" w:rsidR="00641AF9" w:rsidRDefault="00641AF9"/>
                            </w:tc>
                          </w:tr>
                        </w:tbl>
                        <w:p w14:paraId="503F0B1C" w14:textId="77777777" w:rsidR="00641AF9" w:rsidRDefault="00641AF9"/>
                      </w:txbxContent>
                    </wps:txbx>
                    <wps:bodyPr vert="horz" wrap="square" lIns="0" tIns="0" rIns="0" bIns="0" anchor="t" anchorCtr="0"/>
                  </wps:wsp>
                </a:graphicData>
              </a:graphic>
            </wp:anchor>
          </w:drawing>
        </mc:Choice>
        <mc:Fallback>
          <w:pict>
            <v:shape w14:anchorId="7DF7CB85"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436881F5" w14:textId="77777777">
                      <w:tc>
                        <w:tcPr>
                          <w:tcW w:w="2407" w:type="dxa"/>
                        </w:tcPr>
                        <w:p w14:paraId="0DA3B855" w14:textId="77777777" w:rsidR="00641AF9" w:rsidRDefault="00641AF9">
                          <w:pPr>
                            <w:pStyle w:val="Subjects"/>
                          </w:pPr>
                        </w:p>
                      </w:tc>
                      <w:tc>
                        <w:tcPr>
                          <w:tcW w:w="425" w:type="dxa"/>
                        </w:tcPr>
                        <w:p w14:paraId="5CE359BD" w14:textId="77777777" w:rsidR="00641AF9" w:rsidRDefault="00641AF9"/>
                      </w:tc>
                      <w:tc>
                        <w:tcPr>
                          <w:tcW w:w="4247" w:type="dxa"/>
                        </w:tcPr>
                        <w:p w14:paraId="18F67EBB" w14:textId="77777777" w:rsidR="00641AF9" w:rsidRDefault="00641AF9"/>
                      </w:tc>
                    </w:tr>
                    <w:tr w:rsidR="00641AF9" w14:paraId="0EE42CF8" w14:textId="77777777">
                      <w:tc>
                        <w:tcPr>
                          <w:tcW w:w="2407" w:type="dxa"/>
                        </w:tcPr>
                        <w:p w14:paraId="1B4E6C6C" w14:textId="77777777" w:rsidR="00641AF9" w:rsidRDefault="00641AF9">
                          <w:pPr>
                            <w:pStyle w:val="Subjects"/>
                          </w:pPr>
                          <w:r>
                            <w:t>ons kenmerk</w:t>
                          </w:r>
                        </w:p>
                      </w:tc>
                      <w:tc>
                        <w:tcPr>
                          <w:tcW w:w="425" w:type="dxa"/>
                        </w:tcPr>
                        <w:p w14:paraId="2AA22B99" w14:textId="77777777" w:rsidR="00641AF9" w:rsidRDefault="00641AF9"/>
                      </w:tc>
                      <w:tc>
                        <w:tcPr>
                          <w:tcW w:w="4247" w:type="dxa"/>
                        </w:tcPr>
                        <w:p w14:paraId="2A6F678C" w14:textId="0C9737B5" w:rsidR="00641AF9" w:rsidRPr="00881D72" w:rsidRDefault="00881D72">
                          <w:r w:rsidRPr="00881D72">
                            <w:rPr>
                              <w:color w:val="333333"/>
                              <w:shd w:val="clear" w:color="auto" w:fill="FFFFFF"/>
                            </w:rPr>
                            <w:t>25004215 R</w:t>
                          </w:r>
                        </w:p>
                      </w:tc>
                    </w:tr>
                    <w:tr w:rsidR="00641AF9" w14:paraId="3D1B0296" w14:textId="77777777">
                      <w:tc>
                        <w:tcPr>
                          <w:tcW w:w="2407" w:type="dxa"/>
                        </w:tcPr>
                        <w:p w14:paraId="629DE807" w14:textId="77777777" w:rsidR="00641AF9" w:rsidRDefault="00641AF9">
                          <w:pPr>
                            <w:pStyle w:val="Subjects"/>
                          </w:pPr>
                          <w:r>
                            <w:t>bijlage(n)</w:t>
                          </w:r>
                        </w:p>
                      </w:tc>
                      <w:tc>
                        <w:tcPr>
                          <w:tcW w:w="425" w:type="dxa"/>
                        </w:tcPr>
                        <w:p w14:paraId="5EDB4EC0" w14:textId="77777777" w:rsidR="00641AF9" w:rsidRDefault="00641AF9"/>
                      </w:tc>
                      <w:tc>
                        <w:tcPr>
                          <w:tcW w:w="4247" w:type="dxa"/>
                        </w:tcPr>
                        <w:p w14:paraId="1E68FF68" w14:textId="77777777" w:rsidR="00641AF9" w:rsidRDefault="00641AF9"/>
                      </w:tc>
                    </w:tr>
                  </w:tbl>
                  <w:p w14:paraId="503F0B1C"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59C7E38" wp14:editId="7FA2F39F">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3982C550" w14:textId="77777777" w:rsidR="00641AF9" w:rsidRPr="0062085C" w:rsidRDefault="00641AF9">
                          <w:pPr>
                            <w:rPr>
                              <w:b/>
                            </w:rPr>
                          </w:pPr>
                          <w:r w:rsidRPr="0062085C">
                            <w:rPr>
                              <w:b/>
                            </w:rPr>
                            <w:t xml:space="preserve">BEZORGEN </w:t>
                          </w:r>
                        </w:p>
                        <w:p w14:paraId="68D8728A" w14:textId="77777777" w:rsidR="00641AF9" w:rsidRDefault="00641AF9">
                          <w:r>
                            <w:t xml:space="preserve">Voorzitter van de Tweede Kamer </w:t>
                          </w:r>
                        </w:p>
                        <w:p w14:paraId="52AF083A" w14:textId="77777777" w:rsidR="00641AF9" w:rsidRDefault="00641AF9">
                          <w:r>
                            <w:t xml:space="preserve">der Staten-Generaal </w:t>
                          </w:r>
                        </w:p>
                        <w:p w14:paraId="1FDB68B9" w14:textId="77777777" w:rsidR="00641AF9" w:rsidRDefault="00641AF9">
                          <w:r>
                            <w:t xml:space="preserve">Prinses Irenestraat 6 </w:t>
                          </w:r>
                        </w:p>
                        <w:p w14:paraId="3F4D37E8" w14:textId="77777777" w:rsidR="00641AF9" w:rsidRDefault="00641AF9">
                          <w:r>
                            <w:t>2595 BD DEN HAAG</w:t>
                          </w:r>
                        </w:p>
                      </w:txbxContent>
                    </wps:txbx>
                    <wps:bodyPr vert="horz" wrap="square" lIns="0" tIns="0" rIns="0" bIns="0" anchor="t" anchorCtr="0"/>
                  </wps:wsp>
                </a:graphicData>
              </a:graphic>
            </wp:anchor>
          </w:drawing>
        </mc:Choice>
        <mc:Fallback>
          <w:pict>
            <v:shape w14:anchorId="259C7E38"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L+edBa/AQAAVgMAAA4AAAAAAAAAAAAAAAAA&#10;LgIAAGRycy9lMm9Eb2MueG1sUEsBAi0AFAAGAAgAAAAhAHd3wKzgAAAACwEAAA8AAAAAAAAAAAAA&#10;AAAAGQQAAGRycy9kb3ducmV2LnhtbFBLBQYAAAAABAAEAPMAAAAmBQAAAAA=&#10;" filled="f" stroked="f">
              <v:textbox inset="0,0,0,0">
                <w:txbxContent>
                  <w:p w14:paraId="3982C550" w14:textId="77777777" w:rsidR="00641AF9" w:rsidRPr="0062085C" w:rsidRDefault="00641AF9">
                    <w:pPr>
                      <w:rPr>
                        <w:b/>
                      </w:rPr>
                    </w:pPr>
                    <w:r w:rsidRPr="0062085C">
                      <w:rPr>
                        <w:b/>
                      </w:rPr>
                      <w:t xml:space="preserve">BEZORGEN </w:t>
                    </w:r>
                  </w:p>
                  <w:p w14:paraId="68D8728A" w14:textId="77777777" w:rsidR="00641AF9" w:rsidRDefault="00641AF9">
                    <w:r>
                      <w:t xml:space="preserve">Voorzitter van de Tweede Kamer </w:t>
                    </w:r>
                  </w:p>
                  <w:p w14:paraId="52AF083A" w14:textId="77777777" w:rsidR="00641AF9" w:rsidRDefault="00641AF9">
                    <w:r>
                      <w:t xml:space="preserve">der Staten-Generaal </w:t>
                    </w:r>
                  </w:p>
                  <w:p w14:paraId="1FDB68B9" w14:textId="77777777" w:rsidR="00641AF9" w:rsidRDefault="00641AF9">
                    <w:r>
                      <w:t xml:space="preserve">Prinses Irenestraat 6 </w:t>
                    </w:r>
                  </w:p>
                  <w:p w14:paraId="3F4D37E8" w14:textId="77777777" w:rsidR="00641AF9" w:rsidRDefault="00641AF9">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9690D54" wp14:editId="3E311F04">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8BCE693" w14:textId="77777777" w:rsidR="00641AF9" w:rsidRDefault="00641AF9"/>
                      </w:txbxContent>
                    </wps:txbx>
                    <wps:bodyPr vert="horz" wrap="square" lIns="0" tIns="0" rIns="0" bIns="0" anchor="t" anchorCtr="0"/>
                  </wps:wsp>
                </a:graphicData>
              </a:graphic>
            </wp:anchor>
          </w:drawing>
        </mc:Choice>
        <mc:Fallback>
          <w:pict>
            <v:shape w14:anchorId="29690D54"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8l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1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IZwPyW/AQAAVQMAAA4AAAAAAAAAAAAA&#10;AAAALgIAAGRycy9lMm9Eb2MueG1sUEsBAi0AFAAGAAgAAAAhAEF5Uo/jAAAADwEAAA8AAAAAAAAA&#10;AAAAAAAAGQQAAGRycy9kb3ducmV2LnhtbFBLBQYAAAAABAAEAPMAAAApBQAAAAA=&#10;" filled="f" stroked="f">
              <v:textbox inset="0,0,0,0">
                <w:txbxContent>
                  <w:p w14:paraId="48BCE693"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7D7FAB93" wp14:editId="25E61F6A">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0F2E76F" w14:textId="4DC7B294" w:rsidR="00641AF9" w:rsidRDefault="00641AF9">
                          <w:pPr>
                            <w:spacing w:line="240" w:lineRule="auto"/>
                          </w:pPr>
                        </w:p>
                      </w:txbxContent>
                    </wps:txbx>
                    <wps:bodyPr vert="horz" wrap="square" lIns="0" tIns="0" rIns="0" bIns="0" anchor="t" anchorCtr="0"/>
                  </wps:wsp>
                </a:graphicData>
              </a:graphic>
            </wp:anchor>
          </w:drawing>
        </mc:Choice>
        <mc:Fallback>
          <w:pict>
            <v:shape w14:anchorId="7D7FAB93"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50F2E76F" w14:textId="4DC7B294" w:rsidR="00641AF9" w:rsidRDefault="00641AF9">
                    <w:pPr>
                      <w:spacing w:line="240" w:lineRule="auto"/>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3FB6381"/>
    <w:multiLevelType w:val="hybridMultilevel"/>
    <w:tmpl w:val="7D9413D0"/>
    <w:lvl w:ilvl="0" w:tplc="E9F63B86">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214EA5"/>
    <w:multiLevelType w:val="hybridMultilevel"/>
    <w:tmpl w:val="71D2E2C2"/>
    <w:lvl w:ilvl="0" w:tplc="E8AA549C">
      <w:start w:val="3"/>
      <w:numFmt w:val="bullet"/>
      <w:lvlText w:val=""/>
      <w:lvlJc w:val="left"/>
      <w:pPr>
        <w:ind w:left="360" w:hanging="360"/>
      </w:pPr>
      <w:rPr>
        <w:rFonts w:ascii="Symbol" w:eastAsia="DejaVu Sans" w:hAnsi="Symbol"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88C7F9E"/>
    <w:multiLevelType w:val="hybridMultilevel"/>
    <w:tmpl w:val="469404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E90640A"/>
    <w:multiLevelType w:val="hybridMultilevel"/>
    <w:tmpl w:val="960E12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1E6CC0"/>
    <w:multiLevelType w:val="hybridMultilevel"/>
    <w:tmpl w:val="A9722D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DBF55E9"/>
    <w:multiLevelType w:val="hybridMultilevel"/>
    <w:tmpl w:val="E35492F8"/>
    <w:lvl w:ilvl="0" w:tplc="2E26E43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FBF272A"/>
    <w:multiLevelType w:val="hybridMultilevel"/>
    <w:tmpl w:val="78EEB4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A121523"/>
    <w:multiLevelType w:val="hybridMultilevel"/>
    <w:tmpl w:val="3EBE8982"/>
    <w:lvl w:ilvl="0" w:tplc="C1602086">
      <w:start w:val="14"/>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B2D7A20"/>
    <w:multiLevelType w:val="hybridMultilevel"/>
    <w:tmpl w:val="65444DEE"/>
    <w:lvl w:ilvl="0" w:tplc="77BAB946">
      <w:numFmt w:val="bullet"/>
      <w:lvlText w:val="-"/>
      <w:lvlJc w:val="left"/>
      <w:pPr>
        <w:ind w:left="720" w:hanging="360"/>
      </w:pPr>
      <w:rPr>
        <w:rFonts w:ascii="Roboto" w:eastAsia="DejaVu Sans" w:hAnsi="Roboto"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E6452B4"/>
    <w:multiLevelType w:val="hybridMultilevel"/>
    <w:tmpl w:val="1B3AE63E"/>
    <w:lvl w:ilvl="0" w:tplc="04130019">
      <w:start w:val="1"/>
      <w:numFmt w:val="lowerLetter"/>
      <w:lvlText w:val="%1."/>
      <w:lvlJc w:val="left"/>
      <w:pPr>
        <w:ind w:left="720" w:hanging="360"/>
      </w:pPr>
      <w:rPr>
        <w:rFonts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2"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14"/>
  </w:num>
  <w:num w:numId="4">
    <w:abstractNumId w:val="31"/>
  </w:num>
  <w:num w:numId="5">
    <w:abstractNumId w:val="5"/>
  </w:num>
  <w:num w:numId="6">
    <w:abstractNumId w:val="7"/>
  </w:num>
  <w:num w:numId="7">
    <w:abstractNumId w:val="20"/>
  </w:num>
  <w:num w:numId="8">
    <w:abstractNumId w:val="29"/>
  </w:num>
  <w:num w:numId="9">
    <w:abstractNumId w:val="19"/>
  </w:num>
  <w:num w:numId="10">
    <w:abstractNumId w:val="33"/>
  </w:num>
  <w:num w:numId="11">
    <w:abstractNumId w:val="3"/>
  </w:num>
  <w:num w:numId="12">
    <w:abstractNumId w:val="32"/>
  </w:num>
  <w:num w:numId="13">
    <w:abstractNumId w:val="16"/>
  </w:num>
  <w:num w:numId="14">
    <w:abstractNumId w:val="25"/>
  </w:num>
  <w:num w:numId="15">
    <w:abstractNumId w:val="24"/>
  </w:num>
  <w:num w:numId="16">
    <w:abstractNumId w:val="6"/>
  </w:num>
  <w:num w:numId="17">
    <w:abstractNumId w:val="11"/>
  </w:num>
  <w:num w:numId="18">
    <w:abstractNumId w:val="2"/>
  </w:num>
  <w:num w:numId="19">
    <w:abstractNumId w:val="9"/>
  </w:num>
  <w:num w:numId="20">
    <w:abstractNumId w:val="23"/>
  </w:num>
  <w:num w:numId="21">
    <w:abstractNumId w:val="21"/>
  </w:num>
  <w:num w:numId="22">
    <w:abstractNumId w:val="8"/>
  </w:num>
  <w:num w:numId="23">
    <w:abstractNumId w:val="22"/>
  </w:num>
  <w:num w:numId="24">
    <w:abstractNumId w:val="30"/>
  </w:num>
  <w:num w:numId="25">
    <w:abstractNumId w:val="0"/>
  </w:num>
  <w:num w:numId="26">
    <w:abstractNumId w:val="10"/>
  </w:num>
  <w:num w:numId="27">
    <w:abstractNumId w:val="17"/>
  </w:num>
  <w:num w:numId="28">
    <w:abstractNumId w:val="28"/>
  </w:num>
  <w:num w:numId="29">
    <w:abstractNumId w:val="27"/>
  </w:num>
  <w:num w:numId="30">
    <w:abstractNumId w:val="15"/>
  </w:num>
  <w:num w:numId="31">
    <w:abstractNumId w:val="13"/>
  </w:num>
  <w:num w:numId="32">
    <w:abstractNumId w:val="18"/>
  </w:num>
  <w:num w:numId="33">
    <w:abstractNumId w:val="26"/>
  </w:num>
  <w:num w:numId="34">
    <w:abstractNumId w:val="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nl-NL" w:vendorID="64" w:dllVersion="131078" w:nlCheck="1" w:checkStyle="0"/>
  <w:defaultTabStop w:val="708"/>
  <w:hyphenationZone w:val="425"/>
  <w:characterSpacingControl w:val="doNotCompress"/>
  <w:hdrShapeDefaults>
    <o:shapedefaults v:ext="edit" spidmax="45063"/>
    <o:shapelayout v:ext="edit">
      <o:idmap v:ext="edit" data="4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A26"/>
    <w:rsid w:val="00004E4B"/>
    <w:rsid w:val="00007414"/>
    <w:rsid w:val="00011066"/>
    <w:rsid w:val="00017354"/>
    <w:rsid w:val="00021EAD"/>
    <w:rsid w:val="00022439"/>
    <w:rsid w:val="000229A3"/>
    <w:rsid w:val="00023FFB"/>
    <w:rsid w:val="00025B39"/>
    <w:rsid w:val="00026097"/>
    <w:rsid w:val="000333BF"/>
    <w:rsid w:val="00035A4B"/>
    <w:rsid w:val="0003753E"/>
    <w:rsid w:val="000429F8"/>
    <w:rsid w:val="00043CA3"/>
    <w:rsid w:val="00044FA2"/>
    <w:rsid w:val="000509C9"/>
    <w:rsid w:val="000533A4"/>
    <w:rsid w:val="00055743"/>
    <w:rsid w:val="00060118"/>
    <w:rsid w:val="0006243A"/>
    <w:rsid w:val="00062ED0"/>
    <w:rsid w:val="0006573C"/>
    <w:rsid w:val="0007447F"/>
    <w:rsid w:val="0007689C"/>
    <w:rsid w:val="000769DE"/>
    <w:rsid w:val="000828A1"/>
    <w:rsid w:val="000842D9"/>
    <w:rsid w:val="00085174"/>
    <w:rsid w:val="0008742D"/>
    <w:rsid w:val="0009006A"/>
    <w:rsid w:val="000906BA"/>
    <w:rsid w:val="0009172C"/>
    <w:rsid w:val="0009233B"/>
    <w:rsid w:val="00094AEB"/>
    <w:rsid w:val="000951D1"/>
    <w:rsid w:val="00095453"/>
    <w:rsid w:val="00095D68"/>
    <w:rsid w:val="00096F9D"/>
    <w:rsid w:val="000977F7"/>
    <w:rsid w:val="000A3FC6"/>
    <w:rsid w:val="000A41BD"/>
    <w:rsid w:val="000A63F3"/>
    <w:rsid w:val="000A6CFE"/>
    <w:rsid w:val="000B03B6"/>
    <w:rsid w:val="000B4774"/>
    <w:rsid w:val="000B7EC9"/>
    <w:rsid w:val="000C3A30"/>
    <w:rsid w:val="000C5440"/>
    <w:rsid w:val="000D1CCD"/>
    <w:rsid w:val="000D2518"/>
    <w:rsid w:val="000D5FA5"/>
    <w:rsid w:val="000F4992"/>
    <w:rsid w:val="000F5DB0"/>
    <w:rsid w:val="000F7A1A"/>
    <w:rsid w:val="0010164B"/>
    <w:rsid w:val="0010365C"/>
    <w:rsid w:val="00106AB0"/>
    <w:rsid w:val="0011208E"/>
    <w:rsid w:val="001141F7"/>
    <w:rsid w:val="0011440A"/>
    <w:rsid w:val="00114C23"/>
    <w:rsid w:val="001164DB"/>
    <w:rsid w:val="00117AF0"/>
    <w:rsid w:val="00120FFD"/>
    <w:rsid w:val="00124F75"/>
    <w:rsid w:val="0012709F"/>
    <w:rsid w:val="0013184B"/>
    <w:rsid w:val="001368E6"/>
    <w:rsid w:val="00141432"/>
    <w:rsid w:val="001414D4"/>
    <w:rsid w:val="00141EA6"/>
    <w:rsid w:val="00143802"/>
    <w:rsid w:val="0014385A"/>
    <w:rsid w:val="001461F3"/>
    <w:rsid w:val="001513FC"/>
    <w:rsid w:val="00154FF1"/>
    <w:rsid w:val="00155D13"/>
    <w:rsid w:val="00155D56"/>
    <w:rsid w:val="00156005"/>
    <w:rsid w:val="00156341"/>
    <w:rsid w:val="00162271"/>
    <w:rsid w:val="00166CBD"/>
    <w:rsid w:val="00177C9B"/>
    <w:rsid w:val="00180B32"/>
    <w:rsid w:val="00180FFC"/>
    <w:rsid w:val="001823F5"/>
    <w:rsid w:val="00182B3F"/>
    <w:rsid w:val="00184187"/>
    <w:rsid w:val="00194765"/>
    <w:rsid w:val="001A2150"/>
    <w:rsid w:val="001C210E"/>
    <w:rsid w:val="001C28F7"/>
    <w:rsid w:val="001C4D87"/>
    <w:rsid w:val="001D08E2"/>
    <w:rsid w:val="001D0FCA"/>
    <w:rsid w:val="001D101D"/>
    <w:rsid w:val="001D2434"/>
    <w:rsid w:val="001D6A70"/>
    <w:rsid w:val="001E45A7"/>
    <w:rsid w:val="001E4828"/>
    <w:rsid w:val="001F0B6A"/>
    <w:rsid w:val="001F6D57"/>
    <w:rsid w:val="00200833"/>
    <w:rsid w:val="00203186"/>
    <w:rsid w:val="002035FB"/>
    <w:rsid w:val="002127ED"/>
    <w:rsid w:val="00213C95"/>
    <w:rsid w:val="00221241"/>
    <w:rsid w:val="00221741"/>
    <w:rsid w:val="00227515"/>
    <w:rsid w:val="00231938"/>
    <w:rsid w:val="0024161A"/>
    <w:rsid w:val="00247B8B"/>
    <w:rsid w:val="00250CEE"/>
    <w:rsid w:val="00251C15"/>
    <w:rsid w:val="0025247F"/>
    <w:rsid w:val="00253993"/>
    <w:rsid w:val="00254C80"/>
    <w:rsid w:val="0026509F"/>
    <w:rsid w:val="00266741"/>
    <w:rsid w:val="00270340"/>
    <w:rsid w:val="00270A5B"/>
    <w:rsid w:val="0027206F"/>
    <w:rsid w:val="002733F0"/>
    <w:rsid w:val="0027370F"/>
    <w:rsid w:val="00275EEF"/>
    <w:rsid w:val="0028500F"/>
    <w:rsid w:val="00285C08"/>
    <w:rsid w:val="002863DF"/>
    <w:rsid w:val="002A12C1"/>
    <w:rsid w:val="002A3DEF"/>
    <w:rsid w:val="002A4607"/>
    <w:rsid w:val="002A57C1"/>
    <w:rsid w:val="002C36FE"/>
    <w:rsid w:val="002C636D"/>
    <w:rsid w:val="002C74A1"/>
    <w:rsid w:val="002D1C2E"/>
    <w:rsid w:val="002D4233"/>
    <w:rsid w:val="002D4744"/>
    <w:rsid w:val="002D5369"/>
    <w:rsid w:val="002D6946"/>
    <w:rsid w:val="002E1A2C"/>
    <w:rsid w:val="002F5344"/>
    <w:rsid w:val="002F719F"/>
    <w:rsid w:val="0030171D"/>
    <w:rsid w:val="00305F2B"/>
    <w:rsid w:val="003101CD"/>
    <w:rsid w:val="003106F1"/>
    <w:rsid w:val="003138CB"/>
    <w:rsid w:val="00315CFA"/>
    <w:rsid w:val="003164BD"/>
    <w:rsid w:val="00317546"/>
    <w:rsid w:val="003216F6"/>
    <w:rsid w:val="00322A1D"/>
    <w:rsid w:val="00322C9D"/>
    <w:rsid w:val="00324099"/>
    <w:rsid w:val="00325B42"/>
    <w:rsid w:val="0033000F"/>
    <w:rsid w:val="0033092E"/>
    <w:rsid w:val="00336FC4"/>
    <w:rsid w:val="00337125"/>
    <w:rsid w:val="00341C7B"/>
    <w:rsid w:val="0034225C"/>
    <w:rsid w:val="00360D3C"/>
    <w:rsid w:val="00365B36"/>
    <w:rsid w:val="0036776F"/>
    <w:rsid w:val="0037253F"/>
    <w:rsid w:val="00375207"/>
    <w:rsid w:val="00376463"/>
    <w:rsid w:val="00377225"/>
    <w:rsid w:val="00381CF2"/>
    <w:rsid w:val="0038336E"/>
    <w:rsid w:val="00384451"/>
    <w:rsid w:val="003868B7"/>
    <w:rsid w:val="00387C69"/>
    <w:rsid w:val="003909C9"/>
    <w:rsid w:val="00392E10"/>
    <w:rsid w:val="00395142"/>
    <w:rsid w:val="003B1FCB"/>
    <w:rsid w:val="003B1FCC"/>
    <w:rsid w:val="003B29C8"/>
    <w:rsid w:val="003B344C"/>
    <w:rsid w:val="003B7DAF"/>
    <w:rsid w:val="003C15E7"/>
    <w:rsid w:val="003C331A"/>
    <w:rsid w:val="003C3583"/>
    <w:rsid w:val="003C3D30"/>
    <w:rsid w:val="003C4901"/>
    <w:rsid w:val="003C600C"/>
    <w:rsid w:val="003C7FB0"/>
    <w:rsid w:val="003D041B"/>
    <w:rsid w:val="003D0959"/>
    <w:rsid w:val="003D0C09"/>
    <w:rsid w:val="003D2089"/>
    <w:rsid w:val="003D27CA"/>
    <w:rsid w:val="003D6482"/>
    <w:rsid w:val="003E460C"/>
    <w:rsid w:val="003F08DC"/>
    <w:rsid w:val="003F0A38"/>
    <w:rsid w:val="003F1607"/>
    <w:rsid w:val="003F51FF"/>
    <w:rsid w:val="00402DCC"/>
    <w:rsid w:val="00403E6C"/>
    <w:rsid w:val="00405D51"/>
    <w:rsid w:val="0041113D"/>
    <w:rsid w:val="00412ADE"/>
    <w:rsid w:val="00415782"/>
    <w:rsid w:val="00416655"/>
    <w:rsid w:val="004170A4"/>
    <w:rsid w:val="004214A3"/>
    <w:rsid w:val="00423170"/>
    <w:rsid w:val="0042647F"/>
    <w:rsid w:val="004334DF"/>
    <w:rsid w:val="00435201"/>
    <w:rsid w:val="00436F15"/>
    <w:rsid w:val="00444183"/>
    <w:rsid w:val="00447AB6"/>
    <w:rsid w:val="004516ED"/>
    <w:rsid w:val="00455A2F"/>
    <w:rsid w:val="00456F9F"/>
    <w:rsid w:val="004575BD"/>
    <w:rsid w:val="0046316D"/>
    <w:rsid w:val="00472964"/>
    <w:rsid w:val="00477995"/>
    <w:rsid w:val="00477BD7"/>
    <w:rsid w:val="00477EDE"/>
    <w:rsid w:val="00481522"/>
    <w:rsid w:val="00484179"/>
    <w:rsid w:val="00487490"/>
    <w:rsid w:val="00487F65"/>
    <w:rsid w:val="0049363E"/>
    <w:rsid w:val="004955ED"/>
    <w:rsid w:val="00496905"/>
    <w:rsid w:val="0049729A"/>
    <w:rsid w:val="004A0435"/>
    <w:rsid w:val="004A7753"/>
    <w:rsid w:val="004B0BC9"/>
    <w:rsid w:val="004C079B"/>
    <w:rsid w:val="004C09DF"/>
    <w:rsid w:val="004C1E1B"/>
    <w:rsid w:val="004C41E5"/>
    <w:rsid w:val="004C58A7"/>
    <w:rsid w:val="004C7799"/>
    <w:rsid w:val="004D0BF5"/>
    <w:rsid w:val="004D309F"/>
    <w:rsid w:val="004D7C99"/>
    <w:rsid w:val="004E0233"/>
    <w:rsid w:val="004E0FC5"/>
    <w:rsid w:val="004E2C2E"/>
    <w:rsid w:val="004E3774"/>
    <w:rsid w:val="004E482D"/>
    <w:rsid w:val="004F1D7E"/>
    <w:rsid w:val="004F2A32"/>
    <w:rsid w:val="004F7601"/>
    <w:rsid w:val="005036ED"/>
    <w:rsid w:val="00504E91"/>
    <w:rsid w:val="00505A17"/>
    <w:rsid w:val="00511912"/>
    <w:rsid w:val="005151D4"/>
    <w:rsid w:val="00515EB3"/>
    <w:rsid w:val="00517145"/>
    <w:rsid w:val="0051789E"/>
    <w:rsid w:val="005206CB"/>
    <w:rsid w:val="00522A86"/>
    <w:rsid w:val="00525627"/>
    <w:rsid w:val="00530084"/>
    <w:rsid w:val="00535528"/>
    <w:rsid w:val="005418CC"/>
    <w:rsid w:val="00551B72"/>
    <w:rsid w:val="005552A6"/>
    <w:rsid w:val="0056561F"/>
    <w:rsid w:val="00566208"/>
    <w:rsid w:val="005662CD"/>
    <w:rsid w:val="00570639"/>
    <w:rsid w:val="00571DEC"/>
    <w:rsid w:val="005744D4"/>
    <w:rsid w:val="00574A3C"/>
    <w:rsid w:val="0057562D"/>
    <w:rsid w:val="00585DC6"/>
    <w:rsid w:val="005870FA"/>
    <w:rsid w:val="00587280"/>
    <w:rsid w:val="00596E6D"/>
    <w:rsid w:val="00597903"/>
    <w:rsid w:val="005A2F1E"/>
    <w:rsid w:val="005A4740"/>
    <w:rsid w:val="005A4EDC"/>
    <w:rsid w:val="005A70AD"/>
    <w:rsid w:val="005A75A2"/>
    <w:rsid w:val="005B032C"/>
    <w:rsid w:val="005B0FA0"/>
    <w:rsid w:val="005B5EC2"/>
    <w:rsid w:val="005C05CC"/>
    <w:rsid w:val="005C1461"/>
    <w:rsid w:val="005C463C"/>
    <w:rsid w:val="005C4FD3"/>
    <w:rsid w:val="005D071C"/>
    <w:rsid w:val="005D5ABA"/>
    <w:rsid w:val="005D7644"/>
    <w:rsid w:val="005E35ED"/>
    <w:rsid w:val="005E3F7D"/>
    <w:rsid w:val="005E45B3"/>
    <w:rsid w:val="005E4BD4"/>
    <w:rsid w:val="005E6C65"/>
    <w:rsid w:val="005F07E0"/>
    <w:rsid w:val="005F51A5"/>
    <w:rsid w:val="00603E08"/>
    <w:rsid w:val="00603E71"/>
    <w:rsid w:val="0060427A"/>
    <w:rsid w:val="00607D1D"/>
    <w:rsid w:val="006145C3"/>
    <w:rsid w:val="00615978"/>
    <w:rsid w:val="00617AEA"/>
    <w:rsid w:val="0062085C"/>
    <w:rsid w:val="00622F70"/>
    <w:rsid w:val="006247D9"/>
    <w:rsid w:val="006257AB"/>
    <w:rsid w:val="00630370"/>
    <w:rsid w:val="006317F4"/>
    <w:rsid w:val="00635A6A"/>
    <w:rsid w:val="00635AFB"/>
    <w:rsid w:val="00637F38"/>
    <w:rsid w:val="00641AF9"/>
    <w:rsid w:val="006446FA"/>
    <w:rsid w:val="006453A9"/>
    <w:rsid w:val="006457F0"/>
    <w:rsid w:val="00650A3C"/>
    <w:rsid w:val="00653C79"/>
    <w:rsid w:val="00654D6A"/>
    <w:rsid w:val="00656596"/>
    <w:rsid w:val="00657213"/>
    <w:rsid w:val="006574EE"/>
    <w:rsid w:val="006618A8"/>
    <w:rsid w:val="0066264E"/>
    <w:rsid w:val="0066323A"/>
    <w:rsid w:val="006632B7"/>
    <w:rsid w:val="006644C2"/>
    <w:rsid w:val="00666EAA"/>
    <w:rsid w:val="00667974"/>
    <w:rsid w:val="0067098F"/>
    <w:rsid w:val="00671868"/>
    <w:rsid w:val="00673122"/>
    <w:rsid w:val="0068133F"/>
    <w:rsid w:val="00683505"/>
    <w:rsid w:val="00683C00"/>
    <w:rsid w:val="006909F8"/>
    <w:rsid w:val="006978E3"/>
    <w:rsid w:val="006A12E9"/>
    <w:rsid w:val="006B2092"/>
    <w:rsid w:val="006B4B76"/>
    <w:rsid w:val="006B5D0D"/>
    <w:rsid w:val="006C313E"/>
    <w:rsid w:val="006C7496"/>
    <w:rsid w:val="006C7DD0"/>
    <w:rsid w:val="006D04A5"/>
    <w:rsid w:val="006E0C93"/>
    <w:rsid w:val="006E0D1F"/>
    <w:rsid w:val="006E5F52"/>
    <w:rsid w:val="006F4ED2"/>
    <w:rsid w:val="007026B1"/>
    <w:rsid w:val="0070496B"/>
    <w:rsid w:val="00705341"/>
    <w:rsid w:val="00707D0B"/>
    <w:rsid w:val="0071098C"/>
    <w:rsid w:val="007115F4"/>
    <w:rsid w:val="007119A2"/>
    <w:rsid w:val="0071345F"/>
    <w:rsid w:val="00714E40"/>
    <w:rsid w:val="00715DC8"/>
    <w:rsid w:val="0072522F"/>
    <w:rsid w:val="00725EB5"/>
    <w:rsid w:val="00726DC8"/>
    <w:rsid w:val="00726FDE"/>
    <w:rsid w:val="0072712A"/>
    <w:rsid w:val="0073741E"/>
    <w:rsid w:val="00741599"/>
    <w:rsid w:val="0074296A"/>
    <w:rsid w:val="0074369E"/>
    <w:rsid w:val="0074389D"/>
    <w:rsid w:val="00745CCB"/>
    <w:rsid w:val="007462A3"/>
    <w:rsid w:val="0075545A"/>
    <w:rsid w:val="00757846"/>
    <w:rsid w:val="0076098F"/>
    <w:rsid w:val="00761116"/>
    <w:rsid w:val="00780711"/>
    <w:rsid w:val="00781BE2"/>
    <w:rsid w:val="00786D4C"/>
    <w:rsid w:val="007870EF"/>
    <w:rsid w:val="007904F3"/>
    <w:rsid w:val="007933A0"/>
    <w:rsid w:val="007954F8"/>
    <w:rsid w:val="00795941"/>
    <w:rsid w:val="007966A7"/>
    <w:rsid w:val="00797FD5"/>
    <w:rsid w:val="007A0928"/>
    <w:rsid w:val="007A52BC"/>
    <w:rsid w:val="007A6044"/>
    <w:rsid w:val="007A77C2"/>
    <w:rsid w:val="007B126D"/>
    <w:rsid w:val="007B25E4"/>
    <w:rsid w:val="007B3708"/>
    <w:rsid w:val="007B4718"/>
    <w:rsid w:val="007B6804"/>
    <w:rsid w:val="007C026D"/>
    <w:rsid w:val="007C1ACC"/>
    <w:rsid w:val="007C3343"/>
    <w:rsid w:val="007D5C99"/>
    <w:rsid w:val="007D670E"/>
    <w:rsid w:val="007D770F"/>
    <w:rsid w:val="007F4B22"/>
    <w:rsid w:val="00802784"/>
    <w:rsid w:val="00804134"/>
    <w:rsid w:val="0081275D"/>
    <w:rsid w:val="008129DB"/>
    <w:rsid w:val="00815548"/>
    <w:rsid w:val="00816350"/>
    <w:rsid w:val="008176A1"/>
    <w:rsid w:val="00825C0D"/>
    <w:rsid w:val="008274B8"/>
    <w:rsid w:val="00827874"/>
    <w:rsid w:val="00840B0F"/>
    <w:rsid w:val="00842884"/>
    <w:rsid w:val="008438F7"/>
    <w:rsid w:val="0084408F"/>
    <w:rsid w:val="00850ABC"/>
    <w:rsid w:val="008514D6"/>
    <w:rsid w:val="0086243E"/>
    <w:rsid w:val="00873CE5"/>
    <w:rsid w:val="00881D15"/>
    <w:rsid w:val="00881D72"/>
    <w:rsid w:val="00882BBB"/>
    <w:rsid w:val="0088410E"/>
    <w:rsid w:val="008848AD"/>
    <w:rsid w:val="00885E7D"/>
    <w:rsid w:val="008931B6"/>
    <w:rsid w:val="008977E0"/>
    <w:rsid w:val="008A2DCC"/>
    <w:rsid w:val="008C0FAE"/>
    <w:rsid w:val="008C3A85"/>
    <w:rsid w:val="008D004B"/>
    <w:rsid w:val="008D4546"/>
    <w:rsid w:val="008D4686"/>
    <w:rsid w:val="008E0C23"/>
    <w:rsid w:val="008E46D2"/>
    <w:rsid w:val="008E760B"/>
    <w:rsid w:val="008E79AA"/>
    <w:rsid w:val="008F0E6D"/>
    <w:rsid w:val="008F22B3"/>
    <w:rsid w:val="008F44E3"/>
    <w:rsid w:val="008F6293"/>
    <w:rsid w:val="008F721C"/>
    <w:rsid w:val="0090015D"/>
    <w:rsid w:val="0090334B"/>
    <w:rsid w:val="0090401E"/>
    <w:rsid w:val="009042BD"/>
    <w:rsid w:val="00904F21"/>
    <w:rsid w:val="00905DDC"/>
    <w:rsid w:val="00914496"/>
    <w:rsid w:val="00917164"/>
    <w:rsid w:val="00932D90"/>
    <w:rsid w:val="00932FDC"/>
    <w:rsid w:val="00934F58"/>
    <w:rsid w:val="00936D3F"/>
    <w:rsid w:val="00942606"/>
    <w:rsid w:val="00943960"/>
    <w:rsid w:val="00943B51"/>
    <w:rsid w:val="0094702E"/>
    <w:rsid w:val="00952572"/>
    <w:rsid w:val="00953651"/>
    <w:rsid w:val="00957208"/>
    <w:rsid w:val="00960CA8"/>
    <w:rsid w:val="00961DA6"/>
    <w:rsid w:val="0096258C"/>
    <w:rsid w:val="009625BD"/>
    <w:rsid w:val="00965226"/>
    <w:rsid w:val="00965530"/>
    <w:rsid w:val="009753EF"/>
    <w:rsid w:val="00980ED3"/>
    <w:rsid w:val="00981A53"/>
    <w:rsid w:val="009866EF"/>
    <w:rsid w:val="009869AC"/>
    <w:rsid w:val="0098783A"/>
    <w:rsid w:val="009939C2"/>
    <w:rsid w:val="009A08D1"/>
    <w:rsid w:val="009A0A33"/>
    <w:rsid w:val="009A1BF5"/>
    <w:rsid w:val="009A53A2"/>
    <w:rsid w:val="009A7352"/>
    <w:rsid w:val="009B00D8"/>
    <w:rsid w:val="009B1819"/>
    <w:rsid w:val="009B219B"/>
    <w:rsid w:val="009B4B69"/>
    <w:rsid w:val="009B4C3D"/>
    <w:rsid w:val="009C1DE2"/>
    <w:rsid w:val="009C3960"/>
    <w:rsid w:val="009C3FC8"/>
    <w:rsid w:val="009D47EA"/>
    <w:rsid w:val="009D59B2"/>
    <w:rsid w:val="009E2D83"/>
    <w:rsid w:val="009F093C"/>
    <w:rsid w:val="009F4817"/>
    <w:rsid w:val="009F4EA2"/>
    <w:rsid w:val="009F65B6"/>
    <w:rsid w:val="00A05DF7"/>
    <w:rsid w:val="00A1166E"/>
    <w:rsid w:val="00A12432"/>
    <w:rsid w:val="00A1638C"/>
    <w:rsid w:val="00A17E81"/>
    <w:rsid w:val="00A2088C"/>
    <w:rsid w:val="00A21D80"/>
    <w:rsid w:val="00A2307C"/>
    <w:rsid w:val="00A25330"/>
    <w:rsid w:val="00A255F2"/>
    <w:rsid w:val="00A26A62"/>
    <w:rsid w:val="00A31691"/>
    <w:rsid w:val="00A345D3"/>
    <w:rsid w:val="00A36687"/>
    <w:rsid w:val="00A36907"/>
    <w:rsid w:val="00A3769F"/>
    <w:rsid w:val="00A37863"/>
    <w:rsid w:val="00A43312"/>
    <w:rsid w:val="00A50048"/>
    <w:rsid w:val="00A5284B"/>
    <w:rsid w:val="00A6186A"/>
    <w:rsid w:val="00A62186"/>
    <w:rsid w:val="00A64334"/>
    <w:rsid w:val="00A7006E"/>
    <w:rsid w:val="00A76B49"/>
    <w:rsid w:val="00A76EF4"/>
    <w:rsid w:val="00A77B57"/>
    <w:rsid w:val="00A82BDF"/>
    <w:rsid w:val="00A866B7"/>
    <w:rsid w:val="00A91E04"/>
    <w:rsid w:val="00AA39D1"/>
    <w:rsid w:val="00AA7327"/>
    <w:rsid w:val="00AB135D"/>
    <w:rsid w:val="00AB1DC2"/>
    <w:rsid w:val="00AB460B"/>
    <w:rsid w:val="00AB6D32"/>
    <w:rsid w:val="00AC1271"/>
    <w:rsid w:val="00AC2612"/>
    <w:rsid w:val="00AC4B34"/>
    <w:rsid w:val="00AC4C99"/>
    <w:rsid w:val="00AC4F6B"/>
    <w:rsid w:val="00AC6C23"/>
    <w:rsid w:val="00AD0254"/>
    <w:rsid w:val="00AD77F2"/>
    <w:rsid w:val="00AD7DDA"/>
    <w:rsid w:val="00AF179D"/>
    <w:rsid w:val="00B11EB0"/>
    <w:rsid w:val="00B1255C"/>
    <w:rsid w:val="00B13009"/>
    <w:rsid w:val="00B15C12"/>
    <w:rsid w:val="00B24158"/>
    <w:rsid w:val="00B24BAA"/>
    <w:rsid w:val="00B312FE"/>
    <w:rsid w:val="00B35005"/>
    <w:rsid w:val="00B37141"/>
    <w:rsid w:val="00B40DED"/>
    <w:rsid w:val="00B422B7"/>
    <w:rsid w:val="00B43916"/>
    <w:rsid w:val="00B46C29"/>
    <w:rsid w:val="00B47D93"/>
    <w:rsid w:val="00B6610E"/>
    <w:rsid w:val="00B725E4"/>
    <w:rsid w:val="00B73F01"/>
    <w:rsid w:val="00B747E6"/>
    <w:rsid w:val="00B75965"/>
    <w:rsid w:val="00B760B6"/>
    <w:rsid w:val="00B765FE"/>
    <w:rsid w:val="00B80CC1"/>
    <w:rsid w:val="00B82401"/>
    <w:rsid w:val="00B830F2"/>
    <w:rsid w:val="00B86621"/>
    <w:rsid w:val="00B87E13"/>
    <w:rsid w:val="00B9289F"/>
    <w:rsid w:val="00B97BA8"/>
    <w:rsid w:val="00BA479B"/>
    <w:rsid w:val="00BA7FCB"/>
    <w:rsid w:val="00BB030E"/>
    <w:rsid w:val="00BB2E20"/>
    <w:rsid w:val="00BB33DF"/>
    <w:rsid w:val="00BC2298"/>
    <w:rsid w:val="00BD19B3"/>
    <w:rsid w:val="00BE1121"/>
    <w:rsid w:val="00BE5434"/>
    <w:rsid w:val="00BE5596"/>
    <w:rsid w:val="00BE7CD3"/>
    <w:rsid w:val="00BF032E"/>
    <w:rsid w:val="00C00BBC"/>
    <w:rsid w:val="00C068F2"/>
    <w:rsid w:val="00C10A2D"/>
    <w:rsid w:val="00C11613"/>
    <w:rsid w:val="00C13AF6"/>
    <w:rsid w:val="00C13CBF"/>
    <w:rsid w:val="00C14C70"/>
    <w:rsid w:val="00C14D13"/>
    <w:rsid w:val="00C17E4F"/>
    <w:rsid w:val="00C2585C"/>
    <w:rsid w:val="00C2632B"/>
    <w:rsid w:val="00C273EA"/>
    <w:rsid w:val="00C30D60"/>
    <w:rsid w:val="00C321E9"/>
    <w:rsid w:val="00C35173"/>
    <w:rsid w:val="00C357B4"/>
    <w:rsid w:val="00C435AF"/>
    <w:rsid w:val="00C44DBA"/>
    <w:rsid w:val="00C464B7"/>
    <w:rsid w:val="00C509EE"/>
    <w:rsid w:val="00C527A3"/>
    <w:rsid w:val="00C54392"/>
    <w:rsid w:val="00C56F7F"/>
    <w:rsid w:val="00C5735B"/>
    <w:rsid w:val="00C57838"/>
    <w:rsid w:val="00C62B8B"/>
    <w:rsid w:val="00C66E8F"/>
    <w:rsid w:val="00C673A3"/>
    <w:rsid w:val="00C835A2"/>
    <w:rsid w:val="00C90C58"/>
    <w:rsid w:val="00C96708"/>
    <w:rsid w:val="00C97ABD"/>
    <w:rsid w:val="00CA05FC"/>
    <w:rsid w:val="00CA502E"/>
    <w:rsid w:val="00CA60FC"/>
    <w:rsid w:val="00CB16C6"/>
    <w:rsid w:val="00CB5E12"/>
    <w:rsid w:val="00CB6406"/>
    <w:rsid w:val="00CB6851"/>
    <w:rsid w:val="00CB6C9C"/>
    <w:rsid w:val="00CC15BE"/>
    <w:rsid w:val="00CC19E2"/>
    <w:rsid w:val="00CC7E85"/>
    <w:rsid w:val="00CE24EF"/>
    <w:rsid w:val="00CE2B09"/>
    <w:rsid w:val="00CE3C8B"/>
    <w:rsid w:val="00CE3D4B"/>
    <w:rsid w:val="00CF1F50"/>
    <w:rsid w:val="00CF312F"/>
    <w:rsid w:val="00CF6F84"/>
    <w:rsid w:val="00CF7532"/>
    <w:rsid w:val="00D060EB"/>
    <w:rsid w:val="00D06D97"/>
    <w:rsid w:val="00D15F9F"/>
    <w:rsid w:val="00D169F3"/>
    <w:rsid w:val="00D21785"/>
    <w:rsid w:val="00D25E62"/>
    <w:rsid w:val="00D34D3B"/>
    <w:rsid w:val="00D34E15"/>
    <w:rsid w:val="00D45771"/>
    <w:rsid w:val="00D5270D"/>
    <w:rsid w:val="00D52D62"/>
    <w:rsid w:val="00D5447B"/>
    <w:rsid w:val="00D55DA4"/>
    <w:rsid w:val="00D56DB3"/>
    <w:rsid w:val="00D578F8"/>
    <w:rsid w:val="00D625CE"/>
    <w:rsid w:val="00D640C7"/>
    <w:rsid w:val="00D74781"/>
    <w:rsid w:val="00D75F42"/>
    <w:rsid w:val="00D77105"/>
    <w:rsid w:val="00D82966"/>
    <w:rsid w:val="00D82B3B"/>
    <w:rsid w:val="00D83EA0"/>
    <w:rsid w:val="00D842AF"/>
    <w:rsid w:val="00D84A68"/>
    <w:rsid w:val="00D8500C"/>
    <w:rsid w:val="00D851ED"/>
    <w:rsid w:val="00D8684C"/>
    <w:rsid w:val="00D91AC9"/>
    <w:rsid w:val="00D9552E"/>
    <w:rsid w:val="00D96723"/>
    <w:rsid w:val="00DA0004"/>
    <w:rsid w:val="00DA210C"/>
    <w:rsid w:val="00DA456E"/>
    <w:rsid w:val="00DA54EA"/>
    <w:rsid w:val="00DB1C05"/>
    <w:rsid w:val="00DC1E5E"/>
    <w:rsid w:val="00DC200D"/>
    <w:rsid w:val="00DC4381"/>
    <w:rsid w:val="00DC44AD"/>
    <w:rsid w:val="00DC794D"/>
    <w:rsid w:val="00DD02AD"/>
    <w:rsid w:val="00DD07BA"/>
    <w:rsid w:val="00DD1156"/>
    <w:rsid w:val="00DD5240"/>
    <w:rsid w:val="00DD5A90"/>
    <w:rsid w:val="00DE0479"/>
    <w:rsid w:val="00DE134A"/>
    <w:rsid w:val="00DE66FA"/>
    <w:rsid w:val="00DF1095"/>
    <w:rsid w:val="00DF3097"/>
    <w:rsid w:val="00DF32AB"/>
    <w:rsid w:val="00DF34F8"/>
    <w:rsid w:val="00DF6185"/>
    <w:rsid w:val="00DF691E"/>
    <w:rsid w:val="00DF7D01"/>
    <w:rsid w:val="00E001CB"/>
    <w:rsid w:val="00E02F29"/>
    <w:rsid w:val="00E052D4"/>
    <w:rsid w:val="00E06131"/>
    <w:rsid w:val="00E11973"/>
    <w:rsid w:val="00E1552A"/>
    <w:rsid w:val="00E16AFB"/>
    <w:rsid w:val="00E16F80"/>
    <w:rsid w:val="00E21B18"/>
    <w:rsid w:val="00E235B8"/>
    <w:rsid w:val="00E30EE1"/>
    <w:rsid w:val="00E334C3"/>
    <w:rsid w:val="00E35136"/>
    <w:rsid w:val="00E35197"/>
    <w:rsid w:val="00E35BF3"/>
    <w:rsid w:val="00E37931"/>
    <w:rsid w:val="00E430E7"/>
    <w:rsid w:val="00E45157"/>
    <w:rsid w:val="00E4686E"/>
    <w:rsid w:val="00E46966"/>
    <w:rsid w:val="00E51627"/>
    <w:rsid w:val="00E5567C"/>
    <w:rsid w:val="00E61E55"/>
    <w:rsid w:val="00E62854"/>
    <w:rsid w:val="00E6341E"/>
    <w:rsid w:val="00E63B53"/>
    <w:rsid w:val="00E65B53"/>
    <w:rsid w:val="00E67548"/>
    <w:rsid w:val="00E7190B"/>
    <w:rsid w:val="00E76263"/>
    <w:rsid w:val="00E81924"/>
    <w:rsid w:val="00E82B03"/>
    <w:rsid w:val="00E83056"/>
    <w:rsid w:val="00E83070"/>
    <w:rsid w:val="00E835EC"/>
    <w:rsid w:val="00E85AA5"/>
    <w:rsid w:val="00E9188D"/>
    <w:rsid w:val="00E92C38"/>
    <w:rsid w:val="00EA4229"/>
    <w:rsid w:val="00EA5840"/>
    <w:rsid w:val="00EB0089"/>
    <w:rsid w:val="00EB3701"/>
    <w:rsid w:val="00EB408F"/>
    <w:rsid w:val="00EB41F4"/>
    <w:rsid w:val="00EB5E0F"/>
    <w:rsid w:val="00EB667E"/>
    <w:rsid w:val="00EB70F9"/>
    <w:rsid w:val="00EC51E4"/>
    <w:rsid w:val="00EC780B"/>
    <w:rsid w:val="00EC78D0"/>
    <w:rsid w:val="00ED1053"/>
    <w:rsid w:val="00ED1125"/>
    <w:rsid w:val="00ED1A1D"/>
    <w:rsid w:val="00ED414F"/>
    <w:rsid w:val="00ED6E4E"/>
    <w:rsid w:val="00EE0687"/>
    <w:rsid w:val="00EE3958"/>
    <w:rsid w:val="00EE61F8"/>
    <w:rsid w:val="00EF2C14"/>
    <w:rsid w:val="00EF4F7C"/>
    <w:rsid w:val="00EF5C5F"/>
    <w:rsid w:val="00F03CF4"/>
    <w:rsid w:val="00F0536A"/>
    <w:rsid w:val="00F071C7"/>
    <w:rsid w:val="00F07512"/>
    <w:rsid w:val="00F217EF"/>
    <w:rsid w:val="00F2434B"/>
    <w:rsid w:val="00F26BAA"/>
    <w:rsid w:val="00F27CC0"/>
    <w:rsid w:val="00F305B8"/>
    <w:rsid w:val="00F360AB"/>
    <w:rsid w:val="00F3776A"/>
    <w:rsid w:val="00F41EAC"/>
    <w:rsid w:val="00F4720F"/>
    <w:rsid w:val="00F47A1F"/>
    <w:rsid w:val="00F503DA"/>
    <w:rsid w:val="00F515E1"/>
    <w:rsid w:val="00F52B90"/>
    <w:rsid w:val="00F52D1A"/>
    <w:rsid w:val="00F6045A"/>
    <w:rsid w:val="00F60AD6"/>
    <w:rsid w:val="00F631D6"/>
    <w:rsid w:val="00F72374"/>
    <w:rsid w:val="00F75030"/>
    <w:rsid w:val="00F75B55"/>
    <w:rsid w:val="00F812C3"/>
    <w:rsid w:val="00F82083"/>
    <w:rsid w:val="00F84E27"/>
    <w:rsid w:val="00F86370"/>
    <w:rsid w:val="00F96028"/>
    <w:rsid w:val="00FB20B9"/>
    <w:rsid w:val="00FB2BDB"/>
    <w:rsid w:val="00FB4D59"/>
    <w:rsid w:val="00FB4FAF"/>
    <w:rsid w:val="00FC4D3D"/>
    <w:rsid w:val="00FE239E"/>
    <w:rsid w:val="00FF0384"/>
    <w:rsid w:val="00FF2774"/>
    <w:rsid w:val="00FF7B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63"/>
    <o:shapelayout v:ext="edit">
      <o:idmap v:ext="edit" data="1"/>
    </o:shapelayout>
  </w:shapeDefaults>
  <w:decimalSymbol w:val=","/>
  <w:listSeparator w:val=";"/>
  <w14:docId w14:val="18075C29"/>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semiHidden/>
    <w:unhideWhenUsed/>
    <w:rsid w:val="00F41EAC"/>
    <w:pPr>
      <w:spacing w:line="240" w:lineRule="auto"/>
    </w:pPr>
  </w:style>
  <w:style w:type="character" w:customStyle="1" w:styleId="TekstopmerkingChar">
    <w:name w:val="Tekst opmerking Char"/>
    <w:basedOn w:val="Standaardalinea-lettertype"/>
    <w:link w:val="Tekstopmerking"/>
    <w:uiPriority w:val="99"/>
    <w:semiHidden/>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 w:type="paragraph" w:styleId="Revisie">
    <w:name w:val="Revision"/>
    <w:hidden/>
    <w:uiPriority w:val="99"/>
    <w:semiHidden/>
    <w:rsid w:val="00504E91"/>
    <w:pPr>
      <w:autoSpaceDN/>
      <w:textAlignment w:val="auto"/>
    </w:pPr>
    <w:rPr>
      <w:rFonts w:ascii="Roboto" w:hAnsi="Roboto"/>
      <w:color w:val="000000"/>
    </w:rPr>
  </w:style>
  <w:style w:type="paragraph" w:styleId="Voetnoottekst">
    <w:name w:val="footnote text"/>
    <w:basedOn w:val="Standaard"/>
    <w:link w:val="VoetnoottekstChar"/>
    <w:uiPriority w:val="99"/>
    <w:semiHidden/>
    <w:unhideWhenUsed/>
    <w:rsid w:val="00504E91"/>
    <w:pPr>
      <w:spacing w:line="240" w:lineRule="auto"/>
    </w:pPr>
  </w:style>
  <w:style w:type="character" w:customStyle="1" w:styleId="VoetnoottekstChar">
    <w:name w:val="Voetnoottekst Char"/>
    <w:basedOn w:val="Standaardalinea-lettertype"/>
    <w:link w:val="Voetnoottekst"/>
    <w:uiPriority w:val="99"/>
    <w:semiHidden/>
    <w:rsid w:val="00504E91"/>
    <w:rPr>
      <w:rFonts w:ascii="Roboto" w:hAnsi="Roboto"/>
      <w:color w:val="000000"/>
    </w:rPr>
  </w:style>
  <w:style w:type="character" w:styleId="Voetnootmarkering">
    <w:name w:val="footnote reference"/>
    <w:basedOn w:val="Standaardalinea-lettertype"/>
    <w:uiPriority w:val="99"/>
    <w:semiHidden/>
    <w:unhideWhenUsed/>
    <w:rsid w:val="00504E91"/>
    <w:rPr>
      <w:vertAlign w:val="superscript"/>
    </w:rPr>
  </w:style>
  <w:style w:type="character" w:styleId="GevolgdeHyperlink">
    <w:name w:val="FollowedHyperlink"/>
    <w:basedOn w:val="Standaardalinea-lettertype"/>
    <w:uiPriority w:val="99"/>
    <w:semiHidden/>
    <w:unhideWhenUsed/>
    <w:rsid w:val="00882BBB"/>
    <w:rPr>
      <w:color w:val="954F72" w:themeColor="followedHyperlink"/>
      <w:u w:val="single"/>
    </w:rPr>
  </w:style>
  <w:style w:type="paragraph" w:styleId="Bijschrift">
    <w:name w:val="caption"/>
    <w:basedOn w:val="Standaard"/>
    <w:next w:val="Standaard"/>
    <w:uiPriority w:val="35"/>
    <w:semiHidden/>
    <w:unhideWhenUsed/>
    <w:qFormat/>
    <w:rsid w:val="00AC127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04502">
      <w:bodyDiv w:val="1"/>
      <w:marLeft w:val="0"/>
      <w:marRight w:val="0"/>
      <w:marTop w:val="0"/>
      <w:marBottom w:val="0"/>
      <w:divBdr>
        <w:top w:val="none" w:sz="0" w:space="0" w:color="auto"/>
        <w:left w:val="none" w:sz="0" w:space="0" w:color="auto"/>
        <w:bottom w:val="none" w:sz="0" w:space="0" w:color="auto"/>
        <w:right w:val="none" w:sz="0" w:space="0" w:color="auto"/>
      </w:divBdr>
    </w:div>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zorginstituutnederland.nl/documenten/2023/11/02/advies---verdelen-van-schaarste-in-de-wijkverpleging" TargetMode="External" Id="rId13" /><Relationship Type="http://schemas.openxmlformats.org/officeDocument/2006/relationships/footer" Target="footer1.xml" Id="rId18" /><Relationship Type="http://schemas.openxmlformats.org/officeDocument/2006/relationships/numbering" Target="numbering.xml" Id="rId3" /><Relationship Type="http://schemas.openxmlformats.org/officeDocument/2006/relationships/footer" Target="footer3.xml" Id="rId21" /><Relationship Type="http://schemas.openxmlformats.org/officeDocument/2006/relationships/footnotes" Target="footnotes.xml" Id="rId7" /><Relationship Type="http://schemas.openxmlformats.org/officeDocument/2006/relationships/hyperlink" Target="https://www.igj.nl/onderwerpen/schaarste" TargetMode="External" Id="rId12" /><Relationship Type="http://schemas.openxmlformats.org/officeDocument/2006/relationships/header" Target="header2.xml" Id="rId17"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webSettings" Target="webSettings.xml" Id="rId6" /><Relationship Type="http://schemas.openxmlformats.org/officeDocument/2006/relationships/hyperlink" Target="https://www.knmg.nl/actueel/dossiers/kwaliteit-en-veiligheid-2/houdbaarheid-van-de-zorg/schaarste-in-de-zorg-1" TargetMode="External" Id="rId11" /><Relationship Type="http://schemas.openxmlformats.org/officeDocument/2006/relationships/settings" Target="settings.xml" Id="rId5" /><Relationship Type="http://schemas.openxmlformats.org/officeDocument/2006/relationships/image" Target="media/image1.png" Id="rId15" /><Relationship Type="http://schemas.openxmlformats.org/officeDocument/2006/relationships/theme" Target="theme/theme1.xml" Id="rId23" /><Relationship Type="http://schemas.openxmlformats.org/officeDocument/2006/relationships/hyperlink" Target="https://www.rekenkamer.nl/publicaties/rapporten/2016/12/06/zorgakkoorden" TargetMode="External" Id="rId10" /><Relationship Type="http://schemas.openxmlformats.org/officeDocument/2006/relationships/footer" Target="footer2.xml" Id="rId19" /><Relationship Type="http://schemas.openxmlformats.org/officeDocument/2006/relationships/styles" Target="styles.xml" Id="rId4" /><Relationship Type="http://schemas.openxmlformats.org/officeDocument/2006/relationships/hyperlink" Target="https://www.volksgezondheidtoekomstverkenning.nl/vtv-2024" TargetMode="External" Id="rId9" /><Relationship Type="http://schemas.openxmlformats.org/officeDocument/2006/relationships/hyperlink" Target="https://www.volksgezondheidtoekomstverkenning.nl/vtv-2024" TargetMode="External" Id="rId14" /><Relationship Type="http://schemas.openxmlformats.org/officeDocument/2006/relationships/fontTable" Target="fontTable.xml" Id="rId22" /></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30.jpe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2030</ap:Words>
  <ap:Characters>11166</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13170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2025-09-22T07:28:00.0000000Z</lastPrinted>
  <dcterms:created xsi:type="dcterms:W3CDTF">2025-09-22T07:19:00.0000000Z</dcterms:created>
  <dcterms:modified xsi:type="dcterms:W3CDTF">2025-09-23T09:50:00.0000000Z</dcterms:modified>
  <dc:description>------------------------</dc:description>
  <dc:subject/>
  <keywords/>
  <version/>
  <category/>
</coreProperties>
</file>