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385B" w:rsidR="00423184" w:rsidP="00423184" w:rsidRDefault="00891C63" w14:paraId="0CCCC955" w14:textId="6D6C1E22">
      <w:pPr>
        <w:ind w:left="1416" w:hanging="1416"/>
        <w:rPr>
          <w:rFonts w:ascii="Calibri" w:hAnsi="Calibri" w:cs="Calibri"/>
        </w:rPr>
      </w:pPr>
      <w:r w:rsidRPr="0006385B">
        <w:rPr>
          <w:rFonts w:ascii="Calibri" w:hAnsi="Calibri" w:cs="Calibri"/>
        </w:rPr>
        <w:t>36800</w:t>
      </w:r>
      <w:r w:rsidRPr="0006385B" w:rsidR="00423184">
        <w:rPr>
          <w:rFonts w:ascii="Calibri" w:hAnsi="Calibri" w:cs="Calibri"/>
        </w:rPr>
        <w:t xml:space="preserve"> </w:t>
      </w:r>
      <w:r w:rsidRPr="0006385B">
        <w:rPr>
          <w:rFonts w:ascii="Calibri" w:hAnsi="Calibri" w:cs="Calibri"/>
        </w:rPr>
        <w:t>XXII</w:t>
      </w:r>
      <w:r w:rsidRPr="0006385B" w:rsidR="00423184">
        <w:rPr>
          <w:rFonts w:ascii="Calibri" w:hAnsi="Calibri" w:cs="Calibri"/>
        </w:rPr>
        <w:tab/>
        <w:t>Vaststelling van de begrotingsstaten van het Ministerie van Volkshuisvesting en Ruimtelijke Ordening (XXII) voor het jaar 2026</w:t>
      </w:r>
    </w:p>
    <w:p w:rsidRPr="0006385B" w:rsidR="00891C63" w:rsidP="00891C63" w:rsidRDefault="00423184" w14:paraId="3FEB4AAB" w14:textId="1A207EF3">
      <w:pPr>
        <w:rPr>
          <w:rFonts w:ascii="Calibri" w:hAnsi="Calibri" w:cs="Calibri"/>
        </w:rPr>
      </w:pPr>
      <w:r w:rsidRPr="0006385B">
        <w:rPr>
          <w:rFonts w:ascii="Calibri" w:hAnsi="Calibri" w:cs="Calibri"/>
        </w:rPr>
        <w:t xml:space="preserve">Nr. 5 </w:t>
      </w:r>
      <w:r w:rsidRPr="0006385B">
        <w:rPr>
          <w:rFonts w:ascii="Calibri" w:hAnsi="Calibri" w:cs="Calibri"/>
        </w:rPr>
        <w:tab/>
      </w:r>
      <w:r w:rsidRPr="0006385B">
        <w:rPr>
          <w:rFonts w:ascii="Calibri" w:hAnsi="Calibri" w:cs="Calibri"/>
        </w:rPr>
        <w:tab/>
        <w:t>Brief van de Algemene Rekenkamer</w:t>
      </w:r>
    </w:p>
    <w:p w:rsidRPr="0006385B" w:rsidR="00423184" w:rsidP="00891C63" w:rsidRDefault="00423184" w14:paraId="4C870A5E" w14:textId="090CA425">
      <w:pPr>
        <w:rPr>
          <w:rFonts w:ascii="Calibri" w:hAnsi="Calibri" w:cs="Calibri"/>
        </w:rPr>
      </w:pPr>
      <w:r w:rsidRPr="0006385B">
        <w:rPr>
          <w:rFonts w:ascii="Calibri" w:hAnsi="Calibri" w:cs="Calibri"/>
        </w:rPr>
        <w:t>Aan de Voorzitter van de Tweede Kamer der Staten-Generaal</w:t>
      </w:r>
    </w:p>
    <w:p w:rsidRPr="0006385B" w:rsidR="00423184" w:rsidP="00891C63" w:rsidRDefault="00423184" w14:paraId="70E0203B" w14:textId="27AFC1C1">
      <w:pPr>
        <w:rPr>
          <w:rFonts w:ascii="Calibri" w:hAnsi="Calibri" w:cs="Calibri"/>
        </w:rPr>
      </w:pPr>
      <w:r w:rsidRPr="0006385B">
        <w:rPr>
          <w:rFonts w:ascii="Calibri" w:hAnsi="Calibri" w:cs="Calibri"/>
        </w:rPr>
        <w:t>Den Haag, 23 september 2025</w:t>
      </w:r>
    </w:p>
    <w:p w:rsidRPr="0006385B" w:rsidR="00891C63" w:rsidP="00891C63" w:rsidRDefault="00891C63" w14:paraId="4A3E7581" w14:textId="77777777">
      <w:pPr>
        <w:rPr>
          <w:rFonts w:ascii="Calibri" w:hAnsi="Calibri" w:cs="Calibri"/>
        </w:rPr>
      </w:pPr>
    </w:p>
    <w:p w:rsidRPr="0006385B" w:rsidR="00891C63" w:rsidP="00891C63" w:rsidRDefault="00891C63" w14:paraId="0E591498" w14:textId="409C60E8">
      <w:pPr>
        <w:rPr>
          <w:rFonts w:ascii="Calibri" w:hAnsi="Calibri" w:cs="Calibri"/>
        </w:rPr>
      </w:pPr>
      <w:r w:rsidRPr="0006385B">
        <w:rPr>
          <w:rFonts w:ascii="Calibri" w:hAnsi="Calibri" w:cs="Calibri"/>
        </w:rPr>
        <w:t>Het budgetrecht is één van de belangrijkste parlementaire rechten. Het begint met het vooraf goedkeuren van begrotingswetsvoorstellen door het parlement.</w:t>
      </w:r>
    </w:p>
    <w:p w:rsidRPr="0006385B" w:rsidR="00891C63" w:rsidP="00891C63" w:rsidRDefault="00891C63" w14:paraId="0A77C48B" w14:textId="77777777">
      <w:pPr>
        <w:rPr>
          <w:rFonts w:ascii="Calibri" w:hAnsi="Calibri" w:cs="Calibri"/>
        </w:rPr>
      </w:pPr>
      <w:r w:rsidRPr="0006385B">
        <w:rPr>
          <w:rFonts w:ascii="Calibri" w:hAnsi="Calibri" w:cs="Calibri"/>
        </w:rPr>
        <w:t xml:space="preserve">Ieder jaar stuurt de Algemene Rekenkamer de Tweede Kamer daarom aandachtspunten bij de ontwerpbegrotingen van de ministeries ten behoeve van de begrotingsbehandeling. </w:t>
      </w:r>
    </w:p>
    <w:p w:rsidRPr="0006385B" w:rsidR="00891C63" w:rsidP="00891C63" w:rsidRDefault="00891C63" w14:paraId="2FBBBA40" w14:textId="77777777">
      <w:pPr>
        <w:rPr>
          <w:rFonts w:ascii="Calibri" w:hAnsi="Calibri" w:cs="Calibri"/>
        </w:rPr>
      </w:pPr>
      <w:r w:rsidRPr="0006385B">
        <w:rPr>
          <w:rFonts w:ascii="Calibri" w:hAnsi="Calibri" w:cs="Calibri"/>
        </w:rPr>
        <w:t>Deze brief gaat in op de ontwerpbegroting 2026 (begrotingshoofdstuk XXII) van het ministerie van Volkshuisvesting en Ruimtelijke Ordening.</w:t>
      </w:r>
    </w:p>
    <w:p w:rsidRPr="0006385B" w:rsidR="00891C63" w:rsidP="00891C63" w:rsidRDefault="00891C63" w14:paraId="4FE4F41A" w14:textId="77777777">
      <w:pPr>
        <w:rPr>
          <w:rFonts w:ascii="Calibri" w:hAnsi="Calibri" w:cs="Calibri"/>
        </w:rPr>
      </w:pPr>
      <w:r w:rsidRPr="0006385B">
        <w:rPr>
          <w:rFonts w:ascii="Calibri" w:hAnsi="Calibri" w:cs="Calibri"/>
        </w:rPr>
        <w:t>De onderwerpen in deze begrotingsbrief zijn:</w:t>
      </w:r>
    </w:p>
    <w:p w:rsidRPr="0006385B" w:rsidR="00891C63" w:rsidP="00891C63" w:rsidRDefault="00891C63" w14:paraId="1D7574E5" w14:textId="77777777">
      <w:pPr>
        <w:pStyle w:val="Lijstalinea"/>
        <w:numPr>
          <w:ilvl w:val="0"/>
          <w:numId w:val="1"/>
        </w:numPr>
        <w:autoSpaceDN w:val="0"/>
        <w:spacing w:after="0" w:line="320" w:lineRule="exact"/>
        <w:textAlignment w:val="baseline"/>
        <w:rPr>
          <w:rFonts w:ascii="Calibri" w:hAnsi="Calibri" w:cs="Calibri"/>
        </w:rPr>
      </w:pPr>
      <w:r w:rsidRPr="0006385B">
        <w:rPr>
          <w:rFonts w:ascii="Calibri" w:hAnsi="Calibri" w:cs="Calibri"/>
        </w:rPr>
        <w:t>Geld</w:t>
      </w:r>
    </w:p>
    <w:p w:rsidRPr="0006385B" w:rsidR="00891C63" w:rsidP="00891C63" w:rsidRDefault="00891C63" w14:paraId="3E123ACD" w14:textId="77777777">
      <w:pPr>
        <w:pStyle w:val="Lijstalinea"/>
        <w:numPr>
          <w:ilvl w:val="0"/>
          <w:numId w:val="1"/>
        </w:numPr>
        <w:autoSpaceDN w:val="0"/>
        <w:spacing w:after="0" w:line="320" w:lineRule="exact"/>
        <w:textAlignment w:val="baseline"/>
        <w:rPr>
          <w:rFonts w:ascii="Calibri" w:hAnsi="Calibri" w:cs="Calibri"/>
        </w:rPr>
      </w:pPr>
      <w:r w:rsidRPr="0006385B">
        <w:rPr>
          <w:rFonts w:ascii="Calibri" w:hAnsi="Calibri" w:cs="Calibri"/>
        </w:rPr>
        <w:t>Sturen op resultaten</w:t>
      </w:r>
    </w:p>
    <w:p w:rsidRPr="0006385B" w:rsidR="00891C63" w:rsidP="00891C63" w:rsidRDefault="00891C63" w14:paraId="5C669A7F" w14:textId="77777777">
      <w:pPr>
        <w:pStyle w:val="Lijstalinea"/>
        <w:numPr>
          <w:ilvl w:val="0"/>
          <w:numId w:val="1"/>
        </w:numPr>
        <w:autoSpaceDN w:val="0"/>
        <w:spacing w:after="0" w:line="320" w:lineRule="exact"/>
        <w:textAlignment w:val="baseline"/>
        <w:rPr>
          <w:rFonts w:ascii="Calibri" w:hAnsi="Calibri" w:cs="Calibri"/>
        </w:rPr>
      </w:pPr>
      <w:r w:rsidRPr="0006385B">
        <w:rPr>
          <w:rFonts w:ascii="Calibri" w:hAnsi="Calibri" w:cs="Calibri"/>
        </w:rPr>
        <w:t>Risico’s en beheer</w:t>
      </w:r>
    </w:p>
    <w:p w:rsidRPr="0006385B" w:rsidR="00891C63" w:rsidP="00891C63" w:rsidRDefault="00891C63" w14:paraId="6741D3AD" w14:textId="77777777">
      <w:pPr>
        <w:rPr>
          <w:rFonts w:ascii="Calibri" w:hAnsi="Calibri" w:cs="Calibri"/>
          <w:highlight w:val="yellow"/>
        </w:rPr>
      </w:pPr>
    </w:p>
    <w:p w:rsidRPr="0006385B" w:rsidR="00891C63" w:rsidP="00891C63" w:rsidRDefault="00891C63" w14:paraId="63627002" w14:textId="77777777">
      <w:pPr>
        <w:rPr>
          <w:rFonts w:ascii="Calibri" w:hAnsi="Calibri" w:cs="Calibri"/>
          <w:highlight w:val="yellow"/>
        </w:rPr>
      </w:pPr>
      <w:r w:rsidRPr="0006385B">
        <w:rPr>
          <w:rFonts w:ascii="Calibri" w:hAnsi="Calibri" w:cs="Calibri"/>
        </w:rPr>
        <w:t>Wij verwachten dat de minister de Kamer op inzichtelijke wijze informeert over deze onderwerpen.</w:t>
      </w:r>
      <w:r w:rsidRPr="0006385B">
        <w:rPr>
          <w:rFonts w:ascii="Calibri" w:hAnsi="Calibri" w:cs="Calibri"/>
          <w:highlight w:val="yellow"/>
        </w:rPr>
        <w:t xml:space="preserve"> </w:t>
      </w:r>
    </w:p>
    <w:p w:rsidRPr="0006385B" w:rsidR="00891C63" w:rsidP="00891C63" w:rsidRDefault="00891C63" w14:paraId="29EE6EAC" w14:textId="77777777">
      <w:pPr>
        <w:pStyle w:val="Kop1"/>
        <w:numPr>
          <w:ilvl w:val="0"/>
          <w:numId w:val="2"/>
        </w:numPr>
        <w:ind w:left="720"/>
        <w:rPr>
          <w:rFonts w:ascii="Calibri" w:hAnsi="Calibri" w:cs="Calibri"/>
          <w:sz w:val="22"/>
          <w:szCs w:val="22"/>
        </w:rPr>
      </w:pPr>
      <w:r w:rsidRPr="0006385B">
        <w:rPr>
          <w:rFonts w:ascii="Calibri" w:hAnsi="Calibri" w:cs="Calibri"/>
          <w:sz w:val="22"/>
          <w:szCs w:val="22"/>
        </w:rPr>
        <w:t>Geld</w:t>
      </w:r>
    </w:p>
    <w:p w:rsidRPr="0006385B" w:rsidR="00891C63" w:rsidP="00891C63" w:rsidRDefault="00891C63" w14:paraId="3B189653" w14:textId="77777777">
      <w:pPr>
        <w:rPr>
          <w:rFonts w:ascii="Calibri" w:hAnsi="Calibri" w:cs="Calibri"/>
        </w:rPr>
      </w:pPr>
      <w:r w:rsidRPr="0006385B">
        <w:rPr>
          <w:rFonts w:ascii="Calibri" w:hAnsi="Calibri" w:cs="Calibri"/>
        </w:rPr>
        <w:t xml:space="preserve">De ontwerpbegrotingen moeten de Kamer inzicht bieden in de beleidsvoornemens van het kabinet en de daarmee gemoeide uitgaven en ontvangsten. </w:t>
      </w:r>
    </w:p>
    <w:p w:rsidRPr="0006385B" w:rsidR="00891C63" w:rsidP="00891C63" w:rsidRDefault="00891C63" w14:paraId="2A0ADB0B" w14:textId="77777777">
      <w:pPr>
        <w:rPr>
          <w:rFonts w:ascii="Calibri" w:hAnsi="Calibri" w:cs="Calibri"/>
        </w:rPr>
      </w:pPr>
      <w:r w:rsidRPr="0006385B">
        <w:rPr>
          <w:rFonts w:ascii="Calibri" w:hAnsi="Calibri" w:cs="Calibri"/>
        </w:rPr>
        <w:t>De begrote uitgaven voor 2026 zijn € 9,4 miljard. In de begroting 2025 was de stand € 9,3 miljard. Het verschil bedraagt dus € 0,1 miljard. Hieronder lichten we een aantal grote mutaties uit en geven beknopt aan welke toelichting de minister daarbij geeft in zijn begroting.</w:t>
      </w:r>
    </w:p>
    <w:p w:rsidRPr="0006385B" w:rsidR="00423184" w:rsidRDefault="00423184" w14:paraId="7D820338" w14:textId="1B826B15">
      <w:pPr>
        <w:rPr>
          <w:rFonts w:ascii="Calibri" w:hAnsi="Calibri" w:cs="Calibri"/>
        </w:rPr>
      </w:pPr>
      <w:r w:rsidRPr="0006385B">
        <w:rPr>
          <w:rFonts w:ascii="Calibri" w:hAnsi="Calibri" w:cs="Calibri"/>
        </w:rPr>
        <w:br w:type="page"/>
      </w:r>
    </w:p>
    <w:p w:rsidRPr="0006385B" w:rsidR="00891C63" w:rsidP="00891C63" w:rsidRDefault="00891C63" w14:paraId="7FC26D75" w14:textId="77777777">
      <w:pPr>
        <w:rPr>
          <w:rFonts w:ascii="Calibri" w:hAnsi="Calibri" w:cs="Calibri"/>
          <w:b/>
        </w:rPr>
      </w:pPr>
      <w:r w:rsidRPr="0006385B">
        <w:rPr>
          <w:rFonts w:ascii="Calibri" w:hAnsi="Calibri" w:cs="Calibri"/>
          <w:b/>
        </w:rPr>
        <w:lastRenderedPageBreak/>
        <w:t>Tabel 1: Grote mutaties ontwerpbegroting 2026 ten opzichte van begroting 2025</w:t>
      </w:r>
    </w:p>
    <w:tbl>
      <w:tblPr>
        <w:tblStyle w:val="Tabelraster"/>
        <w:tblpPr w:leftFromText="141" w:rightFromText="141" w:vertAnchor="text" w:horzAnchor="margin" w:tblpY="228"/>
        <w:tblW w:w="7933" w:type="dxa"/>
        <w:tblLayout w:type="fixed"/>
        <w:tblLook w:val="04A0" w:firstRow="1" w:lastRow="0" w:firstColumn="1" w:lastColumn="0" w:noHBand="0" w:noVBand="1"/>
      </w:tblPr>
      <w:tblGrid>
        <w:gridCol w:w="704"/>
        <w:gridCol w:w="2126"/>
        <w:gridCol w:w="993"/>
        <w:gridCol w:w="1275"/>
        <w:gridCol w:w="2835"/>
      </w:tblGrid>
      <w:tr w:rsidRPr="0006385B" w:rsidR="00891C63" w:rsidTr="0014749A" w14:paraId="2EFC8969" w14:textId="77777777">
        <w:tc>
          <w:tcPr>
            <w:tcW w:w="704" w:type="dxa"/>
          </w:tcPr>
          <w:p w:rsidRPr="0006385B" w:rsidR="00891C63" w:rsidP="0014749A" w:rsidRDefault="00891C63" w14:paraId="60EE13EB" w14:textId="77777777">
            <w:pPr>
              <w:rPr>
                <w:rFonts w:ascii="Calibri" w:hAnsi="Calibri" w:cs="Calibri"/>
                <w:b/>
                <w:sz w:val="22"/>
                <w:szCs w:val="22"/>
              </w:rPr>
            </w:pPr>
            <w:r w:rsidRPr="0006385B">
              <w:rPr>
                <w:rFonts w:ascii="Calibri" w:hAnsi="Calibri" w:cs="Calibri"/>
                <w:b/>
                <w:sz w:val="22"/>
                <w:szCs w:val="22"/>
              </w:rPr>
              <w:t>Artikel</w:t>
            </w:r>
          </w:p>
        </w:tc>
        <w:tc>
          <w:tcPr>
            <w:tcW w:w="2126" w:type="dxa"/>
          </w:tcPr>
          <w:p w:rsidRPr="0006385B" w:rsidR="00891C63" w:rsidP="0014749A" w:rsidRDefault="00891C63" w14:paraId="287F064C" w14:textId="77777777">
            <w:pPr>
              <w:rPr>
                <w:rFonts w:ascii="Calibri" w:hAnsi="Calibri" w:cs="Calibri"/>
                <w:b/>
                <w:sz w:val="22"/>
                <w:szCs w:val="22"/>
              </w:rPr>
            </w:pPr>
            <w:r w:rsidRPr="0006385B">
              <w:rPr>
                <w:rFonts w:ascii="Calibri" w:hAnsi="Calibri" w:cs="Calibri"/>
                <w:b/>
                <w:sz w:val="22"/>
                <w:szCs w:val="22"/>
              </w:rPr>
              <w:t>Maatregel</w:t>
            </w:r>
          </w:p>
        </w:tc>
        <w:tc>
          <w:tcPr>
            <w:tcW w:w="993" w:type="dxa"/>
          </w:tcPr>
          <w:p w:rsidRPr="0006385B" w:rsidR="00891C63" w:rsidP="0014749A" w:rsidRDefault="00891C63" w14:paraId="2C2168FA" w14:textId="77777777">
            <w:pPr>
              <w:rPr>
                <w:rFonts w:ascii="Calibri" w:hAnsi="Calibri" w:cs="Calibri"/>
                <w:b/>
                <w:sz w:val="22"/>
                <w:szCs w:val="22"/>
              </w:rPr>
            </w:pPr>
            <w:r w:rsidRPr="0006385B">
              <w:rPr>
                <w:rFonts w:ascii="Calibri" w:hAnsi="Calibri" w:cs="Calibri"/>
                <w:b/>
                <w:sz w:val="22"/>
                <w:szCs w:val="22"/>
              </w:rPr>
              <w:t xml:space="preserve">Mutatie </w:t>
            </w:r>
          </w:p>
          <w:p w:rsidRPr="0006385B" w:rsidR="00891C63" w:rsidP="0014749A" w:rsidRDefault="00891C63" w14:paraId="18C510B8" w14:textId="77777777">
            <w:pPr>
              <w:rPr>
                <w:rFonts w:ascii="Calibri" w:hAnsi="Calibri" w:cs="Calibri"/>
                <w:b/>
                <w:sz w:val="22"/>
                <w:szCs w:val="22"/>
              </w:rPr>
            </w:pPr>
            <w:r w:rsidRPr="0006385B">
              <w:rPr>
                <w:rFonts w:ascii="Calibri" w:hAnsi="Calibri" w:cs="Calibri"/>
                <w:b/>
                <w:sz w:val="22"/>
                <w:szCs w:val="22"/>
              </w:rPr>
              <w:t>(x miljoen euro)</w:t>
            </w:r>
          </w:p>
        </w:tc>
        <w:tc>
          <w:tcPr>
            <w:tcW w:w="1275" w:type="dxa"/>
          </w:tcPr>
          <w:p w:rsidRPr="0006385B" w:rsidR="00891C63" w:rsidP="0014749A" w:rsidRDefault="00891C63" w14:paraId="5B1F2AC6" w14:textId="77777777">
            <w:pPr>
              <w:rPr>
                <w:rFonts w:ascii="Calibri" w:hAnsi="Calibri" w:cs="Calibri"/>
                <w:b/>
                <w:sz w:val="22"/>
                <w:szCs w:val="22"/>
              </w:rPr>
            </w:pPr>
            <w:r w:rsidRPr="0006385B">
              <w:rPr>
                <w:rFonts w:ascii="Calibri" w:hAnsi="Calibri" w:cs="Calibri"/>
                <w:b/>
                <w:sz w:val="22"/>
                <w:szCs w:val="22"/>
              </w:rPr>
              <w:t>% mutatie t.o.v. beleidsartikel</w:t>
            </w:r>
          </w:p>
        </w:tc>
        <w:tc>
          <w:tcPr>
            <w:tcW w:w="2835" w:type="dxa"/>
          </w:tcPr>
          <w:p w:rsidRPr="0006385B" w:rsidR="00891C63" w:rsidP="0014749A" w:rsidRDefault="00891C63" w14:paraId="55B8D627" w14:textId="77777777">
            <w:pPr>
              <w:rPr>
                <w:rFonts w:ascii="Calibri" w:hAnsi="Calibri" w:cs="Calibri"/>
                <w:b/>
                <w:sz w:val="22"/>
                <w:szCs w:val="22"/>
              </w:rPr>
            </w:pPr>
            <w:r w:rsidRPr="0006385B">
              <w:rPr>
                <w:rFonts w:ascii="Calibri" w:hAnsi="Calibri" w:cs="Calibri"/>
                <w:b/>
                <w:sz w:val="22"/>
                <w:szCs w:val="22"/>
              </w:rPr>
              <w:t>Toelichting op mutatie door minister</w:t>
            </w:r>
          </w:p>
        </w:tc>
      </w:tr>
      <w:tr w:rsidRPr="0006385B" w:rsidR="00891C63" w:rsidTr="0014749A" w14:paraId="23000CCE" w14:textId="77777777">
        <w:tc>
          <w:tcPr>
            <w:tcW w:w="704" w:type="dxa"/>
          </w:tcPr>
          <w:p w:rsidRPr="0006385B" w:rsidR="00891C63" w:rsidP="0014749A" w:rsidRDefault="00891C63" w14:paraId="2930428F" w14:textId="77777777">
            <w:pPr>
              <w:rPr>
                <w:rFonts w:ascii="Calibri" w:hAnsi="Calibri" w:cs="Calibri"/>
                <w:sz w:val="22"/>
                <w:szCs w:val="22"/>
              </w:rPr>
            </w:pPr>
            <w:r w:rsidRPr="0006385B">
              <w:rPr>
                <w:rFonts w:ascii="Calibri" w:hAnsi="Calibri" w:cs="Calibri"/>
                <w:sz w:val="22"/>
                <w:szCs w:val="22"/>
              </w:rPr>
              <w:t>2</w:t>
            </w:r>
          </w:p>
        </w:tc>
        <w:tc>
          <w:tcPr>
            <w:tcW w:w="2126" w:type="dxa"/>
          </w:tcPr>
          <w:p w:rsidRPr="0006385B" w:rsidR="00891C63" w:rsidP="0014749A" w:rsidRDefault="00891C63" w14:paraId="3B763161" w14:textId="77777777">
            <w:pPr>
              <w:rPr>
                <w:rFonts w:ascii="Calibri" w:hAnsi="Calibri" w:cs="Calibri"/>
                <w:sz w:val="22"/>
                <w:szCs w:val="22"/>
              </w:rPr>
            </w:pPr>
            <w:r w:rsidRPr="0006385B">
              <w:rPr>
                <w:rFonts w:ascii="Calibri" w:hAnsi="Calibri" w:cs="Calibri"/>
                <w:sz w:val="22"/>
                <w:szCs w:val="22"/>
              </w:rPr>
              <w:t xml:space="preserve">Verduurzamingsaanpak Nij </w:t>
            </w:r>
            <w:proofErr w:type="spellStart"/>
            <w:r w:rsidRPr="0006385B">
              <w:rPr>
                <w:rFonts w:ascii="Calibri" w:hAnsi="Calibri" w:cs="Calibri"/>
                <w:sz w:val="22"/>
                <w:szCs w:val="22"/>
              </w:rPr>
              <w:t>Begun</w:t>
            </w:r>
            <w:proofErr w:type="spellEnd"/>
            <w:r w:rsidRPr="0006385B">
              <w:rPr>
                <w:rFonts w:ascii="Calibri" w:hAnsi="Calibri" w:cs="Calibri"/>
                <w:sz w:val="22"/>
                <w:szCs w:val="22"/>
              </w:rPr>
              <w:t xml:space="preserve"> maatregel 29</w:t>
            </w:r>
          </w:p>
        </w:tc>
        <w:tc>
          <w:tcPr>
            <w:tcW w:w="993" w:type="dxa"/>
          </w:tcPr>
          <w:p w:rsidRPr="0006385B" w:rsidR="00891C63" w:rsidP="0014749A" w:rsidRDefault="00891C63" w14:paraId="40513061" w14:textId="77777777">
            <w:pPr>
              <w:rPr>
                <w:rFonts w:ascii="Calibri" w:hAnsi="Calibri" w:cs="Calibri"/>
                <w:sz w:val="22"/>
                <w:szCs w:val="22"/>
              </w:rPr>
            </w:pPr>
            <w:r w:rsidRPr="0006385B">
              <w:rPr>
                <w:rFonts w:ascii="Calibri" w:hAnsi="Calibri" w:cs="Calibri"/>
                <w:sz w:val="22"/>
                <w:szCs w:val="22"/>
              </w:rPr>
              <w:t>185</w:t>
            </w:r>
          </w:p>
        </w:tc>
        <w:tc>
          <w:tcPr>
            <w:tcW w:w="1275" w:type="dxa"/>
          </w:tcPr>
          <w:p w:rsidRPr="0006385B" w:rsidR="00891C63" w:rsidP="0014749A" w:rsidRDefault="00891C63" w14:paraId="05B9C06D" w14:textId="77777777">
            <w:pPr>
              <w:rPr>
                <w:rFonts w:ascii="Calibri" w:hAnsi="Calibri" w:cs="Calibri"/>
                <w:sz w:val="22"/>
                <w:szCs w:val="22"/>
              </w:rPr>
            </w:pPr>
            <w:r w:rsidRPr="0006385B">
              <w:rPr>
                <w:rFonts w:ascii="Calibri" w:hAnsi="Calibri" w:cs="Calibri"/>
                <w:sz w:val="22"/>
                <w:szCs w:val="22"/>
              </w:rPr>
              <w:t>21,9%</w:t>
            </w:r>
          </w:p>
        </w:tc>
        <w:tc>
          <w:tcPr>
            <w:tcW w:w="2835" w:type="dxa"/>
          </w:tcPr>
          <w:p w:rsidRPr="0006385B" w:rsidR="00891C63" w:rsidP="0014749A" w:rsidRDefault="00891C63" w14:paraId="4217B824" w14:textId="77777777">
            <w:pPr>
              <w:rPr>
                <w:rFonts w:ascii="Calibri" w:hAnsi="Calibri" w:cs="Calibri"/>
                <w:sz w:val="22"/>
                <w:szCs w:val="22"/>
              </w:rPr>
            </w:pPr>
            <w:r w:rsidRPr="0006385B">
              <w:rPr>
                <w:rFonts w:ascii="Calibri" w:hAnsi="Calibri" w:cs="Calibri"/>
                <w:sz w:val="22"/>
                <w:szCs w:val="22"/>
              </w:rPr>
              <w:t>Overboeking van de Aanvullende Post voor isoleren van woningen in de provincie Groningen en de gemeenten in Noord-Drenthe.</w:t>
            </w:r>
          </w:p>
        </w:tc>
      </w:tr>
      <w:tr w:rsidRPr="0006385B" w:rsidR="00891C63" w:rsidTr="0014749A" w14:paraId="5BE04A3B" w14:textId="77777777">
        <w:tc>
          <w:tcPr>
            <w:tcW w:w="704" w:type="dxa"/>
          </w:tcPr>
          <w:p w:rsidRPr="0006385B" w:rsidR="00891C63" w:rsidP="0014749A" w:rsidRDefault="00891C63" w14:paraId="53F7F880" w14:textId="77777777">
            <w:pPr>
              <w:rPr>
                <w:rFonts w:ascii="Calibri" w:hAnsi="Calibri" w:cs="Calibri"/>
                <w:sz w:val="22"/>
                <w:szCs w:val="22"/>
              </w:rPr>
            </w:pPr>
            <w:r w:rsidRPr="0006385B">
              <w:rPr>
                <w:rFonts w:ascii="Calibri" w:hAnsi="Calibri" w:cs="Calibri"/>
                <w:sz w:val="22"/>
                <w:szCs w:val="22"/>
              </w:rPr>
              <w:t>1</w:t>
            </w:r>
          </w:p>
        </w:tc>
        <w:tc>
          <w:tcPr>
            <w:tcW w:w="2126" w:type="dxa"/>
          </w:tcPr>
          <w:p w:rsidRPr="0006385B" w:rsidR="00891C63" w:rsidP="0014749A" w:rsidRDefault="00891C63" w14:paraId="6B053325" w14:textId="77777777">
            <w:pPr>
              <w:rPr>
                <w:rFonts w:ascii="Calibri" w:hAnsi="Calibri" w:cs="Calibri"/>
                <w:sz w:val="22"/>
                <w:szCs w:val="22"/>
              </w:rPr>
            </w:pPr>
            <w:r w:rsidRPr="0006385B">
              <w:rPr>
                <w:rFonts w:ascii="Calibri" w:hAnsi="Calibri" w:cs="Calibri"/>
                <w:sz w:val="22"/>
                <w:szCs w:val="22"/>
              </w:rPr>
              <w:t>Nationaal Programma Leefbaarheid en Veiligheid</w:t>
            </w:r>
          </w:p>
        </w:tc>
        <w:tc>
          <w:tcPr>
            <w:tcW w:w="993" w:type="dxa"/>
          </w:tcPr>
          <w:p w:rsidRPr="0006385B" w:rsidR="00891C63" w:rsidP="0014749A" w:rsidRDefault="00891C63" w14:paraId="4187FAD1" w14:textId="77777777">
            <w:pPr>
              <w:rPr>
                <w:rFonts w:ascii="Calibri" w:hAnsi="Calibri" w:cs="Calibri"/>
                <w:sz w:val="22"/>
                <w:szCs w:val="22"/>
              </w:rPr>
            </w:pPr>
            <w:r w:rsidRPr="0006385B">
              <w:rPr>
                <w:rFonts w:ascii="Calibri" w:hAnsi="Calibri" w:cs="Calibri"/>
                <w:sz w:val="22"/>
                <w:szCs w:val="22"/>
              </w:rPr>
              <w:t>108</w:t>
            </w:r>
          </w:p>
        </w:tc>
        <w:tc>
          <w:tcPr>
            <w:tcW w:w="1275" w:type="dxa"/>
          </w:tcPr>
          <w:p w:rsidRPr="0006385B" w:rsidR="00891C63" w:rsidP="0014749A" w:rsidRDefault="00891C63" w14:paraId="18ADFED1" w14:textId="77777777">
            <w:pPr>
              <w:rPr>
                <w:rFonts w:ascii="Calibri" w:hAnsi="Calibri" w:cs="Calibri"/>
                <w:sz w:val="22"/>
                <w:szCs w:val="22"/>
              </w:rPr>
            </w:pPr>
            <w:r w:rsidRPr="0006385B">
              <w:rPr>
                <w:rFonts w:ascii="Calibri" w:hAnsi="Calibri" w:cs="Calibri"/>
                <w:sz w:val="22"/>
                <w:szCs w:val="22"/>
              </w:rPr>
              <w:t>1,4%</w:t>
            </w:r>
          </w:p>
        </w:tc>
        <w:tc>
          <w:tcPr>
            <w:tcW w:w="2835" w:type="dxa"/>
          </w:tcPr>
          <w:p w:rsidRPr="0006385B" w:rsidR="00891C63" w:rsidP="0014749A" w:rsidRDefault="00891C63" w14:paraId="66155810" w14:textId="77777777">
            <w:pPr>
              <w:rPr>
                <w:rFonts w:ascii="Calibri" w:hAnsi="Calibri" w:cs="Calibri"/>
                <w:sz w:val="22"/>
                <w:szCs w:val="22"/>
              </w:rPr>
            </w:pPr>
            <w:r w:rsidRPr="0006385B">
              <w:rPr>
                <w:rFonts w:ascii="Calibri" w:hAnsi="Calibri" w:cs="Calibri"/>
                <w:sz w:val="22"/>
                <w:szCs w:val="22"/>
              </w:rPr>
              <w:t>De SPUK Kansrijke Wijk wordt doorgezet in de jaren 2026-2028. Daarnaast is er voor 2026-2030 € 10 mln. per jaar toegevoegd aan deze SPUK voor de programmabureaus van de focusgebieden.</w:t>
            </w:r>
          </w:p>
        </w:tc>
      </w:tr>
      <w:tr w:rsidRPr="0006385B" w:rsidR="00891C63" w:rsidTr="0014749A" w14:paraId="0BCD4DDD" w14:textId="77777777">
        <w:tc>
          <w:tcPr>
            <w:tcW w:w="704" w:type="dxa"/>
          </w:tcPr>
          <w:p w:rsidRPr="0006385B" w:rsidR="00891C63" w:rsidP="0014749A" w:rsidRDefault="00891C63" w14:paraId="468CB344" w14:textId="77777777">
            <w:pPr>
              <w:rPr>
                <w:rFonts w:ascii="Calibri" w:hAnsi="Calibri" w:cs="Calibri"/>
                <w:sz w:val="22"/>
                <w:szCs w:val="22"/>
              </w:rPr>
            </w:pPr>
            <w:r w:rsidRPr="0006385B">
              <w:rPr>
                <w:rFonts w:ascii="Calibri" w:hAnsi="Calibri" w:cs="Calibri"/>
                <w:sz w:val="22"/>
                <w:szCs w:val="22"/>
              </w:rPr>
              <w:t>Alle</w:t>
            </w:r>
          </w:p>
        </w:tc>
        <w:tc>
          <w:tcPr>
            <w:tcW w:w="2126" w:type="dxa"/>
          </w:tcPr>
          <w:p w:rsidRPr="0006385B" w:rsidR="00891C63" w:rsidP="0014749A" w:rsidRDefault="00891C63" w14:paraId="1EC61EE2" w14:textId="77777777">
            <w:pPr>
              <w:rPr>
                <w:rFonts w:ascii="Calibri" w:hAnsi="Calibri" w:cs="Calibri"/>
                <w:sz w:val="22"/>
                <w:szCs w:val="22"/>
              </w:rPr>
            </w:pPr>
            <w:r w:rsidRPr="0006385B">
              <w:rPr>
                <w:rFonts w:ascii="Calibri" w:hAnsi="Calibri" w:cs="Calibri"/>
                <w:sz w:val="22"/>
                <w:szCs w:val="22"/>
              </w:rPr>
              <w:t>Dekking bestendiging VRO</w:t>
            </w:r>
          </w:p>
        </w:tc>
        <w:tc>
          <w:tcPr>
            <w:tcW w:w="993" w:type="dxa"/>
          </w:tcPr>
          <w:p w:rsidRPr="0006385B" w:rsidR="00891C63" w:rsidP="0014749A" w:rsidRDefault="00891C63" w14:paraId="319B7C26" w14:textId="77777777">
            <w:pPr>
              <w:rPr>
                <w:rFonts w:ascii="Calibri" w:hAnsi="Calibri" w:cs="Calibri"/>
                <w:sz w:val="22"/>
                <w:szCs w:val="22"/>
              </w:rPr>
            </w:pPr>
            <w:r w:rsidRPr="0006385B">
              <w:rPr>
                <w:rFonts w:ascii="Calibri" w:hAnsi="Calibri" w:cs="Calibri"/>
                <w:sz w:val="22"/>
                <w:szCs w:val="22"/>
              </w:rPr>
              <w:t>-35</w:t>
            </w:r>
          </w:p>
        </w:tc>
        <w:tc>
          <w:tcPr>
            <w:tcW w:w="1275" w:type="dxa"/>
          </w:tcPr>
          <w:p w:rsidRPr="0006385B" w:rsidR="00891C63" w:rsidP="0014749A" w:rsidRDefault="00891C63" w14:paraId="34F6928D" w14:textId="77777777">
            <w:pPr>
              <w:rPr>
                <w:rFonts w:ascii="Calibri" w:hAnsi="Calibri" w:cs="Calibri"/>
                <w:sz w:val="22"/>
                <w:szCs w:val="22"/>
              </w:rPr>
            </w:pPr>
            <w:r w:rsidRPr="0006385B">
              <w:rPr>
                <w:rFonts w:ascii="Calibri" w:hAnsi="Calibri" w:cs="Calibri"/>
                <w:sz w:val="22"/>
                <w:szCs w:val="22"/>
              </w:rPr>
              <w:t>-</w:t>
            </w:r>
          </w:p>
        </w:tc>
        <w:tc>
          <w:tcPr>
            <w:tcW w:w="2835" w:type="dxa"/>
          </w:tcPr>
          <w:p w:rsidRPr="0006385B" w:rsidR="00891C63" w:rsidP="0014749A" w:rsidRDefault="00891C63" w14:paraId="7260EF68" w14:textId="77777777">
            <w:pPr>
              <w:rPr>
                <w:rFonts w:ascii="Calibri" w:hAnsi="Calibri" w:cs="Calibri"/>
                <w:sz w:val="22"/>
                <w:szCs w:val="22"/>
              </w:rPr>
            </w:pPr>
            <w:r w:rsidRPr="0006385B">
              <w:rPr>
                <w:rFonts w:ascii="Calibri" w:hAnsi="Calibri" w:cs="Calibri"/>
                <w:sz w:val="22"/>
                <w:szCs w:val="22"/>
              </w:rPr>
              <w:t>In de jaren 2026-2030 wordt incidenteel 150 miljoen euro woningbouwmiddelen ingezet, zodat het ministerie langjarig de realisatie van de woningbouwopgave kan ondersteunen.</w:t>
            </w:r>
          </w:p>
        </w:tc>
      </w:tr>
      <w:tr w:rsidRPr="0006385B" w:rsidR="00891C63" w:rsidTr="0014749A" w14:paraId="502993D9" w14:textId="77777777">
        <w:tc>
          <w:tcPr>
            <w:tcW w:w="704" w:type="dxa"/>
          </w:tcPr>
          <w:p w:rsidRPr="0006385B" w:rsidR="00891C63" w:rsidP="0014749A" w:rsidRDefault="00891C63" w14:paraId="5E30CC1C" w14:textId="77777777">
            <w:pPr>
              <w:rPr>
                <w:rFonts w:ascii="Calibri" w:hAnsi="Calibri" w:cs="Calibri"/>
                <w:sz w:val="22"/>
                <w:szCs w:val="22"/>
              </w:rPr>
            </w:pPr>
            <w:r w:rsidRPr="0006385B">
              <w:rPr>
                <w:rFonts w:ascii="Calibri" w:hAnsi="Calibri" w:cs="Calibri"/>
                <w:sz w:val="22"/>
                <w:szCs w:val="22"/>
              </w:rPr>
              <w:t>2</w:t>
            </w:r>
          </w:p>
        </w:tc>
        <w:tc>
          <w:tcPr>
            <w:tcW w:w="2126" w:type="dxa"/>
          </w:tcPr>
          <w:p w:rsidRPr="0006385B" w:rsidR="00891C63" w:rsidP="0014749A" w:rsidRDefault="00891C63" w14:paraId="11132A30" w14:textId="77777777">
            <w:pPr>
              <w:rPr>
                <w:rFonts w:ascii="Calibri" w:hAnsi="Calibri" w:cs="Calibri"/>
                <w:sz w:val="22"/>
                <w:szCs w:val="22"/>
              </w:rPr>
            </w:pPr>
            <w:r w:rsidRPr="0006385B">
              <w:rPr>
                <w:rFonts w:ascii="Calibri" w:hAnsi="Calibri" w:cs="Calibri"/>
                <w:sz w:val="22"/>
                <w:szCs w:val="22"/>
              </w:rPr>
              <w:t>ISDE Groningen maatregel 29</w:t>
            </w:r>
          </w:p>
        </w:tc>
        <w:tc>
          <w:tcPr>
            <w:tcW w:w="993" w:type="dxa"/>
          </w:tcPr>
          <w:p w:rsidRPr="0006385B" w:rsidR="00891C63" w:rsidP="0014749A" w:rsidRDefault="00891C63" w14:paraId="27462903" w14:textId="77777777">
            <w:pPr>
              <w:rPr>
                <w:rFonts w:ascii="Calibri" w:hAnsi="Calibri" w:cs="Calibri"/>
                <w:sz w:val="22"/>
                <w:szCs w:val="22"/>
              </w:rPr>
            </w:pPr>
            <w:r w:rsidRPr="0006385B">
              <w:rPr>
                <w:rFonts w:ascii="Calibri" w:hAnsi="Calibri" w:cs="Calibri"/>
                <w:sz w:val="22"/>
                <w:szCs w:val="22"/>
              </w:rPr>
              <w:t>23</w:t>
            </w:r>
          </w:p>
        </w:tc>
        <w:tc>
          <w:tcPr>
            <w:tcW w:w="1275" w:type="dxa"/>
          </w:tcPr>
          <w:p w:rsidRPr="0006385B" w:rsidR="00891C63" w:rsidP="0014749A" w:rsidRDefault="00891C63" w14:paraId="49A02D0F" w14:textId="77777777">
            <w:pPr>
              <w:rPr>
                <w:rFonts w:ascii="Calibri" w:hAnsi="Calibri" w:cs="Calibri"/>
                <w:sz w:val="22"/>
                <w:szCs w:val="22"/>
              </w:rPr>
            </w:pPr>
            <w:r w:rsidRPr="0006385B">
              <w:rPr>
                <w:rFonts w:ascii="Calibri" w:hAnsi="Calibri" w:cs="Calibri"/>
                <w:sz w:val="22"/>
                <w:szCs w:val="22"/>
              </w:rPr>
              <w:t>2,7%</w:t>
            </w:r>
          </w:p>
        </w:tc>
        <w:tc>
          <w:tcPr>
            <w:tcW w:w="2835" w:type="dxa"/>
          </w:tcPr>
          <w:p w:rsidRPr="0006385B" w:rsidR="00891C63" w:rsidP="0014749A" w:rsidRDefault="00891C63" w14:paraId="20ED718B" w14:textId="77777777">
            <w:pPr>
              <w:rPr>
                <w:rFonts w:ascii="Calibri" w:hAnsi="Calibri" w:cs="Calibri"/>
                <w:sz w:val="22"/>
                <w:szCs w:val="22"/>
              </w:rPr>
            </w:pPr>
            <w:r w:rsidRPr="0006385B">
              <w:rPr>
                <w:rFonts w:ascii="Calibri" w:hAnsi="Calibri" w:cs="Calibri"/>
                <w:sz w:val="22"/>
                <w:szCs w:val="22"/>
              </w:rPr>
              <w:t xml:space="preserve">Isolatiebudget van ISDE (Investeringssubsidie duurzame energie en energiebesparing) van het ministerie van KGG overgeboekt naar VRO voor Nij </w:t>
            </w:r>
            <w:proofErr w:type="spellStart"/>
            <w:r w:rsidRPr="0006385B">
              <w:rPr>
                <w:rFonts w:ascii="Calibri" w:hAnsi="Calibri" w:cs="Calibri"/>
                <w:sz w:val="22"/>
                <w:szCs w:val="22"/>
              </w:rPr>
              <w:t>Begun</w:t>
            </w:r>
            <w:proofErr w:type="spellEnd"/>
            <w:r w:rsidRPr="0006385B">
              <w:rPr>
                <w:rFonts w:ascii="Calibri" w:hAnsi="Calibri" w:cs="Calibri"/>
                <w:sz w:val="22"/>
                <w:szCs w:val="22"/>
              </w:rPr>
              <w:t xml:space="preserve"> maatregel 29.</w:t>
            </w:r>
          </w:p>
        </w:tc>
      </w:tr>
      <w:tr w:rsidRPr="0006385B" w:rsidR="00891C63" w:rsidTr="0014749A" w14:paraId="6412A23E" w14:textId="77777777">
        <w:tc>
          <w:tcPr>
            <w:tcW w:w="704" w:type="dxa"/>
          </w:tcPr>
          <w:p w:rsidRPr="0006385B" w:rsidR="00891C63" w:rsidP="0014749A" w:rsidRDefault="00891C63" w14:paraId="6619C811" w14:textId="77777777">
            <w:pPr>
              <w:rPr>
                <w:rFonts w:ascii="Calibri" w:hAnsi="Calibri" w:cs="Calibri"/>
                <w:sz w:val="22"/>
                <w:szCs w:val="22"/>
              </w:rPr>
            </w:pPr>
            <w:r w:rsidRPr="0006385B">
              <w:rPr>
                <w:rFonts w:ascii="Calibri" w:hAnsi="Calibri" w:cs="Calibri"/>
                <w:sz w:val="22"/>
                <w:szCs w:val="22"/>
              </w:rPr>
              <w:t>2</w:t>
            </w:r>
          </w:p>
        </w:tc>
        <w:tc>
          <w:tcPr>
            <w:tcW w:w="2126" w:type="dxa"/>
          </w:tcPr>
          <w:p w:rsidRPr="0006385B" w:rsidR="00891C63" w:rsidP="0014749A" w:rsidRDefault="00891C63" w14:paraId="061D2506" w14:textId="77777777">
            <w:pPr>
              <w:rPr>
                <w:rFonts w:ascii="Calibri" w:hAnsi="Calibri" w:cs="Calibri"/>
                <w:sz w:val="22"/>
                <w:szCs w:val="22"/>
              </w:rPr>
            </w:pPr>
            <w:r w:rsidRPr="0006385B">
              <w:rPr>
                <w:rFonts w:ascii="Calibri" w:hAnsi="Calibri" w:cs="Calibri"/>
                <w:sz w:val="22"/>
                <w:szCs w:val="22"/>
              </w:rPr>
              <w:t>Landelijke werking Fonds Duurzaam Funderingsherstel (FDF)</w:t>
            </w:r>
          </w:p>
        </w:tc>
        <w:tc>
          <w:tcPr>
            <w:tcW w:w="993" w:type="dxa"/>
          </w:tcPr>
          <w:p w:rsidRPr="0006385B" w:rsidR="00891C63" w:rsidP="0014749A" w:rsidRDefault="00891C63" w14:paraId="2721F96C" w14:textId="77777777">
            <w:pPr>
              <w:rPr>
                <w:rFonts w:ascii="Calibri" w:hAnsi="Calibri" w:cs="Calibri"/>
                <w:sz w:val="22"/>
                <w:szCs w:val="22"/>
              </w:rPr>
            </w:pPr>
            <w:r w:rsidRPr="0006385B">
              <w:rPr>
                <w:rFonts w:ascii="Calibri" w:hAnsi="Calibri" w:cs="Calibri"/>
                <w:sz w:val="22"/>
                <w:szCs w:val="22"/>
              </w:rPr>
              <w:t>20</w:t>
            </w:r>
          </w:p>
        </w:tc>
        <w:tc>
          <w:tcPr>
            <w:tcW w:w="1275" w:type="dxa"/>
          </w:tcPr>
          <w:p w:rsidRPr="0006385B" w:rsidR="00891C63" w:rsidP="0014749A" w:rsidRDefault="00891C63" w14:paraId="5D6A7E72" w14:textId="77777777">
            <w:pPr>
              <w:rPr>
                <w:rFonts w:ascii="Calibri" w:hAnsi="Calibri" w:cs="Calibri"/>
                <w:sz w:val="22"/>
                <w:szCs w:val="22"/>
              </w:rPr>
            </w:pPr>
            <w:r w:rsidRPr="0006385B">
              <w:rPr>
                <w:rFonts w:ascii="Calibri" w:hAnsi="Calibri" w:cs="Calibri"/>
                <w:sz w:val="22"/>
                <w:szCs w:val="22"/>
              </w:rPr>
              <w:t>2,4%</w:t>
            </w:r>
          </w:p>
        </w:tc>
        <w:tc>
          <w:tcPr>
            <w:tcW w:w="2835" w:type="dxa"/>
          </w:tcPr>
          <w:p w:rsidRPr="0006385B" w:rsidR="00891C63" w:rsidP="0014749A" w:rsidRDefault="00891C63" w14:paraId="5981CFED" w14:textId="77777777">
            <w:pPr>
              <w:rPr>
                <w:rFonts w:ascii="Calibri" w:hAnsi="Calibri" w:cs="Calibri"/>
                <w:sz w:val="22"/>
                <w:szCs w:val="22"/>
              </w:rPr>
            </w:pPr>
            <w:r w:rsidRPr="0006385B">
              <w:rPr>
                <w:rFonts w:ascii="Calibri" w:hAnsi="Calibri" w:cs="Calibri"/>
                <w:sz w:val="22"/>
                <w:szCs w:val="22"/>
              </w:rPr>
              <w:t>Middelen van de Aanvullende Post voor de landelijke werking van het FDF.</w:t>
            </w:r>
          </w:p>
        </w:tc>
      </w:tr>
    </w:tbl>
    <w:p w:rsidRPr="0006385B" w:rsidR="00423184" w:rsidP="00891C63" w:rsidRDefault="00423184" w14:paraId="7203160D" w14:textId="0917C007">
      <w:pPr>
        <w:rPr>
          <w:rFonts w:ascii="Calibri" w:hAnsi="Calibri" w:cs="Calibri"/>
          <w:b/>
        </w:rPr>
      </w:pPr>
    </w:p>
    <w:p w:rsidRPr="0006385B" w:rsidR="00423184" w:rsidRDefault="00423184" w14:paraId="6F2E7321" w14:textId="77777777">
      <w:pPr>
        <w:rPr>
          <w:rFonts w:ascii="Calibri" w:hAnsi="Calibri" w:cs="Calibri"/>
          <w:b/>
        </w:rPr>
      </w:pPr>
      <w:r w:rsidRPr="0006385B">
        <w:rPr>
          <w:rFonts w:ascii="Calibri" w:hAnsi="Calibri" w:cs="Calibri"/>
          <w:b/>
        </w:rPr>
        <w:br w:type="page"/>
      </w:r>
    </w:p>
    <w:p w:rsidRPr="0006385B" w:rsidR="00891C63" w:rsidP="00891C63" w:rsidRDefault="00891C63" w14:paraId="5CEF88F2" w14:textId="52475617">
      <w:pPr>
        <w:pStyle w:val="Lijstalinea"/>
        <w:numPr>
          <w:ilvl w:val="0"/>
          <w:numId w:val="2"/>
        </w:numPr>
        <w:autoSpaceDN w:val="0"/>
        <w:spacing w:after="0" w:line="320" w:lineRule="exact"/>
        <w:textAlignment w:val="baseline"/>
        <w:rPr>
          <w:rFonts w:ascii="Calibri" w:hAnsi="Calibri" w:cs="Calibri"/>
          <w:b/>
        </w:rPr>
      </w:pPr>
      <w:r w:rsidRPr="0006385B">
        <w:rPr>
          <w:rFonts w:ascii="Calibri" w:hAnsi="Calibri" w:cs="Calibri"/>
          <w:b/>
        </w:rPr>
        <w:lastRenderedPageBreak/>
        <w:t>Sturen op Resultaten</w:t>
      </w:r>
    </w:p>
    <w:p w:rsidRPr="0006385B" w:rsidR="00423184" w:rsidP="00423184" w:rsidRDefault="00423184" w14:paraId="4C57D459" w14:textId="77777777">
      <w:pPr>
        <w:pStyle w:val="Lijstalinea"/>
        <w:autoSpaceDN w:val="0"/>
        <w:spacing w:after="0" w:line="320" w:lineRule="exact"/>
        <w:ind w:left="360"/>
        <w:textAlignment w:val="baseline"/>
        <w:rPr>
          <w:rFonts w:ascii="Calibri" w:hAnsi="Calibri" w:cs="Calibri"/>
          <w:b/>
        </w:rPr>
      </w:pPr>
    </w:p>
    <w:p w:rsidRPr="0006385B" w:rsidR="00891C63" w:rsidP="00891C63" w:rsidRDefault="00891C63" w14:paraId="6C65A286" w14:textId="77777777">
      <w:pPr>
        <w:rPr>
          <w:rFonts w:ascii="Calibri" w:hAnsi="Calibri" w:cs="Calibri"/>
          <w:i/>
        </w:rPr>
      </w:pPr>
      <w:r w:rsidRPr="0006385B">
        <w:rPr>
          <w:rFonts w:ascii="Calibri" w:hAnsi="Calibri" w:cs="Calibri"/>
          <w:i/>
        </w:rPr>
        <w:t>Doelen</w:t>
      </w:r>
    </w:p>
    <w:p w:rsidRPr="0006385B" w:rsidR="00891C63" w:rsidP="00891C63" w:rsidRDefault="00891C63" w14:paraId="1218DD21" w14:textId="77777777">
      <w:pPr>
        <w:rPr>
          <w:rFonts w:ascii="Calibri" w:hAnsi="Calibri" w:cs="Calibri"/>
        </w:rPr>
      </w:pPr>
      <w:r w:rsidRPr="0006385B">
        <w:rPr>
          <w:rFonts w:ascii="Calibri" w:hAnsi="Calibri" w:cs="Calibri"/>
        </w:rPr>
        <w:t xml:space="preserve">In de Staat van de Rijksverantwoording 2024 deden wij de aanbeveling om een aantal specifieke en meetbare hoofddoelen van het kabinetsbeleid voor de lange en korte termijn te kiezen (zoals stikstofreductie, woningen, vestigingsklimaat, migratie) en deze op te nemen in de beleidsagenda in de begroting. In het jaarverslag kunnen vervolgens de concrete resultaten van het beleid in relatie tot het doel worden gemeld. Op deze wijze kunnen doelen en resultaten beter worden gevolgd. </w:t>
      </w:r>
    </w:p>
    <w:p w:rsidRPr="0006385B" w:rsidR="00891C63" w:rsidP="00891C63" w:rsidRDefault="00891C63" w14:paraId="0138ADFA" w14:textId="77777777">
      <w:pPr>
        <w:rPr>
          <w:rFonts w:ascii="Calibri" w:hAnsi="Calibri" w:cs="Calibri"/>
        </w:rPr>
      </w:pPr>
      <w:r w:rsidRPr="0006385B">
        <w:rPr>
          <w:rFonts w:ascii="Calibri" w:hAnsi="Calibri" w:cs="Calibri"/>
        </w:rPr>
        <w:t xml:space="preserve">We stellen vast dat, vergeleken met andere ministeries, voor relatief veel in de beleidsagenda aangegeven beleidsprioriteiten concrete doelen zijn geformuleerd. </w:t>
      </w:r>
    </w:p>
    <w:p w:rsidRPr="0006385B" w:rsidR="00891C63" w:rsidP="00891C63" w:rsidRDefault="00891C63" w14:paraId="4FBD8129" w14:textId="77777777">
      <w:pPr>
        <w:rPr>
          <w:rFonts w:ascii="Calibri" w:hAnsi="Calibri" w:cs="Calibri"/>
        </w:rPr>
      </w:pPr>
      <w:r w:rsidRPr="0006385B">
        <w:rPr>
          <w:rFonts w:ascii="Calibri" w:hAnsi="Calibri" w:cs="Calibri"/>
        </w:rPr>
        <w:t>Ook is er onder artikel 1 en 2 een tabel opgenomen met digitale links naar eerder verstuurde Kamerstukken (‘Beleidskeuzes uitgelegd’) over de onderbouwing van instrumenten die in het begrotingsartikel terugkomen, om het inzicht in de koppeling tussen doelen en ingezette middelen te vergroten.</w:t>
      </w:r>
    </w:p>
    <w:p w:rsidRPr="0006385B" w:rsidR="00891C63" w:rsidP="00891C63" w:rsidRDefault="00891C63" w14:paraId="0615499C" w14:textId="77777777">
      <w:pPr>
        <w:rPr>
          <w:rFonts w:ascii="Calibri" w:hAnsi="Calibri" w:cs="Calibri"/>
        </w:rPr>
      </w:pPr>
      <w:r w:rsidRPr="0006385B">
        <w:rPr>
          <w:rFonts w:ascii="Calibri" w:hAnsi="Calibri" w:cs="Calibri"/>
        </w:rPr>
        <w:t>We geven ter illustratie enkele voorbeelden van een formulering van een doelstelling (beleidsprioriteit of anderszins) in deze ontwerpbegroting:</w:t>
      </w:r>
    </w:p>
    <w:p w:rsidRPr="0006385B" w:rsidR="00891C63" w:rsidP="00891C63" w:rsidRDefault="00891C63" w14:paraId="47E08B8B" w14:textId="77777777">
      <w:pPr>
        <w:rPr>
          <w:rFonts w:ascii="Calibri" w:hAnsi="Calibri" w:cs="Calibri"/>
          <w:b/>
        </w:rPr>
      </w:pPr>
      <w:r w:rsidRPr="0006385B">
        <w:rPr>
          <w:rFonts w:ascii="Calibri" w:hAnsi="Calibri" w:cs="Calibri"/>
          <w:b/>
        </w:rPr>
        <w:t>Tabel 2: Goed en minder goed voorbeeld van doelformulering in de begroting van ministerie van Volkshuisvesting en Ruimtelijke Ordening</w:t>
      </w:r>
    </w:p>
    <w:tbl>
      <w:tblPr>
        <w:tblStyle w:val="Tabelraster"/>
        <w:tblW w:w="0" w:type="auto"/>
        <w:tblLook w:val="04A0" w:firstRow="1" w:lastRow="0" w:firstColumn="1" w:lastColumn="0" w:noHBand="0" w:noVBand="1"/>
      </w:tblPr>
      <w:tblGrid>
        <w:gridCol w:w="2122"/>
        <w:gridCol w:w="1842"/>
        <w:gridCol w:w="1982"/>
        <w:gridCol w:w="1982"/>
      </w:tblGrid>
      <w:tr w:rsidRPr="0006385B" w:rsidR="00891C63" w:rsidTr="0014749A" w14:paraId="15189B25" w14:textId="77777777">
        <w:tc>
          <w:tcPr>
            <w:tcW w:w="2122" w:type="dxa"/>
            <w:shd w:val="clear" w:color="auto" w:fill="C1E4F5" w:themeFill="accent1" w:themeFillTint="33"/>
          </w:tcPr>
          <w:p w:rsidRPr="0006385B" w:rsidR="00891C63" w:rsidP="0014749A" w:rsidRDefault="00891C63" w14:paraId="0C5636EE" w14:textId="77777777">
            <w:pPr>
              <w:rPr>
                <w:rFonts w:ascii="Calibri" w:hAnsi="Calibri" w:cs="Calibri"/>
                <w:sz w:val="22"/>
                <w:szCs w:val="22"/>
              </w:rPr>
            </w:pPr>
          </w:p>
        </w:tc>
        <w:tc>
          <w:tcPr>
            <w:tcW w:w="1842" w:type="dxa"/>
            <w:shd w:val="clear" w:color="auto" w:fill="C1E4F5" w:themeFill="accent1" w:themeFillTint="33"/>
          </w:tcPr>
          <w:p w:rsidRPr="0006385B" w:rsidR="00891C63" w:rsidP="0014749A" w:rsidRDefault="00891C63" w14:paraId="6285FD5C" w14:textId="77777777">
            <w:pPr>
              <w:rPr>
                <w:rFonts w:ascii="Calibri" w:hAnsi="Calibri" w:cs="Calibri"/>
                <w:sz w:val="22"/>
                <w:szCs w:val="22"/>
              </w:rPr>
            </w:pPr>
            <w:r w:rsidRPr="0006385B">
              <w:rPr>
                <w:rFonts w:ascii="Calibri" w:hAnsi="Calibri" w:cs="Calibri"/>
                <w:sz w:val="22"/>
                <w:szCs w:val="22"/>
              </w:rPr>
              <w:t>Doelformulering</w:t>
            </w:r>
          </w:p>
        </w:tc>
        <w:tc>
          <w:tcPr>
            <w:tcW w:w="1982" w:type="dxa"/>
            <w:shd w:val="clear" w:color="auto" w:fill="C1E4F5" w:themeFill="accent1" w:themeFillTint="33"/>
          </w:tcPr>
          <w:p w:rsidRPr="0006385B" w:rsidR="00891C63" w:rsidP="0014749A" w:rsidRDefault="00891C63" w14:paraId="49559567" w14:textId="77777777">
            <w:pPr>
              <w:rPr>
                <w:rFonts w:ascii="Calibri" w:hAnsi="Calibri" w:cs="Calibri"/>
                <w:sz w:val="22"/>
                <w:szCs w:val="22"/>
              </w:rPr>
            </w:pPr>
            <w:r w:rsidRPr="0006385B">
              <w:rPr>
                <w:rFonts w:ascii="Calibri" w:hAnsi="Calibri" w:cs="Calibri"/>
                <w:sz w:val="22"/>
                <w:szCs w:val="22"/>
              </w:rPr>
              <w:t>Beleidsartikel</w:t>
            </w:r>
          </w:p>
        </w:tc>
        <w:tc>
          <w:tcPr>
            <w:tcW w:w="1982" w:type="dxa"/>
            <w:shd w:val="clear" w:color="auto" w:fill="C1E4F5" w:themeFill="accent1" w:themeFillTint="33"/>
          </w:tcPr>
          <w:p w:rsidRPr="0006385B" w:rsidR="00891C63" w:rsidP="0014749A" w:rsidRDefault="00891C63" w14:paraId="7351683B" w14:textId="77777777">
            <w:pPr>
              <w:rPr>
                <w:rFonts w:ascii="Calibri" w:hAnsi="Calibri" w:cs="Calibri"/>
                <w:sz w:val="22"/>
                <w:szCs w:val="22"/>
              </w:rPr>
            </w:pPr>
            <w:r w:rsidRPr="0006385B">
              <w:rPr>
                <w:rFonts w:ascii="Calibri" w:hAnsi="Calibri" w:cs="Calibri"/>
                <w:sz w:val="22"/>
                <w:szCs w:val="22"/>
              </w:rPr>
              <w:t>Toelichting AR</w:t>
            </w:r>
          </w:p>
        </w:tc>
      </w:tr>
      <w:tr w:rsidRPr="0006385B" w:rsidR="00891C63" w:rsidTr="0014749A" w14:paraId="49636FAC" w14:textId="77777777">
        <w:tc>
          <w:tcPr>
            <w:tcW w:w="2122" w:type="dxa"/>
          </w:tcPr>
          <w:p w:rsidRPr="0006385B" w:rsidR="00891C63" w:rsidP="0014749A" w:rsidRDefault="00891C63" w14:paraId="6C0489B8" w14:textId="77777777">
            <w:pPr>
              <w:rPr>
                <w:rFonts w:ascii="Calibri" w:hAnsi="Calibri" w:cs="Calibri"/>
                <w:sz w:val="22"/>
                <w:szCs w:val="22"/>
              </w:rPr>
            </w:pPr>
            <w:r w:rsidRPr="0006385B">
              <w:rPr>
                <w:rFonts w:ascii="Calibri" w:hAnsi="Calibri" w:cs="Calibri"/>
                <w:sz w:val="22"/>
                <w:szCs w:val="22"/>
              </w:rPr>
              <w:t>Goed voorbeeld</w:t>
            </w:r>
          </w:p>
        </w:tc>
        <w:tc>
          <w:tcPr>
            <w:tcW w:w="1842" w:type="dxa"/>
          </w:tcPr>
          <w:p w:rsidRPr="0006385B" w:rsidR="00891C63" w:rsidP="0014749A" w:rsidRDefault="00891C63" w14:paraId="0524494A" w14:textId="77777777">
            <w:pPr>
              <w:rPr>
                <w:rFonts w:ascii="Calibri" w:hAnsi="Calibri" w:cs="Calibri"/>
                <w:sz w:val="22"/>
                <w:szCs w:val="22"/>
              </w:rPr>
            </w:pPr>
            <w:r w:rsidRPr="0006385B">
              <w:rPr>
                <w:rFonts w:ascii="Calibri" w:hAnsi="Calibri" w:cs="Calibri"/>
                <w:sz w:val="22"/>
                <w:szCs w:val="22"/>
              </w:rPr>
              <w:t>Toewerken naar de realisatie van 100.000 woningen per jaar.</w:t>
            </w:r>
          </w:p>
        </w:tc>
        <w:tc>
          <w:tcPr>
            <w:tcW w:w="1982" w:type="dxa"/>
          </w:tcPr>
          <w:p w:rsidRPr="0006385B" w:rsidR="00891C63" w:rsidP="0014749A" w:rsidRDefault="00891C63" w14:paraId="5C1C4FA8" w14:textId="77777777">
            <w:pPr>
              <w:rPr>
                <w:rFonts w:ascii="Calibri" w:hAnsi="Calibri" w:cs="Calibri"/>
                <w:sz w:val="22"/>
                <w:szCs w:val="22"/>
              </w:rPr>
            </w:pPr>
            <w:r w:rsidRPr="0006385B">
              <w:rPr>
                <w:rFonts w:ascii="Calibri" w:hAnsi="Calibri" w:cs="Calibri"/>
                <w:sz w:val="22"/>
                <w:szCs w:val="22"/>
              </w:rPr>
              <w:t>Artikel 1. Woningmarkt</w:t>
            </w:r>
          </w:p>
        </w:tc>
        <w:tc>
          <w:tcPr>
            <w:tcW w:w="1982" w:type="dxa"/>
          </w:tcPr>
          <w:p w:rsidRPr="0006385B" w:rsidR="00891C63" w:rsidP="0014749A" w:rsidRDefault="00891C63" w14:paraId="4528CD94" w14:textId="77777777">
            <w:pPr>
              <w:rPr>
                <w:rFonts w:ascii="Calibri" w:hAnsi="Calibri" w:cs="Calibri"/>
                <w:sz w:val="22"/>
                <w:szCs w:val="22"/>
              </w:rPr>
            </w:pPr>
            <w:r w:rsidRPr="0006385B">
              <w:rPr>
                <w:rFonts w:ascii="Calibri" w:hAnsi="Calibri" w:cs="Calibri"/>
                <w:sz w:val="22"/>
                <w:szCs w:val="22"/>
              </w:rPr>
              <w:t>Dit is een specifieke, meetbare doelstelling, waarbij op basis van de resultaten elk jaar vast te stellen is of de minister op koers ligt.</w:t>
            </w:r>
          </w:p>
        </w:tc>
      </w:tr>
      <w:tr w:rsidRPr="0006385B" w:rsidR="00891C63" w:rsidTr="0014749A" w14:paraId="3AFEC7A5" w14:textId="77777777">
        <w:tc>
          <w:tcPr>
            <w:tcW w:w="2122" w:type="dxa"/>
          </w:tcPr>
          <w:p w:rsidRPr="0006385B" w:rsidR="00891C63" w:rsidP="0014749A" w:rsidRDefault="00891C63" w14:paraId="06BFE936" w14:textId="77777777">
            <w:pPr>
              <w:rPr>
                <w:rFonts w:ascii="Calibri" w:hAnsi="Calibri" w:cs="Calibri"/>
                <w:sz w:val="22"/>
                <w:szCs w:val="22"/>
              </w:rPr>
            </w:pPr>
            <w:r w:rsidRPr="0006385B">
              <w:rPr>
                <w:rFonts w:ascii="Calibri" w:hAnsi="Calibri" w:cs="Calibri"/>
                <w:sz w:val="22"/>
                <w:szCs w:val="22"/>
              </w:rPr>
              <w:t>Goed voorbeeld, met kanttekening</w:t>
            </w:r>
          </w:p>
        </w:tc>
        <w:tc>
          <w:tcPr>
            <w:tcW w:w="1842" w:type="dxa"/>
          </w:tcPr>
          <w:p w:rsidRPr="0006385B" w:rsidR="00891C63" w:rsidP="0014749A" w:rsidRDefault="00891C63" w14:paraId="0B627A49" w14:textId="77777777">
            <w:pPr>
              <w:rPr>
                <w:rFonts w:ascii="Calibri" w:hAnsi="Calibri" w:cs="Calibri"/>
                <w:sz w:val="22"/>
                <w:szCs w:val="22"/>
              </w:rPr>
            </w:pPr>
            <w:r w:rsidRPr="0006385B">
              <w:rPr>
                <w:rFonts w:ascii="Calibri" w:hAnsi="Calibri" w:cs="Calibri"/>
                <w:sz w:val="22"/>
                <w:szCs w:val="22"/>
              </w:rPr>
              <w:t xml:space="preserve">Isoleren van 2,5 miljoen woningen met nadruk op </w:t>
            </w:r>
            <w:proofErr w:type="spellStart"/>
            <w:r w:rsidRPr="0006385B">
              <w:rPr>
                <w:rFonts w:ascii="Calibri" w:hAnsi="Calibri" w:cs="Calibri"/>
                <w:sz w:val="22"/>
                <w:szCs w:val="22"/>
              </w:rPr>
              <w:t>uitfaseren</w:t>
            </w:r>
            <w:proofErr w:type="spellEnd"/>
            <w:r w:rsidRPr="0006385B">
              <w:rPr>
                <w:rFonts w:ascii="Calibri" w:hAnsi="Calibri" w:cs="Calibri"/>
                <w:sz w:val="22"/>
                <w:szCs w:val="22"/>
              </w:rPr>
              <w:t xml:space="preserve"> slechte labels (E,F,G) tot en met 2030.</w:t>
            </w:r>
          </w:p>
        </w:tc>
        <w:tc>
          <w:tcPr>
            <w:tcW w:w="1982" w:type="dxa"/>
          </w:tcPr>
          <w:p w:rsidRPr="0006385B" w:rsidR="00891C63" w:rsidP="0014749A" w:rsidRDefault="00891C63" w14:paraId="5BFA08CD" w14:textId="77777777">
            <w:pPr>
              <w:rPr>
                <w:rFonts w:ascii="Calibri" w:hAnsi="Calibri" w:cs="Calibri"/>
                <w:sz w:val="22"/>
                <w:szCs w:val="22"/>
              </w:rPr>
            </w:pPr>
            <w:r w:rsidRPr="0006385B">
              <w:rPr>
                <w:rFonts w:ascii="Calibri" w:hAnsi="Calibri" w:cs="Calibri"/>
                <w:sz w:val="22"/>
                <w:szCs w:val="22"/>
              </w:rPr>
              <w:t>Artikel 2. Energietransitie gebouwde omgeving en bouwkwaliteit</w:t>
            </w:r>
          </w:p>
        </w:tc>
        <w:tc>
          <w:tcPr>
            <w:tcW w:w="1982" w:type="dxa"/>
          </w:tcPr>
          <w:p w:rsidRPr="0006385B" w:rsidR="00891C63" w:rsidP="0014749A" w:rsidRDefault="00891C63" w14:paraId="223088DA" w14:textId="77777777">
            <w:pPr>
              <w:rPr>
                <w:rFonts w:ascii="Calibri" w:hAnsi="Calibri" w:cs="Calibri"/>
                <w:sz w:val="22"/>
                <w:szCs w:val="22"/>
              </w:rPr>
            </w:pPr>
            <w:r w:rsidRPr="0006385B">
              <w:rPr>
                <w:rFonts w:ascii="Calibri" w:hAnsi="Calibri" w:cs="Calibri"/>
                <w:sz w:val="22"/>
                <w:szCs w:val="22"/>
              </w:rPr>
              <w:t>Dit is een specifieke, meetbare doelstelling, maar er zijn geen tussendoelen geformuleerd voor de jaren tot 2030.</w:t>
            </w:r>
          </w:p>
        </w:tc>
      </w:tr>
      <w:tr w:rsidRPr="0006385B" w:rsidR="00891C63" w:rsidTr="0014749A" w14:paraId="65D07204" w14:textId="77777777">
        <w:tc>
          <w:tcPr>
            <w:tcW w:w="2122" w:type="dxa"/>
          </w:tcPr>
          <w:p w:rsidRPr="0006385B" w:rsidR="00891C63" w:rsidP="0014749A" w:rsidRDefault="00891C63" w14:paraId="5B3DE479" w14:textId="77777777">
            <w:pPr>
              <w:rPr>
                <w:rFonts w:ascii="Calibri" w:hAnsi="Calibri" w:cs="Calibri"/>
                <w:sz w:val="22"/>
                <w:szCs w:val="22"/>
              </w:rPr>
            </w:pPr>
            <w:r w:rsidRPr="0006385B">
              <w:rPr>
                <w:rFonts w:ascii="Calibri" w:hAnsi="Calibri" w:cs="Calibri"/>
                <w:sz w:val="22"/>
                <w:szCs w:val="22"/>
              </w:rPr>
              <w:t>Minder goed voorbeeld</w:t>
            </w:r>
          </w:p>
        </w:tc>
        <w:tc>
          <w:tcPr>
            <w:tcW w:w="1842" w:type="dxa"/>
          </w:tcPr>
          <w:p w:rsidRPr="0006385B" w:rsidR="00891C63" w:rsidP="0014749A" w:rsidRDefault="00891C63" w14:paraId="7072E67F" w14:textId="77777777">
            <w:pPr>
              <w:rPr>
                <w:rFonts w:ascii="Calibri" w:hAnsi="Calibri" w:cs="Calibri"/>
                <w:sz w:val="22"/>
                <w:szCs w:val="22"/>
              </w:rPr>
            </w:pPr>
            <w:r w:rsidRPr="0006385B">
              <w:rPr>
                <w:rFonts w:ascii="Calibri" w:hAnsi="Calibri" w:cs="Calibri"/>
                <w:sz w:val="22"/>
                <w:szCs w:val="22"/>
              </w:rPr>
              <w:t xml:space="preserve">Het versnellen en verbeteren van </w:t>
            </w:r>
            <w:r w:rsidRPr="0006385B">
              <w:rPr>
                <w:rFonts w:ascii="Calibri" w:hAnsi="Calibri" w:cs="Calibri"/>
                <w:sz w:val="22"/>
                <w:szCs w:val="22"/>
              </w:rPr>
              <w:lastRenderedPageBreak/>
              <w:t>besluitvorming over projecten in de fysieke leefomgeving.</w:t>
            </w:r>
          </w:p>
        </w:tc>
        <w:tc>
          <w:tcPr>
            <w:tcW w:w="1982" w:type="dxa"/>
          </w:tcPr>
          <w:p w:rsidRPr="0006385B" w:rsidR="00891C63" w:rsidP="0014749A" w:rsidRDefault="00891C63" w14:paraId="03018F99" w14:textId="77777777">
            <w:pPr>
              <w:rPr>
                <w:rFonts w:ascii="Calibri" w:hAnsi="Calibri" w:cs="Calibri"/>
                <w:sz w:val="22"/>
                <w:szCs w:val="22"/>
              </w:rPr>
            </w:pPr>
            <w:r w:rsidRPr="0006385B">
              <w:rPr>
                <w:rFonts w:ascii="Calibri" w:hAnsi="Calibri" w:cs="Calibri"/>
                <w:sz w:val="22"/>
                <w:szCs w:val="22"/>
              </w:rPr>
              <w:lastRenderedPageBreak/>
              <w:t>Artikel 3.</w:t>
            </w:r>
          </w:p>
          <w:p w:rsidRPr="0006385B" w:rsidR="00891C63" w:rsidP="0014749A" w:rsidRDefault="00891C63" w14:paraId="6DEEA4FD" w14:textId="77777777">
            <w:pPr>
              <w:rPr>
                <w:rFonts w:ascii="Calibri" w:hAnsi="Calibri" w:cs="Calibri"/>
                <w:sz w:val="22"/>
                <w:szCs w:val="22"/>
              </w:rPr>
            </w:pPr>
            <w:r w:rsidRPr="0006385B">
              <w:rPr>
                <w:rFonts w:ascii="Calibri" w:hAnsi="Calibri" w:cs="Calibri"/>
                <w:sz w:val="22"/>
                <w:szCs w:val="22"/>
              </w:rPr>
              <w:lastRenderedPageBreak/>
              <w:t>Ruimtelijke ordening en Omgevingswet</w:t>
            </w:r>
          </w:p>
        </w:tc>
        <w:tc>
          <w:tcPr>
            <w:tcW w:w="1982" w:type="dxa"/>
          </w:tcPr>
          <w:p w:rsidRPr="0006385B" w:rsidR="00891C63" w:rsidP="0014749A" w:rsidRDefault="00891C63" w14:paraId="773C77E5" w14:textId="77777777">
            <w:pPr>
              <w:rPr>
                <w:rFonts w:ascii="Calibri" w:hAnsi="Calibri" w:cs="Calibri"/>
                <w:sz w:val="22"/>
                <w:szCs w:val="22"/>
              </w:rPr>
            </w:pPr>
            <w:r w:rsidRPr="0006385B">
              <w:rPr>
                <w:rFonts w:ascii="Calibri" w:hAnsi="Calibri" w:cs="Calibri"/>
                <w:sz w:val="22"/>
                <w:szCs w:val="22"/>
              </w:rPr>
              <w:lastRenderedPageBreak/>
              <w:t xml:space="preserve">Dit is geen specifieke, </w:t>
            </w:r>
            <w:r w:rsidRPr="0006385B">
              <w:rPr>
                <w:rFonts w:ascii="Calibri" w:hAnsi="Calibri" w:cs="Calibri"/>
                <w:sz w:val="22"/>
                <w:szCs w:val="22"/>
              </w:rPr>
              <w:lastRenderedPageBreak/>
              <w:t xml:space="preserve">meetbare doelstelling. </w:t>
            </w:r>
          </w:p>
        </w:tc>
      </w:tr>
    </w:tbl>
    <w:p w:rsidRPr="0006385B" w:rsidR="00891C63" w:rsidP="00891C63" w:rsidRDefault="00891C63" w14:paraId="08B2FDF7" w14:textId="77777777">
      <w:pPr>
        <w:rPr>
          <w:rFonts w:ascii="Calibri" w:hAnsi="Calibri" w:cs="Calibri"/>
        </w:rPr>
      </w:pPr>
    </w:p>
    <w:p w:rsidRPr="0006385B" w:rsidR="00891C63" w:rsidP="00891C63" w:rsidRDefault="00891C63" w14:paraId="55C59F88" w14:textId="77777777">
      <w:pPr>
        <w:rPr>
          <w:rFonts w:ascii="Calibri" w:hAnsi="Calibri" w:cs="Calibri"/>
        </w:rPr>
      </w:pPr>
      <w:r w:rsidRPr="0006385B">
        <w:rPr>
          <w:rFonts w:ascii="Calibri" w:hAnsi="Calibri" w:cs="Calibri"/>
        </w:rPr>
        <w:t>Wij hebben in deze ontwerpbegroting 2026 geen expliciete verwijzing naar doelstellingen brede welvaart gevonden. De minister heeft wel indicatoren opgenomen die (sterk) overeenkomen met brede welvaartsindicatoren. Zo schrijft de minister dat ze het woningtekort wil terugdringen, de kwaliteit van woningen wil verbeteren, en het aantal aardgasvrije woningen wil vergroten. De minister wil deze indicatoren ook beïnvloeden met beleid en noemt ze niet slechts als contextinformatie.</w:t>
      </w:r>
    </w:p>
    <w:p w:rsidRPr="0006385B" w:rsidR="00891C63" w:rsidP="00891C63" w:rsidRDefault="00891C63" w14:paraId="4557BE79" w14:textId="77777777">
      <w:pPr>
        <w:rPr>
          <w:rFonts w:ascii="Calibri" w:hAnsi="Calibri" w:cs="Calibri"/>
          <w:i/>
        </w:rPr>
      </w:pPr>
      <w:r w:rsidRPr="0006385B">
        <w:rPr>
          <w:rFonts w:ascii="Calibri" w:hAnsi="Calibri" w:cs="Calibri"/>
          <w:i/>
        </w:rPr>
        <w:t>Strategische evaluatieagenda (SEA)</w:t>
      </w:r>
    </w:p>
    <w:p w:rsidRPr="0006385B" w:rsidR="00891C63" w:rsidP="00891C63" w:rsidRDefault="00891C63" w14:paraId="5232F2CF" w14:textId="77777777">
      <w:pPr>
        <w:rPr>
          <w:rFonts w:ascii="Calibri" w:hAnsi="Calibri" w:cs="Calibri"/>
        </w:rPr>
      </w:pPr>
      <w:r w:rsidRPr="0006385B">
        <w:rPr>
          <w:rFonts w:ascii="Calibri" w:hAnsi="Calibri" w:cs="Calibri"/>
        </w:rPr>
        <w:t xml:space="preserve">De minister is verantwoordelijk voor het periodiek onderzoeken van de doelmatigheid en doeltreffendheid van het beleid dat aan zijn/haar begroting ten grondslag ligt. De SEA laat zien welke evaluaties zijn uitgevoerd en gepland per beleidsthema. De Kamer kan de evaluatieagenda in deze begroting beoordelen en kan de minister aangeven welke evaluaties met extra belangstelling worden gevolgd en welke evaluaties ontbreken in de agenda. Wij zijn nagegaan: </w:t>
      </w:r>
    </w:p>
    <w:p w:rsidRPr="0006385B" w:rsidR="00891C63" w:rsidP="00891C63" w:rsidRDefault="00891C63" w14:paraId="0799DAA6" w14:textId="77777777">
      <w:pPr>
        <w:pStyle w:val="Lijstalinea"/>
        <w:numPr>
          <w:ilvl w:val="0"/>
          <w:numId w:val="3"/>
        </w:numPr>
        <w:autoSpaceDN w:val="0"/>
        <w:spacing w:after="0" w:line="320" w:lineRule="exact"/>
        <w:textAlignment w:val="baseline"/>
        <w:rPr>
          <w:rFonts w:ascii="Calibri" w:hAnsi="Calibri" w:cs="Calibri"/>
        </w:rPr>
      </w:pPr>
      <w:r w:rsidRPr="0006385B">
        <w:rPr>
          <w:rFonts w:ascii="Calibri" w:hAnsi="Calibri" w:cs="Calibri"/>
        </w:rPr>
        <w:t>of minister de Kamer inzicht geeft of de evaluatieagenda financieel dekkend is;</w:t>
      </w:r>
    </w:p>
    <w:p w:rsidRPr="0006385B" w:rsidR="00891C63" w:rsidP="00891C63" w:rsidRDefault="00891C63" w14:paraId="3465D7EA" w14:textId="77777777">
      <w:pPr>
        <w:pStyle w:val="Lijstalinea"/>
        <w:numPr>
          <w:ilvl w:val="0"/>
          <w:numId w:val="3"/>
        </w:numPr>
        <w:autoSpaceDN w:val="0"/>
        <w:spacing w:after="0" w:line="320" w:lineRule="exact"/>
        <w:textAlignment w:val="baseline"/>
        <w:rPr>
          <w:rFonts w:ascii="Calibri" w:hAnsi="Calibri" w:cs="Calibri"/>
        </w:rPr>
      </w:pPr>
      <w:r w:rsidRPr="0006385B">
        <w:rPr>
          <w:rFonts w:ascii="Calibri" w:hAnsi="Calibri" w:cs="Calibri"/>
        </w:rPr>
        <w:t>of, op basis van de kennis uit eerder onderzoek, de SEA (inhoudelijke) blinde vlekken kent;</w:t>
      </w:r>
    </w:p>
    <w:p w:rsidRPr="0006385B" w:rsidR="00891C63" w:rsidP="00891C63" w:rsidRDefault="00891C63" w14:paraId="4218FC08" w14:textId="77777777">
      <w:pPr>
        <w:pStyle w:val="Lijstalinea"/>
        <w:numPr>
          <w:ilvl w:val="0"/>
          <w:numId w:val="3"/>
        </w:numPr>
        <w:autoSpaceDN w:val="0"/>
        <w:spacing w:after="0" w:line="320" w:lineRule="exact"/>
        <w:textAlignment w:val="baseline"/>
        <w:rPr>
          <w:rFonts w:ascii="Calibri" w:hAnsi="Calibri" w:cs="Calibri"/>
        </w:rPr>
      </w:pPr>
      <w:r w:rsidRPr="0006385B">
        <w:rPr>
          <w:rFonts w:ascii="Calibri" w:hAnsi="Calibri" w:cs="Calibri"/>
        </w:rPr>
        <w:t xml:space="preserve">Daarnaast wijzen we de Kamer op evaluaties die ons inziens van bijzonder belang zijn.  </w:t>
      </w:r>
    </w:p>
    <w:p w:rsidRPr="0006385B" w:rsidR="00891C63" w:rsidP="00891C63" w:rsidRDefault="00891C63" w14:paraId="53899872" w14:textId="77777777">
      <w:pPr>
        <w:rPr>
          <w:rFonts w:ascii="Calibri" w:hAnsi="Calibri" w:cs="Calibri"/>
        </w:rPr>
      </w:pPr>
    </w:p>
    <w:p w:rsidRPr="0006385B" w:rsidR="00891C63" w:rsidP="00891C63" w:rsidRDefault="00891C63" w14:paraId="60AA2993" w14:textId="77777777">
      <w:pPr>
        <w:rPr>
          <w:rFonts w:ascii="Calibri" w:hAnsi="Calibri" w:cs="Calibri"/>
        </w:rPr>
      </w:pPr>
      <w:r w:rsidRPr="0006385B">
        <w:rPr>
          <w:rFonts w:ascii="Calibri" w:hAnsi="Calibri" w:cs="Calibri"/>
        </w:rPr>
        <w:t xml:space="preserve">a. </w:t>
      </w:r>
      <w:r w:rsidRPr="0006385B">
        <w:rPr>
          <w:rFonts w:ascii="Calibri" w:hAnsi="Calibri" w:cs="Calibri"/>
          <w:i/>
        </w:rPr>
        <w:t>Afdekking van de uitgaven door evaluatieonderzoek</w:t>
      </w:r>
      <w:r w:rsidRPr="0006385B">
        <w:rPr>
          <w:rFonts w:ascii="Calibri" w:hAnsi="Calibri" w:cs="Calibri"/>
        </w:rPr>
        <w:t xml:space="preserve"> </w:t>
      </w:r>
    </w:p>
    <w:p w:rsidRPr="0006385B" w:rsidR="00891C63" w:rsidP="00891C63" w:rsidRDefault="00891C63" w14:paraId="7B09D646" w14:textId="77777777">
      <w:pPr>
        <w:rPr>
          <w:rFonts w:ascii="Calibri" w:hAnsi="Calibri" w:cs="Calibri"/>
        </w:rPr>
      </w:pPr>
      <w:r w:rsidRPr="0006385B">
        <w:rPr>
          <w:rFonts w:ascii="Calibri" w:hAnsi="Calibri" w:cs="Calibri"/>
        </w:rPr>
        <w:t xml:space="preserve">Uit de SEA blijkt dat voor alle begrotingsartikelen evaluaties zijn uitgevoerd of gepland. Dat vinden wij positief. </w:t>
      </w:r>
    </w:p>
    <w:p w:rsidRPr="0006385B" w:rsidR="00891C63" w:rsidP="00891C63" w:rsidRDefault="00891C63" w14:paraId="436E2E85" w14:textId="77777777">
      <w:pPr>
        <w:rPr>
          <w:rFonts w:ascii="Calibri" w:hAnsi="Calibri" w:cs="Calibri"/>
        </w:rPr>
      </w:pPr>
      <w:r w:rsidRPr="0006385B">
        <w:rPr>
          <w:rFonts w:ascii="Calibri" w:hAnsi="Calibri" w:cs="Calibri"/>
        </w:rPr>
        <w:t xml:space="preserve">De minister maakt in de begroting echter niet inzichtelijk in hoeverre de begrotingsmiddelen met evaluaties zijn afgedekt. De Tweede Kamer krijgt daardoor geen duidelijk beeld van de mate van financiële afdekking en van de resterende noodzaak tot evaluatie. Pas bij de opzet van de periodieke rapportage (de zogenaamde Harbersbrief) wordt volledig inzichtelijk of alle geldstromen zijn afgedekt. </w:t>
      </w:r>
    </w:p>
    <w:p w:rsidRPr="0006385B" w:rsidR="00891C63" w:rsidP="00891C63" w:rsidRDefault="00891C63" w14:paraId="6F239633" w14:textId="77777777">
      <w:pPr>
        <w:rPr>
          <w:rFonts w:ascii="Calibri" w:hAnsi="Calibri" w:cs="Calibri"/>
        </w:rPr>
      </w:pPr>
      <w:r w:rsidRPr="0006385B">
        <w:rPr>
          <w:rFonts w:ascii="Calibri" w:hAnsi="Calibri" w:cs="Calibri"/>
        </w:rPr>
        <w:t xml:space="preserve">b. </w:t>
      </w:r>
      <w:r w:rsidRPr="0006385B">
        <w:rPr>
          <w:rFonts w:ascii="Calibri" w:hAnsi="Calibri" w:cs="Calibri"/>
          <w:i/>
        </w:rPr>
        <w:t>Evidente blinde vlekken in de SEA</w:t>
      </w:r>
      <w:r w:rsidRPr="0006385B">
        <w:rPr>
          <w:rFonts w:ascii="Calibri" w:hAnsi="Calibri" w:cs="Calibri"/>
        </w:rPr>
        <w:t xml:space="preserve"> </w:t>
      </w:r>
    </w:p>
    <w:p w:rsidRPr="0006385B" w:rsidR="00891C63" w:rsidP="00891C63" w:rsidRDefault="00891C63" w14:paraId="4346226E" w14:textId="77777777">
      <w:pPr>
        <w:rPr>
          <w:rFonts w:ascii="Calibri" w:hAnsi="Calibri" w:cs="Calibri"/>
        </w:rPr>
      </w:pPr>
      <w:r w:rsidRPr="0006385B">
        <w:rPr>
          <w:rFonts w:ascii="Calibri" w:hAnsi="Calibri" w:cs="Calibri"/>
        </w:rPr>
        <w:t xml:space="preserve">De Startbouwimpuls, een (recent) financieel instrument gericht op woningbouw, is niet geagendeerd voor een evaluatieonderzoek. Voor enkele andere financiële instrumenten ter bevordering van woningbouw, zoals de Stimuleringsregeling </w:t>
      </w:r>
      <w:proofErr w:type="spellStart"/>
      <w:r w:rsidRPr="0006385B">
        <w:rPr>
          <w:rFonts w:ascii="Calibri" w:hAnsi="Calibri" w:cs="Calibri"/>
        </w:rPr>
        <w:t>flex</w:t>
      </w:r>
      <w:proofErr w:type="spellEnd"/>
      <w:r w:rsidRPr="0006385B">
        <w:rPr>
          <w:rFonts w:ascii="Calibri" w:hAnsi="Calibri" w:cs="Calibri"/>
        </w:rPr>
        <w:t xml:space="preserve">- en transformatiewoningen, zijn wel monitors opgenomen in de SEA, maar geen evaluaties </w:t>
      </w:r>
      <w:r w:rsidRPr="0006385B">
        <w:rPr>
          <w:rFonts w:ascii="Calibri" w:hAnsi="Calibri" w:cs="Calibri"/>
        </w:rPr>
        <w:lastRenderedPageBreak/>
        <w:t>gepland waarmee inzicht in doeltreffendheid en doelmatigheid van beleid wordt verkregen. We achten deze onderwerpen wel relevant voor de oordeelsvorming van de Kamer over het betreffende beleidsterrein, want de aanpak van de woningnood is een speerpunt van de minister, waar veel geld naartoe gaat.</w:t>
      </w:r>
    </w:p>
    <w:p w:rsidRPr="0006385B" w:rsidR="00891C63" w:rsidP="00891C63" w:rsidRDefault="00891C63" w14:paraId="46F81902" w14:textId="77777777">
      <w:pPr>
        <w:pStyle w:val="Lijstalinea"/>
        <w:ind w:left="0"/>
        <w:rPr>
          <w:rFonts w:ascii="Calibri" w:hAnsi="Calibri" w:cs="Calibri"/>
        </w:rPr>
      </w:pPr>
      <w:r w:rsidRPr="0006385B">
        <w:rPr>
          <w:rFonts w:ascii="Calibri" w:hAnsi="Calibri" w:cs="Calibri"/>
        </w:rPr>
        <w:t xml:space="preserve">c. </w:t>
      </w:r>
      <w:r w:rsidRPr="0006385B">
        <w:rPr>
          <w:rFonts w:ascii="Calibri" w:hAnsi="Calibri" w:cs="Calibri"/>
          <w:i/>
        </w:rPr>
        <w:t>Evaluaties in de SEA die wij van bijzonder belang achten</w:t>
      </w:r>
    </w:p>
    <w:p w:rsidRPr="0006385B" w:rsidR="00891C63" w:rsidP="00891C63" w:rsidRDefault="00891C63" w14:paraId="36E42A7C" w14:textId="77777777">
      <w:pPr>
        <w:pStyle w:val="Lijstalinea"/>
        <w:ind w:left="0"/>
        <w:rPr>
          <w:rFonts w:ascii="Calibri" w:hAnsi="Calibri" w:cs="Calibri"/>
        </w:rPr>
      </w:pPr>
      <w:r w:rsidRPr="0006385B">
        <w:rPr>
          <w:rFonts w:ascii="Calibri" w:hAnsi="Calibri" w:cs="Calibri"/>
        </w:rPr>
        <w:t xml:space="preserve">Gelet op de recente invoering van de Omgevingswet vinden we de evaluatieonderzoeken uit de SEA die over de Omgevingswet gaan van bijzonder belang voor de Tweede Kamercommissie Volkshuisvesting en Ruimtelijke Ordening, zoals: </w:t>
      </w:r>
    </w:p>
    <w:p w:rsidRPr="0006385B" w:rsidR="00891C63" w:rsidP="00891C63" w:rsidRDefault="00891C63" w14:paraId="6A3E98D5" w14:textId="77777777">
      <w:pPr>
        <w:pStyle w:val="Lijstalinea"/>
        <w:numPr>
          <w:ilvl w:val="0"/>
          <w:numId w:val="4"/>
        </w:numPr>
        <w:autoSpaceDN w:val="0"/>
        <w:spacing w:after="0" w:line="320" w:lineRule="exact"/>
        <w:textAlignment w:val="baseline"/>
        <w:rPr>
          <w:rFonts w:ascii="Calibri" w:hAnsi="Calibri" w:cs="Calibri"/>
        </w:rPr>
      </w:pPr>
      <w:r w:rsidRPr="0006385B">
        <w:rPr>
          <w:rFonts w:ascii="Calibri" w:hAnsi="Calibri" w:cs="Calibri"/>
        </w:rPr>
        <w:t>de Invoeringstoets Omgevingswet (publicatie verwacht eind 2025/begin 2026), en</w:t>
      </w:r>
    </w:p>
    <w:p w:rsidRPr="0006385B" w:rsidR="00891C63" w:rsidP="00891C63" w:rsidRDefault="00891C63" w14:paraId="7E7A0FA6" w14:textId="77777777">
      <w:pPr>
        <w:pStyle w:val="Lijstalinea"/>
        <w:numPr>
          <w:ilvl w:val="0"/>
          <w:numId w:val="4"/>
        </w:numPr>
        <w:autoSpaceDN w:val="0"/>
        <w:spacing w:after="0" w:line="320" w:lineRule="exact"/>
        <w:textAlignment w:val="baseline"/>
        <w:rPr>
          <w:rFonts w:ascii="Calibri" w:hAnsi="Calibri" w:cs="Calibri"/>
        </w:rPr>
      </w:pPr>
      <w:r w:rsidRPr="0006385B">
        <w:rPr>
          <w:rFonts w:ascii="Calibri" w:hAnsi="Calibri" w:cs="Calibri"/>
        </w:rPr>
        <w:t>de Integrale financiële evaluatie Omgevingswet één jaar na inwerkingtreding (publicatie verwacht eind 2025/begin 2026).</w:t>
      </w:r>
    </w:p>
    <w:p w:rsidRPr="0006385B" w:rsidR="00891C63" w:rsidP="00891C63" w:rsidRDefault="00891C63" w14:paraId="2BB73F34" w14:textId="77777777">
      <w:pPr>
        <w:rPr>
          <w:rFonts w:ascii="Calibri" w:hAnsi="Calibri" w:cs="Calibri"/>
        </w:rPr>
      </w:pPr>
    </w:p>
    <w:p w:rsidRPr="0006385B" w:rsidR="00891C63" w:rsidP="00891C63" w:rsidRDefault="00891C63" w14:paraId="300076F2" w14:textId="77777777">
      <w:pPr>
        <w:rPr>
          <w:rFonts w:ascii="Calibri" w:hAnsi="Calibri" w:cs="Calibri"/>
        </w:rPr>
      </w:pPr>
      <w:r w:rsidRPr="0006385B">
        <w:rPr>
          <w:rFonts w:ascii="Calibri" w:hAnsi="Calibri" w:cs="Calibri"/>
        </w:rPr>
        <w:t>Wij adviseren u deze evaluaties voor uw agendering in overweging te nemen.</w:t>
      </w:r>
    </w:p>
    <w:p w:rsidRPr="0006385B" w:rsidR="00891C63" w:rsidP="00891C63" w:rsidRDefault="00891C63" w14:paraId="585C8630" w14:textId="77777777">
      <w:pPr>
        <w:pStyle w:val="Kop1"/>
        <w:numPr>
          <w:ilvl w:val="0"/>
          <w:numId w:val="2"/>
        </w:numPr>
        <w:ind w:left="720"/>
        <w:rPr>
          <w:rFonts w:ascii="Calibri" w:hAnsi="Calibri" w:cs="Calibri"/>
          <w:sz w:val="22"/>
          <w:szCs w:val="22"/>
        </w:rPr>
      </w:pPr>
      <w:r w:rsidRPr="0006385B">
        <w:rPr>
          <w:rFonts w:ascii="Calibri" w:hAnsi="Calibri" w:cs="Calibri"/>
          <w:sz w:val="22"/>
          <w:szCs w:val="22"/>
        </w:rPr>
        <w:t>Risico’s en beheer</w:t>
      </w:r>
    </w:p>
    <w:p w:rsidRPr="0006385B" w:rsidR="00891C63" w:rsidP="00891C63" w:rsidRDefault="00891C63" w14:paraId="7094CCD5" w14:textId="77777777">
      <w:pPr>
        <w:rPr>
          <w:rFonts w:ascii="Calibri" w:hAnsi="Calibri" w:cs="Calibri"/>
        </w:rPr>
      </w:pPr>
      <w:r w:rsidRPr="0006385B">
        <w:rPr>
          <w:rFonts w:ascii="Calibri" w:hAnsi="Calibri" w:cs="Calibri"/>
        </w:rPr>
        <w:t>Wij verwachten dat in de begroting aandacht wordt besteed aan financiële risico’s en/of beleidsrisico’s en hoe de minister daarmee wil omgaan. In onderstaande tabel schetsen we een aantal gesignaleerde risico’s en hoe de minister deze aanpakt.</w:t>
      </w:r>
    </w:p>
    <w:p w:rsidRPr="0006385B" w:rsidR="00891C63" w:rsidP="00891C63" w:rsidRDefault="00891C63" w14:paraId="1782E8B7" w14:textId="77777777">
      <w:pPr>
        <w:rPr>
          <w:rFonts w:ascii="Calibri" w:hAnsi="Calibri" w:cs="Calibri"/>
        </w:rPr>
      </w:pPr>
    </w:p>
    <w:p w:rsidRPr="0006385B" w:rsidR="00891C63" w:rsidP="00891C63" w:rsidRDefault="00891C63" w14:paraId="14266629" w14:textId="77777777">
      <w:pPr>
        <w:rPr>
          <w:rFonts w:ascii="Calibri" w:hAnsi="Calibri" w:cs="Calibri"/>
          <w:b/>
        </w:rPr>
      </w:pPr>
      <w:r w:rsidRPr="0006385B">
        <w:rPr>
          <w:rFonts w:ascii="Calibri" w:hAnsi="Calibri" w:cs="Calibri"/>
          <w:b/>
        </w:rPr>
        <w:t>Tabel 3: Adressering van risico’s in de begroting van ministerie van Volkshuisvesting en Ruimtelijke Ordening</w:t>
      </w:r>
    </w:p>
    <w:p w:rsidRPr="0006385B" w:rsidR="00891C63" w:rsidP="00891C63" w:rsidRDefault="00891C63" w14:paraId="2029F6C8" w14:textId="77777777">
      <w:pPr>
        <w:rPr>
          <w:rFonts w:ascii="Calibri" w:hAnsi="Calibri" w:cs="Calibri"/>
        </w:rPr>
      </w:pPr>
    </w:p>
    <w:tbl>
      <w:tblPr>
        <w:tblStyle w:val="Tabelraster"/>
        <w:tblW w:w="0" w:type="auto"/>
        <w:tblLook w:val="04A0" w:firstRow="1" w:lastRow="0" w:firstColumn="1" w:lastColumn="0" w:noHBand="0" w:noVBand="1"/>
      </w:tblPr>
      <w:tblGrid>
        <w:gridCol w:w="1865"/>
        <w:gridCol w:w="2705"/>
        <w:gridCol w:w="1378"/>
        <w:gridCol w:w="1980"/>
      </w:tblGrid>
      <w:tr w:rsidRPr="0006385B" w:rsidR="00891C63" w:rsidTr="0014749A" w14:paraId="0C613B78" w14:textId="77777777">
        <w:tc>
          <w:tcPr>
            <w:tcW w:w="1980" w:type="dxa"/>
            <w:shd w:val="clear" w:color="auto" w:fill="C1E4F5" w:themeFill="accent1" w:themeFillTint="33"/>
          </w:tcPr>
          <w:p w:rsidRPr="0006385B" w:rsidR="00891C63" w:rsidP="0014749A" w:rsidRDefault="00891C63" w14:paraId="04ED1FDD" w14:textId="77777777">
            <w:pPr>
              <w:rPr>
                <w:rFonts w:ascii="Calibri" w:hAnsi="Calibri" w:cs="Calibri"/>
                <w:sz w:val="22"/>
                <w:szCs w:val="22"/>
              </w:rPr>
            </w:pPr>
            <w:r w:rsidRPr="0006385B">
              <w:rPr>
                <w:rFonts w:ascii="Calibri" w:hAnsi="Calibri" w:cs="Calibri"/>
                <w:sz w:val="22"/>
                <w:szCs w:val="22"/>
              </w:rPr>
              <w:t>Risico-omschrijving</w:t>
            </w:r>
          </w:p>
        </w:tc>
        <w:tc>
          <w:tcPr>
            <w:tcW w:w="2286" w:type="dxa"/>
            <w:shd w:val="clear" w:color="auto" w:fill="C1E4F5" w:themeFill="accent1" w:themeFillTint="33"/>
          </w:tcPr>
          <w:p w:rsidRPr="0006385B" w:rsidR="00891C63" w:rsidP="0014749A" w:rsidRDefault="00891C63" w14:paraId="17EC2686" w14:textId="77777777">
            <w:pPr>
              <w:rPr>
                <w:rFonts w:ascii="Calibri" w:hAnsi="Calibri" w:cs="Calibri"/>
                <w:sz w:val="22"/>
                <w:szCs w:val="22"/>
              </w:rPr>
            </w:pPr>
            <w:r w:rsidRPr="0006385B">
              <w:rPr>
                <w:rFonts w:ascii="Calibri" w:hAnsi="Calibri" w:cs="Calibri"/>
                <w:sz w:val="22"/>
                <w:szCs w:val="22"/>
              </w:rPr>
              <w:t>Bron</w:t>
            </w:r>
          </w:p>
        </w:tc>
        <w:tc>
          <w:tcPr>
            <w:tcW w:w="1557" w:type="dxa"/>
            <w:shd w:val="clear" w:color="auto" w:fill="C1E4F5" w:themeFill="accent1" w:themeFillTint="33"/>
          </w:tcPr>
          <w:p w:rsidRPr="0006385B" w:rsidR="00891C63" w:rsidP="0014749A" w:rsidRDefault="00891C63" w14:paraId="598E8FDC" w14:textId="77777777">
            <w:pPr>
              <w:rPr>
                <w:rFonts w:ascii="Calibri" w:hAnsi="Calibri" w:cs="Calibri"/>
                <w:sz w:val="22"/>
                <w:szCs w:val="22"/>
              </w:rPr>
            </w:pPr>
            <w:r w:rsidRPr="0006385B">
              <w:rPr>
                <w:rFonts w:ascii="Calibri" w:hAnsi="Calibri" w:cs="Calibri"/>
                <w:sz w:val="22"/>
                <w:szCs w:val="22"/>
              </w:rPr>
              <w:t>Aandacht in begroting ja/nee</w:t>
            </w:r>
          </w:p>
        </w:tc>
        <w:tc>
          <w:tcPr>
            <w:tcW w:w="2105" w:type="dxa"/>
            <w:shd w:val="clear" w:color="auto" w:fill="C1E4F5" w:themeFill="accent1" w:themeFillTint="33"/>
          </w:tcPr>
          <w:p w:rsidRPr="0006385B" w:rsidR="00891C63" w:rsidP="0014749A" w:rsidRDefault="00891C63" w14:paraId="4D31D911" w14:textId="77777777">
            <w:pPr>
              <w:rPr>
                <w:rFonts w:ascii="Calibri" w:hAnsi="Calibri" w:cs="Calibri"/>
                <w:sz w:val="22"/>
                <w:szCs w:val="22"/>
              </w:rPr>
            </w:pPr>
            <w:r w:rsidRPr="0006385B">
              <w:rPr>
                <w:rFonts w:ascii="Calibri" w:hAnsi="Calibri" w:cs="Calibri"/>
                <w:sz w:val="22"/>
                <w:szCs w:val="22"/>
              </w:rPr>
              <w:t xml:space="preserve">Wijze waarop risico wordt aangepakt </w:t>
            </w:r>
          </w:p>
        </w:tc>
      </w:tr>
      <w:tr w:rsidRPr="0006385B" w:rsidR="00891C63" w:rsidTr="0014749A" w14:paraId="0DD4193A" w14:textId="77777777">
        <w:tc>
          <w:tcPr>
            <w:tcW w:w="1980" w:type="dxa"/>
          </w:tcPr>
          <w:p w:rsidRPr="0006385B" w:rsidR="00891C63" w:rsidP="0014749A" w:rsidRDefault="00891C63" w14:paraId="0933195A" w14:textId="77777777">
            <w:pPr>
              <w:rPr>
                <w:rFonts w:ascii="Calibri" w:hAnsi="Calibri" w:cs="Calibri"/>
                <w:sz w:val="22"/>
                <w:szCs w:val="22"/>
              </w:rPr>
            </w:pPr>
            <w:r w:rsidRPr="0006385B">
              <w:rPr>
                <w:rFonts w:ascii="Calibri" w:hAnsi="Calibri" w:cs="Calibri"/>
                <w:sz w:val="22"/>
                <w:szCs w:val="22"/>
              </w:rPr>
              <w:t>Er komen te weinig woningen bij die geschikt zijn voor ouderen (zie figuur 1).</w:t>
            </w:r>
          </w:p>
        </w:tc>
        <w:tc>
          <w:tcPr>
            <w:tcW w:w="2286" w:type="dxa"/>
          </w:tcPr>
          <w:p w:rsidRPr="0006385B" w:rsidR="00891C63" w:rsidP="0014749A" w:rsidRDefault="00891C63" w14:paraId="0860525D" w14:textId="77777777">
            <w:pPr>
              <w:rPr>
                <w:rFonts w:ascii="Calibri" w:hAnsi="Calibri" w:cs="Calibri"/>
                <w:sz w:val="22"/>
                <w:szCs w:val="22"/>
              </w:rPr>
            </w:pPr>
            <w:r w:rsidRPr="0006385B">
              <w:rPr>
                <w:rFonts w:ascii="Calibri" w:hAnsi="Calibri" w:cs="Calibri"/>
                <w:sz w:val="22"/>
                <w:szCs w:val="22"/>
              </w:rPr>
              <w:t>Algemene Rekenkamer (2025), Verantwoordingsonderzoek BZK 2024</w:t>
            </w:r>
          </w:p>
        </w:tc>
        <w:tc>
          <w:tcPr>
            <w:tcW w:w="1557" w:type="dxa"/>
          </w:tcPr>
          <w:p w:rsidRPr="0006385B" w:rsidR="00891C63" w:rsidP="0014749A" w:rsidRDefault="00891C63" w14:paraId="724463E4" w14:textId="77777777">
            <w:pPr>
              <w:rPr>
                <w:rFonts w:ascii="Calibri" w:hAnsi="Calibri" w:cs="Calibri"/>
                <w:sz w:val="22"/>
                <w:szCs w:val="22"/>
              </w:rPr>
            </w:pPr>
            <w:r w:rsidRPr="0006385B">
              <w:rPr>
                <w:rFonts w:ascii="Calibri" w:hAnsi="Calibri" w:cs="Calibri"/>
                <w:sz w:val="22"/>
                <w:szCs w:val="22"/>
              </w:rPr>
              <w:t>Nee</w:t>
            </w:r>
          </w:p>
        </w:tc>
        <w:tc>
          <w:tcPr>
            <w:tcW w:w="2105" w:type="dxa"/>
          </w:tcPr>
          <w:p w:rsidRPr="0006385B" w:rsidR="00891C63" w:rsidP="0014749A" w:rsidRDefault="00891C63" w14:paraId="44B9252D" w14:textId="77777777">
            <w:pPr>
              <w:rPr>
                <w:rFonts w:ascii="Calibri" w:hAnsi="Calibri" w:cs="Calibri"/>
                <w:sz w:val="22"/>
                <w:szCs w:val="22"/>
              </w:rPr>
            </w:pPr>
            <w:r w:rsidRPr="0006385B">
              <w:rPr>
                <w:rFonts w:ascii="Calibri" w:hAnsi="Calibri" w:cs="Calibri"/>
                <w:sz w:val="22"/>
                <w:szCs w:val="22"/>
              </w:rPr>
              <w:t>Programma Wonen en Zorg voor Ouderen.</w:t>
            </w:r>
          </w:p>
        </w:tc>
      </w:tr>
      <w:tr w:rsidRPr="0006385B" w:rsidR="00891C63" w:rsidTr="0014749A" w14:paraId="5583A46B" w14:textId="77777777">
        <w:tc>
          <w:tcPr>
            <w:tcW w:w="1980" w:type="dxa"/>
          </w:tcPr>
          <w:p w:rsidRPr="0006385B" w:rsidR="00891C63" w:rsidP="0014749A" w:rsidRDefault="00891C63" w14:paraId="1CD86C70" w14:textId="77777777">
            <w:pPr>
              <w:rPr>
                <w:rFonts w:ascii="Calibri" w:hAnsi="Calibri" w:cs="Calibri"/>
                <w:sz w:val="22"/>
                <w:szCs w:val="22"/>
              </w:rPr>
            </w:pPr>
            <w:r w:rsidRPr="0006385B">
              <w:rPr>
                <w:rFonts w:ascii="Calibri" w:hAnsi="Calibri" w:cs="Calibri"/>
                <w:sz w:val="22"/>
                <w:szCs w:val="22"/>
              </w:rPr>
              <w:t>Aandeel sociale huur blijft onder de 30%.</w:t>
            </w:r>
          </w:p>
        </w:tc>
        <w:tc>
          <w:tcPr>
            <w:tcW w:w="2286" w:type="dxa"/>
          </w:tcPr>
          <w:p w:rsidRPr="0006385B" w:rsidR="00891C63" w:rsidP="0014749A" w:rsidRDefault="00891C63" w14:paraId="35C4B82A" w14:textId="77777777">
            <w:pPr>
              <w:rPr>
                <w:rFonts w:ascii="Calibri" w:hAnsi="Calibri" w:cs="Calibri"/>
                <w:sz w:val="22"/>
                <w:szCs w:val="22"/>
              </w:rPr>
            </w:pPr>
            <w:r w:rsidRPr="0006385B">
              <w:rPr>
                <w:rFonts w:ascii="Calibri" w:hAnsi="Calibri" w:cs="Calibri"/>
                <w:sz w:val="22"/>
                <w:szCs w:val="22"/>
              </w:rPr>
              <w:t>Autoriteit woningcorporaties (2025), Staat van de corporatiesector 2025</w:t>
            </w:r>
          </w:p>
        </w:tc>
        <w:tc>
          <w:tcPr>
            <w:tcW w:w="1557" w:type="dxa"/>
          </w:tcPr>
          <w:p w:rsidRPr="0006385B" w:rsidR="00891C63" w:rsidP="0014749A" w:rsidRDefault="00891C63" w14:paraId="56D9F4EE" w14:textId="77777777">
            <w:pPr>
              <w:rPr>
                <w:rFonts w:ascii="Calibri" w:hAnsi="Calibri" w:cs="Calibri"/>
                <w:sz w:val="22"/>
                <w:szCs w:val="22"/>
              </w:rPr>
            </w:pPr>
            <w:r w:rsidRPr="0006385B">
              <w:rPr>
                <w:rFonts w:ascii="Calibri" w:hAnsi="Calibri" w:cs="Calibri"/>
                <w:sz w:val="22"/>
                <w:szCs w:val="22"/>
              </w:rPr>
              <w:t>Nee</w:t>
            </w:r>
          </w:p>
        </w:tc>
        <w:tc>
          <w:tcPr>
            <w:tcW w:w="2105" w:type="dxa"/>
          </w:tcPr>
          <w:p w:rsidRPr="0006385B" w:rsidR="00891C63" w:rsidP="0014749A" w:rsidRDefault="00891C63" w14:paraId="029627DB" w14:textId="77777777">
            <w:pPr>
              <w:rPr>
                <w:rFonts w:ascii="Calibri" w:hAnsi="Calibri" w:cs="Calibri"/>
                <w:sz w:val="22"/>
                <w:szCs w:val="22"/>
              </w:rPr>
            </w:pPr>
            <w:r w:rsidRPr="0006385B">
              <w:rPr>
                <w:rFonts w:ascii="Calibri" w:hAnsi="Calibri" w:cs="Calibri"/>
                <w:sz w:val="22"/>
                <w:szCs w:val="22"/>
              </w:rPr>
              <w:t>Nationale Prestatie Afspraken, Wetsvoorstel Versterking regie volkshuisvesting.</w:t>
            </w:r>
          </w:p>
        </w:tc>
      </w:tr>
      <w:tr w:rsidRPr="0006385B" w:rsidR="00891C63" w:rsidTr="0014749A" w14:paraId="7974AF0A" w14:textId="77777777">
        <w:tc>
          <w:tcPr>
            <w:tcW w:w="1980" w:type="dxa"/>
          </w:tcPr>
          <w:p w:rsidRPr="0006385B" w:rsidR="00891C63" w:rsidP="0014749A" w:rsidRDefault="00891C63" w14:paraId="36478EFD" w14:textId="77777777">
            <w:pPr>
              <w:rPr>
                <w:rFonts w:ascii="Calibri" w:hAnsi="Calibri" w:cs="Calibri"/>
                <w:sz w:val="22"/>
                <w:szCs w:val="22"/>
              </w:rPr>
            </w:pPr>
            <w:r w:rsidRPr="0006385B">
              <w:rPr>
                <w:rFonts w:ascii="Calibri" w:hAnsi="Calibri" w:cs="Calibri"/>
                <w:sz w:val="22"/>
                <w:szCs w:val="22"/>
              </w:rPr>
              <w:t xml:space="preserve">Verbeterdoelen van de Omgevingswet </w:t>
            </w:r>
            <w:r w:rsidRPr="0006385B">
              <w:rPr>
                <w:rFonts w:ascii="Calibri" w:hAnsi="Calibri" w:cs="Calibri"/>
                <w:sz w:val="22"/>
                <w:szCs w:val="22"/>
              </w:rPr>
              <w:lastRenderedPageBreak/>
              <w:t>worden niet of slechts deels bereikt doordat de mogelijkheden van de Omgevingswet niet genoeg worden benut.</w:t>
            </w:r>
          </w:p>
        </w:tc>
        <w:tc>
          <w:tcPr>
            <w:tcW w:w="2286" w:type="dxa"/>
          </w:tcPr>
          <w:p w:rsidRPr="0006385B" w:rsidR="00891C63" w:rsidP="0014749A" w:rsidRDefault="00891C63" w14:paraId="724562E3" w14:textId="77777777">
            <w:pPr>
              <w:rPr>
                <w:rFonts w:ascii="Calibri" w:hAnsi="Calibri" w:cs="Calibri"/>
                <w:sz w:val="22"/>
                <w:szCs w:val="22"/>
              </w:rPr>
            </w:pPr>
            <w:r w:rsidRPr="0006385B">
              <w:rPr>
                <w:rFonts w:ascii="Calibri" w:hAnsi="Calibri" w:cs="Calibri"/>
                <w:sz w:val="22"/>
                <w:szCs w:val="22"/>
              </w:rPr>
              <w:lastRenderedPageBreak/>
              <w:t>Evaluatiecommissie Omgevingswet (2025), In werking,</w:t>
            </w:r>
          </w:p>
          <w:p w:rsidRPr="0006385B" w:rsidR="00891C63" w:rsidP="0014749A" w:rsidRDefault="00891C63" w14:paraId="6AEF9CA4" w14:textId="77777777">
            <w:pPr>
              <w:rPr>
                <w:rFonts w:ascii="Calibri" w:hAnsi="Calibri" w:cs="Calibri"/>
                <w:sz w:val="22"/>
                <w:szCs w:val="22"/>
              </w:rPr>
            </w:pPr>
            <w:r w:rsidRPr="0006385B">
              <w:rPr>
                <w:rFonts w:ascii="Calibri" w:hAnsi="Calibri" w:cs="Calibri"/>
                <w:sz w:val="22"/>
                <w:szCs w:val="22"/>
              </w:rPr>
              <w:lastRenderedPageBreak/>
              <w:t>maar onderbenut</w:t>
            </w:r>
          </w:p>
          <w:p w:rsidRPr="0006385B" w:rsidR="00891C63" w:rsidP="0014749A" w:rsidRDefault="00891C63" w14:paraId="05593B4A" w14:textId="77777777">
            <w:pPr>
              <w:rPr>
                <w:rFonts w:ascii="Calibri" w:hAnsi="Calibri" w:cs="Calibri"/>
                <w:sz w:val="22"/>
                <w:szCs w:val="22"/>
              </w:rPr>
            </w:pPr>
            <w:r w:rsidRPr="0006385B">
              <w:rPr>
                <w:rFonts w:ascii="Calibri" w:hAnsi="Calibri" w:cs="Calibri"/>
                <w:sz w:val="22"/>
                <w:szCs w:val="22"/>
              </w:rPr>
              <w:t>Reflectierapport</w:t>
            </w:r>
          </w:p>
          <w:p w:rsidRPr="0006385B" w:rsidR="00891C63" w:rsidP="0014749A" w:rsidRDefault="00891C63" w14:paraId="4B44352A" w14:textId="77777777">
            <w:pPr>
              <w:rPr>
                <w:rFonts w:ascii="Calibri" w:hAnsi="Calibri" w:cs="Calibri"/>
                <w:sz w:val="22"/>
                <w:szCs w:val="22"/>
              </w:rPr>
            </w:pPr>
            <w:r w:rsidRPr="0006385B">
              <w:rPr>
                <w:rFonts w:ascii="Calibri" w:hAnsi="Calibri" w:cs="Calibri"/>
                <w:sz w:val="22"/>
                <w:szCs w:val="22"/>
              </w:rPr>
              <w:t>Omgevingswet 2024.</w:t>
            </w:r>
          </w:p>
        </w:tc>
        <w:tc>
          <w:tcPr>
            <w:tcW w:w="1557" w:type="dxa"/>
          </w:tcPr>
          <w:p w:rsidRPr="0006385B" w:rsidR="00891C63" w:rsidP="0014749A" w:rsidRDefault="00891C63" w14:paraId="12B85757" w14:textId="77777777">
            <w:pPr>
              <w:rPr>
                <w:rFonts w:ascii="Calibri" w:hAnsi="Calibri" w:cs="Calibri"/>
                <w:sz w:val="22"/>
                <w:szCs w:val="22"/>
              </w:rPr>
            </w:pPr>
            <w:r w:rsidRPr="0006385B">
              <w:rPr>
                <w:rFonts w:ascii="Calibri" w:hAnsi="Calibri" w:cs="Calibri"/>
                <w:sz w:val="22"/>
                <w:szCs w:val="22"/>
              </w:rPr>
              <w:lastRenderedPageBreak/>
              <w:t>Nee</w:t>
            </w:r>
          </w:p>
        </w:tc>
        <w:tc>
          <w:tcPr>
            <w:tcW w:w="2105" w:type="dxa"/>
          </w:tcPr>
          <w:p w:rsidRPr="0006385B" w:rsidR="00891C63" w:rsidP="0014749A" w:rsidRDefault="00891C63" w14:paraId="44FB583B" w14:textId="77777777">
            <w:pPr>
              <w:rPr>
                <w:rFonts w:ascii="Calibri" w:hAnsi="Calibri" w:cs="Calibri"/>
                <w:sz w:val="22"/>
                <w:szCs w:val="22"/>
              </w:rPr>
            </w:pPr>
            <w:r w:rsidRPr="0006385B">
              <w:rPr>
                <w:rFonts w:ascii="Calibri" w:hAnsi="Calibri" w:cs="Calibri"/>
                <w:sz w:val="22"/>
                <w:szCs w:val="22"/>
              </w:rPr>
              <w:t xml:space="preserve">Ondersteuning vanuit het Rijk voor medeoverheden. </w:t>
            </w:r>
            <w:r w:rsidRPr="0006385B">
              <w:rPr>
                <w:rFonts w:ascii="Calibri" w:hAnsi="Calibri" w:cs="Calibri"/>
                <w:sz w:val="22"/>
                <w:szCs w:val="22"/>
              </w:rPr>
              <w:lastRenderedPageBreak/>
              <w:t xml:space="preserve">Het interbestuurlijke programma Aan de Slag met de Omgevingswet is afgelopen op 30 juni 2025.  </w:t>
            </w:r>
          </w:p>
        </w:tc>
      </w:tr>
      <w:tr w:rsidRPr="0006385B" w:rsidR="00891C63" w:rsidTr="0014749A" w14:paraId="184E82D0" w14:textId="77777777">
        <w:tc>
          <w:tcPr>
            <w:tcW w:w="1980" w:type="dxa"/>
          </w:tcPr>
          <w:p w:rsidRPr="0006385B" w:rsidR="00891C63" w:rsidP="0014749A" w:rsidRDefault="00891C63" w14:paraId="0C6C0A26" w14:textId="77777777">
            <w:pPr>
              <w:rPr>
                <w:rFonts w:ascii="Calibri" w:hAnsi="Calibri" w:cs="Calibri"/>
                <w:sz w:val="22"/>
                <w:szCs w:val="22"/>
              </w:rPr>
            </w:pPr>
            <w:r w:rsidRPr="0006385B">
              <w:rPr>
                <w:rFonts w:ascii="Calibri" w:hAnsi="Calibri" w:cs="Calibri"/>
                <w:sz w:val="22"/>
                <w:szCs w:val="22"/>
              </w:rPr>
              <w:lastRenderedPageBreak/>
              <w:t>De invoering van de Wet versterking regie volkshuisvesting maakt deel uit van het Herstel en Veerkrachtplan (HVP). De vertraging bij de invoering van de wet kan een risico vormen voor de betalingen van de Europese Commissie aan Nederland op basis van het HVP.</w:t>
            </w:r>
          </w:p>
        </w:tc>
        <w:tc>
          <w:tcPr>
            <w:tcW w:w="2286" w:type="dxa"/>
          </w:tcPr>
          <w:p w:rsidRPr="0006385B" w:rsidR="00891C63" w:rsidP="0014749A" w:rsidRDefault="00891C63" w14:paraId="27CDFC7E" w14:textId="77777777">
            <w:pPr>
              <w:rPr>
                <w:rFonts w:ascii="Calibri" w:hAnsi="Calibri" w:cs="Calibri"/>
                <w:sz w:val="22"/>
                <w:szCs w:val="22"/>
              </w:rPr>
            </w:pPr>
            <w:r w:rsidRPr="0006385B">
              <w:rPr>
                <w:rFonts w:ascii="Calibri" w:hAnsi="Calibri" w:cs="Calibri"/>
                <w:sz w:val="22"/>
                <w:szCs w:val="22"/>
              </w:rPr>
              <w:t>Brief van de minister van Financiën aan de Tweede Kamer, 17 april 2025.</w:t>
            </w:r>
          </w:p>
        </w:tc>
        <w:tc>
          <w:tcPr>
            <w:tcW w:w="1557" w:type="dxa"/>
          </w:tcPr>
          <w:p w:rsidRPr="0006385B" w:rsidR="00891C63" w:rsidP="0014749A" w:rsidRDefault="00891C63" w14:paraId="245C3974" w14:textId="77777777">
            <w:pPr>
              <w:rPr>
                <w:rFonts w:ascii="Calibri" w:hAnsi="Calibri" w:cs="Calibri"/>
                <w:sz w:val="22"/>
                <w:szCs w:val="22"/>
              </w:rPr>
            </w:pPr>
            <w:r w:rsidRPr="0006385B">
              <w:rPr>
                <w:rFonts w:ascii="Calibri" w:hAnsi="Calibri" w:cs="Calibri"/>
                <w:sz w:val="22"/>
                <w:szCs w:val="22"/>
              </w:rPr>
              <w:t>Ja</w:t>
            </w:r>
          </w:p>
        </w:tc>
        <w:tc>
          <w:tcPr>
            <w:tcW w:w="2105" w:type="dxa"/>
          </w:tcPr>
          <w:p w:rsidRPr="0006385B" w:rsidR="00891C63" w:rsidP="0014749A" w:rsidRDefault="00891C63" w14:paraId="0114DC27" w14:textId="77777777">
            <w:pPr>
              <w:rPr>
                <w:rFonts w:ascii="Calibri" w:hAnsi="Calibri" w:cs="Calibri"/>
                <w:sz w:val="22"/>
                <w:szCs w:val="22"/>
              </w:rPr>
            </w:pPr>
            <w:r w:rsidRPr="0006385B">
              <w:rPr>
                <w:rFonts w:ascii="Calibri" w:hAnsi="Calibri" w:cs="Calibri"/>
                <w:sz w:val="22"/>
                <w:szCs w:val="22"/>
              </w:rPr>
              <w:t>Nederland kan een wijzigingsverzoek indienen bij de Europese Commissie met gewijzigde afspraken over mijlpalen.</w:t>
            </w:r>
          </w:p>
        </w:tc>
      </w:tr>
    </w:tbl>
    <w:p w:rsidRPr="0006385B" w:rsidR="00891C63" w:rsidP="00891C63" w:rsidRDefault="00891C63" w14:paraId="16FD1359" w14:textId="77777777">
      <w:pPr>
        <w:rPr>
          <w:rFonts w:ascii="Calibri" w:hAnsi="Calibri" w:cs="Calibri"/>
        </w:rPr>
      </w:pPr>
    </w:p>
    <w:p w:rsidRPr="0006385B" w:rsidR="00891C63" w:rsidP="00891C63" w:rsidRDefault="00891C63" w14:paraId="05DBFBA4" w14:textId="77777777">
      <w:pPr>
        <w:rPr>
          <w:rFonts w:ascii="Calibri" w:hAnsi="Calibri" w:cs="Calibri"/>
        </w:rPr>
      </w:pPr>
      <w:r w:rsidRPr="0006385B">
        <w:rPr>
          <w:rFonts w:ascii="Calibri" w:hAnsi="Calibri" w:cs="Calibri"/>
          <w:noProof/>
        </w:rPr>
        <w:drawing>
          <wp:anchor distT="0" distB="0" distL="114300" distR="114300" simplePos="0" relativeHeight="251659264" behindDoc="0" locked="0" layoutInCell="1" allowOverlap="1" wp14:editId="2983D9D5" wp14:anchorId="2741C58E">
            <wp:simplePos x="0" y="0"/>
            <wp:positionH relativeFrom="margin">
              <wp:align>right</wp:align>
            </wp:positionH>
            <wp:positionV relativeFrom="paragraph">
              <wp:posOffset>607060</wp:posOffset>
            </wp:positionV>
            <wp:extent cx="5041900" cy="1770380"/>
            <wp:effectExtent l="0" t="0" r="6350" b="1270"/>
            <wp:wrapTopAndBottom/>
            <wp:docPr id="1358323817" name="Afbeelding 1358323817" descr="Afbeelding met tekst, schermopname, Lettertype, Elektrisch bla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23817" name="Afbeelding 1358323817" descr="Afbeelding met tekst, schermopname, Lettertype, Elektrisch blauw&#10;&#10;Door AI gegenereerde inhoud is mogelijk onjuist."/>
                    <pic:cNvPicPr/>
                  </pic:nvPicPr>
                  <pic:blipFill rotWithShape="1">
                    <a:blip r:embed="rId10" cstate="print">
                      <a:extLst>
                        <a:ext uri="{28A0092B-C50C-407E-A947-70E740481C1C}">
                          <a14:useLocalDpi xmlns:a14="http://schemas.microsoft.com/office/drawing/2010/main" val="0"/>
                        </a:ext>
                      </a:extLst>
                    </a:blip>
                    <a:srcRect t="10873" r="8541" b="14193"/>
                    <a:stretch/>
                  </pic:blipFill>
                  <pic:spPr bwMode="auto">
                    <a:xfrm>
                      <a:off x="0" y="0"/>
                      <a:ext cx="5041900" cy="1770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6385B">
        <w:rPr>
          <w:rFonts w:ascii="Calibri" w:hAnsi="Calibri" w:cs="Calibri"/>
          <w:b/>
        </w:rPr>
        <w:t>Figuur 1: Aantal woningen voor ouderen in de lokale plannen, de afspraken in de woondeals en het doel van de minister.</w:t>
      </w:r>
    </w:p>
    <w:p w:rsidRPr="0006385B" w:rsidR="00891C63" w:rsidP="00891C63" w:rsidRDefault="00891C63" w14:paraId="6351642E" w14:textId="77777777">
      <w:pPr>
        <w:rPr>
          <w:rFonts w:ascii="Calibri" w:hAnsi="Calibri" w:cs="Calibri"/>
        </w:rPr>
      </w:pPr>
    </w:p>
    <w:p w:rsidRPr="0006385B" w:rsidR="00891C63" w:rsidP="00891C63" w:rsidRDefault="00891C63" w14:paraId="447D379A" w14:textId="77777777">
      <w:pPr>
        <w:rPr>
          <w:rFonts w:ascii="Calibri" w:hAnsi="Calibri" w:cs="Calibri"/>
        </w:rPr>
      </w:pPr>
    </w:p>
    <w:p w:rsidRPr="0006385B" w:rsidR="00891C63" w:rsidP="00891C63" w:rsidRDefault="00891C63" w14:paraId="12CAECE9" w14:textId="77777777">
      <w:pPr>
        <w:rPr>
          <w:rFonts w:ascii="Calibri" w:hAnsi="Calibri" w:cs="Calibri"/>
        </w:rPr>
      </w:pPr>
      <w:r w:rsidRPr="0006385B">
        <w:rPr>
          <w:rFonts w:ascii="Calibri" w:hAnsi="Calibri" w:cs="Calibri"/>
        </w:rPr>
        <w:t>Wij vragen uw aandacht voor deze risico’s want deze kunnen uiteindelijk gevolgen  hebben voor de raming (begroting) en het bereiken van afgesproken resultaten.</w:t>
      </w:r>
    </w:p>
    <w:p w:rsidRPr="0006385B" w:rsidR="00891C63" w:rsidP="00891C63" w:rsidRDefault="00891C63" w14:paraId="0DEF5195" w14:textId="77777777">
      <w:pPr>
        <w:rPr>
          <w:rFonts w:ascii="Calibri" w:hAnsi="Calibri" w:cs="Calibri"/>
        </w:rPr>
      </w:pPr>
    </w:p>
    <w:p w:rsidRPr="0006385B" w:rsidR="00891C63" w:rsidP="00891C63" w:rsidRDefault="00891C63" w14:paraId="311977AE" w14:textId="77777777">
      <w:pPr>
        <w:rPr>
          <w:rFonts w:ascii="Calibri" w:hAnsi="Calibri" w:cs="Calibri"/>
        </w:rPr>
      </w:pPr>
      <w:r w:rsidRPr="0006385B">
        <w:rPr>
          <w:rFonts w:ascii="Calibri" w:hAnsi="Calibri" w:cs="Calibri"/>
        </w:rPr>
        <w:t xml:space="preserve">Wij vertrouwen erop dat deze brief behulpzaam is bij de begrotingsbehandeling in uw Kamer. </w:t>
      </w:r>
    </w:p>
    <w:p w:rsidRPr="0006385B" w:rsidR="00891C63" w:rsidP="00891C63" w:rsidRDefault="00891C63" w14:paraId="39110AAE" w14:textId="77777777">
      <w:pPr>
        <w:rPr>
          <w:rFonts w:ascii="Calibri" w:hAnsi="Calibri" w:cs="Calibri"/>
        </w:rPr>
      </w:pPr>
    </w:p>
    <w:p w:rsidRPr="0006385B" w:rsidR="0082335F" w:rsidP="0082335F" w:rsidRDefault="0082335F" w14:paraId="099FE4EA" w14:textId="77777777">
      <w:pPr>
        <w:rPr>
          <w:rFonts w:ascii="Calibri" w:hAnsi="Calibri" w:cs="Calibri"/>
        </w:rPr>
      </w:pPr>
      <w:r w:rsidRPr="0006385B">
        <w:rPr>
          <w:rFonts w:ascii="Calibri" w:hAnsi="Calibri" w:cs="Calibri"/>
        </w:rPr>
        <w:t>Algemene Rekenkamer</w:t>
      </w:r>
    </w:p>
    <w:p w:rsidRPr="0006385B" w:rsidR="0082335F" w:rsidP="0082335F" w:rsidRDefault="0082335F" w14:paraId="561DAC57" w14:textId="77777777">
      <w:pPr>
        <w:pStyle w:val="Geenafstand"/>
        <w:rPr>
          <w:rFonts w:cs="Calibri"/>
        </w:rPr>
      </w:pPr>
      <w:r w:rsidRPr="0006385B">
        <w:rPr>
          <w:rFonts w:cs="Calibri"/>
        </w:rPr>
        <w:t xml:space="preserve">drs. P.J. (Pieter) </w:t>
      </w:r>
      <w:proofErr w:type="spellStart"/>
      <w:r w:rsidRPr="0006385B">
        <w:rPr>
          <w:rFonts w:cs="Calibri"/>
        </w:rPr>
        <w:t>Duisenberg</w:t>
      </w:r>
      <w:proofErr w:type="spellEnd"/>
      <w:r w:rsidRPr="0006385B">
        <w:rPr>
          <w:rFonts w:cs="Calibri"/>
        </w:rPr>
        <w:t xml:space="preserve">, </w:t>
      </w:r>
    </w:p>
    <w:p w:rsidRPr="0006385B" w:rsidR="0082335F" w:rsidP="0082335F" w:rsidRDefault="0082335F" w14:paraId="4B695C72" w14:textId="77777777">
      <w:pPr>
        <w:pStyle w:val="Geenafstand"/>
        <w:rPr>
          <w:rFonts w:cs="Calibri"/>
        </w:rPr>
      </w:pPr>
      <w:r w:rsidRPr="0006385B">
        <w:rPr>
          <w:rFonts w:cs="Calibri"/>
        </w:rPr>
        <w:t>president</w:t>
      </w:r>
    </w:p>
    <w:p w:rsidRPr="0006385B" w:rsidR="0082335F" w:rsidP="0082335F" w:rsidRDefault="0082335F" w14:paraId="240C6F43" w14:textId="77777777">
      <w:pPr>
        <w:rPr>
          <w:rFonts w:ascii="Calibri" w:hAnsi="Calibri" w:cs="Calibri"/>
        </w:rPr>
      </w:pPr>
    </w:p>
    <w:p w:rsidRPr="0006385B" w:rsidR="0082335F" w:rsidP="0082335F" w:rsidRDefault="0082335F" w14:paraId="0C151BC2" w14:textId="77777777">
      <w:pPr>
        <w:pStyle w:val="Geenafstand"/>
        <w:rPr>
          <w:rFonts w:cs="Calibri"/>
        </w:rPr>
      </w:pPr>
      <w:r w:rsidRPr="0006385B">
        <w:rPr>
          <w:rFonts w:cs="Calibri"/>
        </w:rPr>
        <w:t>drs. C. (Cornelis) van der Werf,</w:t>
      </w:r>
    </w:p>
    <w:p w:rsidRPr="0006385B" w:rsidR="0082335F" w:rsidP="0082335F" w:rsidRDefault="0082335F" w14:paraId="20D6A0B8" w14:textId="77777777">
      <w:pPr>
        <w:pStyle w:val="Geenafstand"/>
        <w:rPr>
          <w:rFonts w:cs="Calibri"/>
        </w:rPr>
      </w:pPr>
      <w:r w:rsidRPr="0006385B">
        <w:rPr>
          <w:rFonts w:cs="Calibri"/>
        </w:rPr>
        <w:t>secretaris</w:t>
      </w:r>
    </w:p>
    <w:p w:rsidRPr="0006385B" w:rsidR="0082335F" w:rsidP="0082335F" w:rsidRDefault="0082335F" w14:paraId="64E07202" w14:textId="77777777">
      <w:pPr>
        <w:rPr>
          <w:rFonts w:ascii="Calibri" w:hAnsi="Calibri" w:cs="Calibri"/>
        </w:rPr>
      </w:pPr>
    </w:p>
    <w:p w:rsidRPr="0006385B" w:rsidR="00891C63" w:rsidP="00891C63" w:rsidRDefault="00891C63" w14:paraId="384973AA" w14:textId="77777777">
      <w:pPr>
        <w:rPr>
          <w:rFonts w:ascii="Calibri" w:hAnsi="Calibri" w:cs="Calibri"/>
        </w:rPr>
      </w:pPr>
    </w:p>
    <w:sectPr w:rsidRPr="0006385B" w:rsidR="00891C63" w:rsidSect="00891C63">
      <w:headerReference w:type="even" r:id="rId11"/>
      <w:headerReference w:type="default" r:id="rId12"/>
      <w:footerReference w:type="even" r:id="rId13"/>
      <w:footerReference w:type="default" r:id="rId14"/>
      <w:headerReference w:type="first" r:id="rId15"/>
      <w:footerReference w:type="first" r:id="rId16"/>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86D5C" w14:textId="77777777" w:rsidR="00891C63" w:rsidRDefault="00891C63" w:rsidP="00891C63">
      <w:pPr>
        <w:spacing w:after="0" w:line="240" w:lineRule="auto"/>
      </w:pPr>
      <w:r>
        <w:separator/>
      </w:r>
    </w:p>
  </w:endnote>
  <w:endnote w:type="continuationSeparator" w:id="0">
    <w:p w14:paraId="2754FCE8" w14:textId="77777777" w:rsidR="00891C63" w:rsidRDefault="00891C63" w:rsidP="00891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C5B2" w14:textId="77777777" w:rsidR="00891C63" w:rsidRPr="00891C63" w:rsidRDefault="00891C63" w:rsidP="00891C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CE27" w14:textId="77777777" w:rsidR="00891C63" w:rsidRPr="00891C63" w:rsidRDefault="00891C63" w:rsidP="00891C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C6E3" w14:textId="77777777" w:rsidR="00891C63" w:rsidRPr="00891C63" w:rsidRDefault="00891C63" w:rsidP="00891C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AF53D" w14:textId="77777777" w:rsidR="00891C63" w:rsidRDefault="00891C63" w:rsidP="00891C63">
      <w:pPr>
        <w:spacing w:after="0" w:line="240" w:lineRule="auto"/>
      </w:pPr>
      <w:r>
        <w:separator/>
      </w:r>
    </w:p>
  </w:footnote>
  <w:footnote w:type="continuationSeparator" w:id="0">
    <w:p w14:paraId="2F290F4C" w14:textId="77777777" w:rsidR="00891C63" w:rsidRDefault="00891C63" w:rsidP="00891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7DD9" w14:textId="77777777" w:rsidR="00891C63" w:rsidRPr="00891C63" w:rsidRDefault="00891C63" w:rsidP="00891C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7581" w14:textId="77777777" w:rsidR="00891C63" w:rsidRPr="00891C63" w:rsidRDefault="00891C63" w:rsidP="00891C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6EAB" w14:textId="77777777" w:rsidR="00891C63" w:rsidRPr="00891C63" w:rsidRDefault="00891C63" w:rsidP="00891C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46099266">
    <w:abstractNumId w:val="2"/>
  </w:num>
  <w:num w:numId="2" w16cid:durableId="1259557217">
    <w:abstractNumId w:val="0"/>
  </w:num>
  <w:num w:numId="3" w16cid:durableId="2030520179">
    <w:abstractNumId w:val="1"/>
  </w:num>
  <w:num w:numId="4" w16cid:durableId="241332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C63"/>
    <w:rsid w:val="0006385B"/>
    <w:rsid w:val="001330AD"/>
    <w:rsid w:val="002E3E61"/>
    <w:rsid w:val="00423184"/>
    <w:rsid w:val="004F3058"/>
    <w:rsid w:val="0082335F"/>
    <w:rsid w:val="00891C63"/>
    <w:rsid w:val="00CB31BA"/>
    <w:rsid w:val="00D8628D"/>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0B53F"/>
  <w15:chartTrackingRefBased/>
  <w15:docId w15:val="{950F0DD0-A5E9-4140-BF79-BB991376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891C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1"/>
    <w:unhideWhenUsed/>
    <w:qFormat/>
    <w:rsid w:val="00891C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1"/>
    <w:unhideWhenUsed/>
    <w:qFormat/>
    <w:rsid w:val="00891C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1C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1C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1C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1C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1C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1C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891C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1C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1C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1C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1C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1C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1C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1C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1C63"/>
    <w:rPr>
      <w:rFonts w:eastAsiaTheme="majorEastAsia" w:cstheme="majorBidi"/>
      <w:color w:val="272727" w:themeColor="text1" w:themeTint="D8"/>
    </w:rPr>
  </w:style>
  <w:style w:type="paragraph" w:styleId="Titel">
    <w:name w:val="Title"/>
    <w:basedOn w:val="Standaard"/>
    <w:next w:val="Standaard"/>
    <w:link w:val="TitelChar"/>
    <w:uiPriority w:val="10"/>
    <w:qFormat/>
    <w:rsid w:val="00891C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1C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1C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1C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1C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1C63"/>
    <w:rPr>
      <w:i/>
      <w:iCs/>
      <w:color w:val="404040" w:themeColor="text1" w:themeTint="BF"/>
    </w:rPr>
  </w:style>
  <w:style w:type="paragraph" w:styleId="Lijstalinea">
    <w:name w:val="List Paragraph"/>
    <w:basedOn w:val="Standaard"/>
    <w:uiPriority w:val="34"/>
    <w:qFormat/>
    <w:rsid w:val="00891C63"/>
    <w:pPr>
      <w:ind w:left="720"/>
      <w:contextualSpacing/>
    </w:pPr>
  </w:style>
  <w:style w:type="character" w:styleId="Intensievebenadrukking">
    <w:name w:val="Intense Emphasis"/>
    <w:basedOn w:val="Standaardalinea-lettertype"/>
    <w:uiPriority w:val="21"/>
    <w:qFormat/>
    <w:rsid w:val="00891C63"/>
    <w:rPr>
      <w:i/>
      <w:iCs/>
      <w:color w:val="0F4761" w:themeColor="accent1" w:themeShade="BF"/>
    </w:rPr>
  </w:style>
  <w:style w:type="paragraph" w:styleId="Duidelijkcitaat">
    <w:name w:val="Intense Quote"/>
    <w:basedOn w:val="Standaard"/>
    <w:next w:val="Standaard"/>
    <w:link w:val="DuidelijkcitaatChar"/>
    <w:uiPriority w:val="30"/>
    <w:qFormat/>
    <w:rsid w:val="00891C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1C63"/>
    <w:rPr>
      <w:i/>
      <w:iCs/>
      <w:color w:val="0F4761" w:themeColor="accent1" w:themeShade="BF"/>
    </w:rPr>
  </w:style>
  <w:style w:type="character" w:styleId="Intensieveverwijzing">
    <w:name w:val="Intense Reference"/>
    <w:basedOn w:val="Standaardalinea-lettertype"/>
    <w:uiPriority w:val="32"/>
    <w:qFormat/>
    <w:rsid w:val="00891C63"/>
    <w:rPr>
      <w:b/>
      <w:bCs/>
      <w:smallCaps/>
      <w:color w:val="0F4761" w:themeColor="accent1" w:themeShade="BF"/>
      <w:spacing w:val="5"/>
    </w:rPr>
  </w:style>
  <w:style w:type="paragraph" w:styleId="Koptekst">
    <w:name w:val="header"/>
    <w:basedOn w:val="Standaard"/>
    <w:link w:val="KoptekstChar"/>
    <w:uiPriority w:val="99"/>
    <w:unhideWhenUsed/>
    <w:rsid w:val="00891C63"/>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KoptekstChar">
    <w:name w:val="Koptekst Char"/>
    <w:basedOn w:val="Standaardalinea-lettertype"/>
    <w:link w:val="Koptekst"/>
    <w:uiPriority w:val="99"/>
    <w:rsid w:val="00891C63"/>
    <w:rPr>
      <w:rFonts w:ascii="Roboto" w:eastAsia="DejaVu Sans" w:hAnsi="Roboto" w:cs="Lohit Hindi"/>
      <w:color w:val="000000"/>
      <w:kern w:val="0"/>
      <w:sz w:val="20"/>
      <w:szCs w:val="20"/>
      <w:lang w:eastAsia="nl-NL"/>
      <w14:ligatures w14:val="none"/>
    </w:rPr>
  </w:style>
  <w:style w:type="paragraph" w:styleId="Voettekst">
    <w:name w:val="footer"/>
    <w:basedOn w:val="Standaard"/>
    <w:link w:val="VoettekstChar"/>
    <w:uiPriority w:val="99"/>
    <w:unhideWhenUsed/>
    <w:rsid w:val="00891C63"/>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tekstChar">
    <w:name w:val="Voettekst Char"/>
    <w:basedOn w:val="Standaardalinea-lettertype"/>
    <w:link w:val="Voettekst"/>
    <w:uiPriority w:val="99"/>
    <w:rsid w:val="00891C63"/>
    <w:rPr>
      <w:rFonts w:ascii="Roboto" w:eastAsia="DejaVu Sans" w:hAnsi="Roboto" w:cs="Lohit Hindi"/>
      <w:color w:val="000000"/>
      <w:kern w:val="0"/>
      <w:sz w:val="20"/>
      <w:szCs w:val="20"/>
      <w:lang w:eastAsia="nl-NL"/>
      <w14:ligatures w14:val="none"/>
    </w:rPr>
  </w:style>
  <w:style w:type="table" w:styleId="Tabelraster">
    <w:name w:val="Table Grid"/>
    <w:basedOn w:val="Standaardtabel"/>
    <w:uiPriority w:val="39"/>
    <w:rsid w:val="00891C63"/>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82335F"/>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1502</ap:Words>
  <ap:Characters>8266</ap:Characters>
  <ap:DocSecurity>0</ap:DocSecurity>
  <ap:Lines>68</ap:Lines>
  <ap:Paragraphs>19</ap:Paragraphs>
  <ap:ScaleCrop>false</ap:ScaleCrop>
  <ap:LinksUpToDate>false</ap:LinksUpToDate>
  <ap:CharactersWithSpaces>9749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2025-09-23T13:45:00.0000000Z</dcterms:created>
  <dcterms:modified xsi:type="dcterms:W3CDTF">2025-09-23T13:45:00.0000000Z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