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7883" w:rsidR="00657883" w:rsidP="00657883" w:rsidRDefault="006C2286" w14:paraId="4A235EF9" w14:textId="610358F0">
      <w:pPr>
        <w:ind w:left="1416" w:hanging="1416"/>
        <w:rPr>
          <w:rFonts w:ascii="Calibri" w:hAnsi="Calibri" w:cs="Calibri"/>
        </w:rPr>
      </w:pPr>
      <w:r w:rsidRPr="00657883">
        <w:rPr>
          <w:rFonts w:ascii="Calibri" w:hAnsi="Calibri" w:cs="Calibri"/>
        </w:rPr>
        <w:t>36800</w:t>
      </w:r>
      <w:r w:rsidRPr="00657883" w:rsidR="00657883">
        <w:rPr>
          <w:rFonts w:ascii="Calibri" w:hAnsi="Calibri" w:cs="Calibri"/>
        </w:rPr>
        <w:t xml:space="preserve"> </w:t>
      </w:r>
      <w:r w:rsidRPr="00657883">
        <w:rPr>
          <w:rFonts w:ascii="Calibri" w:hAnsi="Calibri" w:cs="Calibri"/>
        </w:rPr>
        <w:t>XXIII</w:t>
      </w:r>
      <w:r w:rsidRPr="00657883" w:rsidR="00657883">
        <w:rPr>
          <w:rFonts w:ascii="Calibri" w:hAnsi="Calibri" w:cs="Calibri"/>
        </w:rPr>
        <w:tab/>
        <w:t>Vaststelling van de begrotingsstaten van het Ministerie van Klimaat en Groene Groei (XXIII) voor het jaar 2026</w:t>
      </w:r>
    </w:p>
    <w:p w:rsidRPr="00657883" w:rsidR="00657883" w:rsidP="00657883" w:rsidRDefault="006C2286" w14:paraId="0BDAC322" w14:textId="77777777">
      <w:pPr>
        <w:ind w:left="1410" w:hanging="1410"/>
        <w:rPr>
          <w:rFonts w:ascii="Calibri" w:hAnsi="Calibri" w:cs="Calibri"/>
        </w:rPr>
      </w:pPr>
      <w:r w:rsidRPr="00657883">
        <w:rPr>
          <w:rFonts w:ascii="Calibri" w:hAnsi="Calibri" w:cs="Calibri"/>
        </w:rPr>
        <w:t>36800</w:t>
      </w:r>
      <w:r w:rsidRPr="00657883" w:rsidR="00657883">
        <w:rPr>
          <w:rFonts w:ascii="Calibri" w:hAnsi="Calibri" w:cs="Calibri"/>
        </w:rPr>
        <w:t xml:space="preserve"> </w:t>
      </w:r>
      <w:r w:rsidRPr="00657883">
        <w:rPr>
          <w:rFonts w:ascii="Calibri" w:hAnsi="Calibri" w:cs="Calibri"/>
        </w:rPr>
        <w:t>M</w:t>
      </w:r>
      <w:r w:rsidRPr="00657883" w:rsidR="00657883">
        <w:rPr>
          <w:rFonts w:ascii="Calibri" w:hAnsi="Calibri" w:cs="Calibri"/>
        </w:rPr>
        <w:tab/>
        <w:t>Vaststelling van de begrotingsstaat van het Klimaatfonds voor het jaar 2026</w:t>
      </w:r>
    </w:p>
    <w:p w:rsidRPr="00657883" w:rsidR="00657883" w:rsidP="006C2286" w:rsidRDefault="00657883" w14:paraId="50086613" w14:textId="77777777">
      <w:pPr>
        <w:rPr>
          <w:rFonts w:ascii="Calibri" w:hAnsi="Calibri" w:cs="Calibri"/>
        </w:rPr>
      </w:pPr>
      <w:r w:rsidRPr="00657883">
        <w:rPr>
          <w:rFonts w:ascii="Calibri" w:hAnsi="Calibri" w:cs="Calibri"/>
        </w:rPr>
        <w:t xml:space="preserve">Nr. </w:t>
      </w:r>
      <w:r w:rsidRPr="00657883">
        <w:rPr>
          <w:rFonts w:ascii="Calibri" w:hAnsi="Calibri" w:cs="Calibri"/>
        </w:rPr>
        <w:t>5</w:t>
      </w:r>
      <w:r w:rsidRPr="00657883">
        <w:rPr>
          <w:rFonts w:ascii="Calibri" w:hAnsi="Calibri" w:cs="Calibri"/>
        </w:rPr>
        <w:tab/>
      </w:r>
      <w:r w:rsidRPr="00657883">
        <w:rPr>
          <w:rFonts w:ascii="Calibri" w:hAnsi="Calibri" w:cs="Calibri"/>
        </w:rPr>
        <w:tab/>
        <w:t>Brief van de Algemene Rekenkamer</w:t>
      </w:r>
    </w:p>
    <w:p w:rsidRPr="00657883" w:rsidR="00657883" w:rsidP="006C2286" w:rsidRDefault="00657883" w14:paraId="5BFABBCF" w14:textId="77777777">
      <w:pPr>
        <w:rPr>
          <w:rFonts w:ascii="Calibri" w:hAnsi="Calibri" w:cs="Calibri"/>
        </w:rPr>
      </w:pPr>
      <w:r w:rsidRPr="00657883">
        <w:rPr>
          <w:rFonts w:ascii="Calibri" w:hAnsi="Calibri" w:cs="Calibri"/>
        </w:rPr>
        <w:t>Aan de Voorzitter van de Tweede Kamer der Staten-Generaal</w:t>
      </w:r>
    </w:p>
    <w:p w:rsidRPr="00657883" w:rsidR="00657883" w:rsidP="006C2286" w:rsidRDefault="00657883" w14:paraId="631FCA56" w14:textId="77777777">
      <w:pPr>
        <w:rPr>
          <w:rFonts w:ascii="Calibri" w:hAnsi="Calibri" w:cs="Calibri"/>
        </w:rPr>
      </w:pPr>
      <w:r w:rsidRPr="00657883">
        <w:rPr>
          <w:rFonts w:ascii="Calibri" w:hAnsi="Calibri" w:cs="Calibri"/>
        </w:rPr>
        <w:t>Den Haag, 23 september 2025</w:t>
      </w:r>
    </w:p>
    <w:p w:rsidRPr="00657883" w:rsidR="006C2286" w:rsidP="006C2286" w:rsidRDefault="006C2286" w14:paraId="46E85E56" w14:textId="50B8F870">
      <w:pPr>
        <w:rPr>
          <w:rFonts w:ascii="Calibri" w:hAnsi="Calibri" w:cs="Calibri"/>
        </w:rPr>
      </w:pPr>
      <w:r w:rsidRPr="00657883">
        <w:rPr>
          <w:rFonts w:ascii="Calibri" w:hAnsi="Calibri" w:cs="Calibri"/>
        </w:rPr>
        <w:br/>
      </w:r>
      <w:r w:rsidRPr="00657883">
        <w:rPr>
          <w:rFonts w:ascii="Calibri" w:hAnsi="Calibri" w:cs="Calibri"/>
        </w:rPr>
        <w:b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657883" w:rsidR="006C2286" w:rsidP="006C2286" w:rsidRDefault="006C2286" w14:paraId="5B77E4BA" w14:textId="77777777">
      <w:pPr>
        <w:rPr>
          <w:rFonts w:ascii="Calibri" w:hAnsi="Calibri" w:cs="Calibri"/>
        </w:rPr>
      </w:pPr>
      <w:r w:rsidRPr="00657883">
        <w:rPr>
          <w:rFonts w:ascii="Calibri" w:hAnsi="Calibri" w:cs="Calibri"/>
        </w:rPr>
        <w:t xml:space="preserve">Deze brief gaat in op de ontwerpbegroting 2026 (begrotingshoofdstuk XXIII) van het ministerie van Klimaat en Groene Groei en het Klimaatfonds (begrotingshoofdstuk M). </w:t>
      </w:r>
    </w:p>
    <w:p w:rsidRPr="00657883" w:rsidR="006C2286" w:rsidP="006C2286" w:rsidRDefault="006C2286" w14:paraId="218EAB75" w14:textId="77777777">
      <w:pPr>
        <w:rPr>
          <w:rFonts w:ascii="Calibri" w:hAnsi="Calibri" w:cs="Calibri"/>
        </w:rPr>
      </w:pPr>
      <w:r w:rsidRPr="00657883">
        <w:rPr>
          <w:rFonts w:ascii="Calibri" w:hAnsi="Calibri" w:cs="Calibri"/>
        </w:rPr>
        <w:t>De onderwerpen in deze begrotingsbrief zijn:</w:t>
      </w:r>
    </w:p>
    <w:p w:rsidRPr="00657883" w:rsidR="006C2286" w:rsidP="006C2286" w:rsidRDefault="006C2286" w14:paraId="795472F4" w14:textId="77777777">
      <w:pPr>
        <w:pStyle w:val="Lijstalinea"/>
        <w:numPr>
          <w:ilvl w:val="0"/>
          <w:numId w:val="2"/>
        </w:numPr>
        <w:autoSpaceDN w:val="0"/>
        <w:spacing w:after="0" w:line="320" w:lineRule="exact"/>
        <w:textAlignment w:val="baseline"/>
        <w:rPr>
          <w:rFonts w:ascii="Calibri" w:hAnsi="Calibri" w:cs="Calibri"/>
        </w:rPr>
      </w:pPr>
      <w:r w:rsidRPr="00657883">
        <w:rPr>
          <w:rFonts w:ascii="Calibri" w:hAnsi="Calibri" w:cs="Calibri"/>
        </w:rPr>
        <w:t>Geld</w:t>
      </w:r>
    </w:p>
    <w:p w:rsidRPr="00657883" w:rsidR="006C2286" w:rsidP="006C2286" w:rsidRDefault="006C2286" w14:paraId="37CAF779" w14:textId="77777777">
      <w:pPr>
        <w:pStyle w:val="Lijstalinea"/>
        <w:numPr>
          <w:ilvl w:val="0"/>
          <w:numId w:val="2"/>
        </w:numPr>
        <w:autoSpaceDN w:val="0"/>
        <w:spacing w:after="0" w:line="320" w:lineRule="exact"/>
        <w:textAlignment w:val="baseline"/>
        <w:rPr>
          <w:rFonts w:ascii="Calibri" w:hAnsi="Calibri" w:cs="Calibri"/>
        </w:rPr>
      </w:pPr>
      <w:r w:rsidRPr="00657883">
        <w:rPr>
          <w:rFonts w:ascii="Calibri" w:hAnsi="Calibri" w:cs="Calibri"/>
        </w:rPr>
        <w:t>Sturen op resultaten</w:t>
      </w:r>
    </w:p>
    <w:p w:rsidRPr="00657883" w:rsidR="006C2286" w:rsidP="006C2286" w:rsidRDefault="006C2286" w14:paraId="0084A81D" w14:textId="77777777">
      <w:pPr>
        <w:pStyle w:val="Lijstalinea"/>
        <w:numPr>
          <w:ilvl w:val="0"/>
          <w:numId w:val="2"/>
        </w:numPr>
        <w:autoSpaceDN w:val="0"/>
        <w:spacing w:after="0" w:line="320" w:lineRule="exact"/>
        <w:textAlignment w:val="baseline"/>
        <w:rPr>
          <w:rFonts w:ascii="Calibri" w:hAnsi="Calibri" w:cs="Calibri"/>
        </w:rPr>
      </w:pPr>
      <w:r w:rsidRPr="00657883">
        <w:rPr>
          <w:rFonts w:ascii="Calibri" w:hAnsi="Calibri" w:cs="Calibri"/>
        </w:rPr>
        <w:t>Risico’s en beheer</w:t>
      </w:r>
    </w:p>
    <w:p w:rsidRPr="00657883" w:rsidR="006C2286" w:rsidP="006C2286" w:rsidRDefault="006C2286" w14:paraId="7C321B20" w14:textId="77777777">
      <w:pPr>
        <w:rPr>
          <w:rFonts w:ascii="Calibri" w:hAnsi="Calibri" w:cs="Calibri"/>
          <w:highlight w:val="yellow"/>
        </w:rPr>
      </w:pPr>
    </w:p>
    <w:p w:rsidRPr="00657883" w:rsidR="006C2286" w:rsidP="006C2286" w:rsidRDefault="006C2286" w14:paraId="29479C7B" w14:textId="77777777">
      <w:pPr>
        <w:rPr>
          <w:rFonts w:ascii="Calibri" w:hAnsi="Calibri" w:cs="Calibri"/>
          <w:highlight w:val="yellow"/>
        </w:rPr>
      </w:pPr>
      <w:r w:rsidRPr="00657883">
        <w:rPr>
          <w:rFonts w:ascii="Calibri" w:hAnsi="Calibri" w:cs="Calibri"/>
        </w:rPr>
        <w:t>Wij verwachten dat de minister de Kamer op inzichtelijke wijze informeert over deze onderwerpen.</w:t>
      </w:r>
      <w:r w:rsidRPr="00657883">
        <w:rPr>
          <w:rFonts w:ascii="Calibri" w:hAnsi="Calibri" w:cs="Calibri"/>
          <w:highlight w:val="yellow"/>
        </w:rPr>
        <w:t xml:space="preserve"> </w:t>
      </w:r>
    </w:p>
    <w:p w:rsidRPr="00657883" w:rsidR="006C2286" w:rsidP="006C2286" w:rsidRDefault="006C2286" w14:paraId="3B4AD175" w14:textId="77777777">
      <w:pPr>
        <w:rPr>
          <w:rFonts w:ascii="Calibri" w:hAnsi="Calibri" w:cs="Calibri"/>
        </w:rPr>
      </w:pPr>
    </w:p>
    <w:p w:rsidRPr="00657883" w:rsidR="006C2286" w:rsidP="006C2286" w:rsidRDefault="006C2286" w14:paraId="405246E0" w14:textId="77777777">
      <w:pPr>
        <w:pStyle w:val="Kop1"/>
        <w:rPr>
          <w:rFonts w:ascii="Calibri" w:hAnsi="Calibri" w:cs="Calibri"/>
          <w:sz w:val="22"/>
          <w:szCs w:val="22"/>
        </w:rPr>
      </w:pPr>
      <w:r w:rsidRPr="00657883">
        <w:rPr>
          <w:rFonts w:ascii="Calibri" w:hAnsi="Calibri" w:cs="Calibri"/>
          <w:sz w:val="22"/>
          <w:szCs w:val="22"/>
        </w:rPr>
        <w:t>Geld</w:t>
      </w:r>
    </w:p>
    <w:p w:rsidRPr="00657883" w:rsidR="006C2286" w:rsidP="006C2286" w:rsidRDefault="006C2286" w14:paraId="2F75E341" w14:textId="77777777">
      <w:pPr>
        <w:rPr>
          <w:rFonts w:ascii="Calibri" w:hAnsi="Calibri" w:cs="Calibri"/>
        </w:rPr>
      </w:pPr>
      <w:r w:rsidRPr="00657883">
        <w:rPr>
          <w:rFonts w:ascii="Calibri" w:hAnsi="Calibri" w:cs="Calibri"/>
        </w:rPr>
        <w:t xml:space="preserve">De ontwerpbegrotingen moeten de Kamer inzicht bieden in de beleidsvoornemens van het kabinet en de daarmee gemoeide uitgaven en ontvangsten. </w:t>
      </w:r>
    </w:p>
    <w:p w:rsidRPr="00657883" w:rsidR="006C2286" w:rsidP="006C2286" w:rsidRDefault="006C2286" w14:paraId="589C1352" w14:textId="77777777">
      <w:pPr>
        <w:rPr>
          <w:rFonts w:ascii="Calibri" w:hAnsi="Calibri" w:cs="Calibri"/>
        </w:rPr>
      </w:pPr>
    </w:p>
    <w:p w:rsidRPr="00657883" w:rsidR="006C2286" w:rsidP="006C2286" w:rsidRDefault="006C2286" w14:paraId="769E2167" w14:textId="77777777">
      <w:pPr>
        <w:rPr>
          <w:rFonts w:ascii="Calibri" w:hAnsi="Calibri" w:cs="Calibri"/>
        </w:rPr>
      </w:pPr>
      <w:r w:rsidRPr="00657883">
        <w:rPr>
          <w:rFonts w:ascii="Calibri" w:hAnsi="Calibri" w:cs="Calibri"/>
        </w:rPr>
        <w:t xml:space="preserve">De begrote uitgaven voor 2026 zijn € 13,71 miljard. In de begroting 2025 was de stand € 5,55 miljard. Het verschil bedraagt + € 8,16 miljard. Hieronder lichten we een aantal grote mutaties uit en geven aan welke toelichting de minister daarbij geeft in haar begroting. </w:t>
      </w:r>
    </w:p>
    <w:p w:rsidRPr="00657883" w:rsidR="006C2286" w:rsidP="006C2286" w:rsidRDefault="006C2286" w14:paraId="2B746CD9" w14:textId="77777777">
      <w:pPr>
        <w:rPr>
          <w:rFonts w:ascii="Calibri" w:hAnsi="Calibri" w:cs="Calibri"/>
        </w:rPr>
      </w:pPr>
    </w:p>
    <w:p w:rsidRPr="00657883" w:rsidR="006C2286" w:rsidP="006C2286" w:rsidRDefault="006C2286" w14:paraId="2C808132" w14:textId="77777777">
      <w:pPr>
        <w:rPr>
          <w:rFonts w:ascii="Calibri" w:hAnsi="Calibri" w:cs="Calibri"/>
          <w:b/>
        </w:rPr>
      </w:pPr>
      <w:r w:rsidRPr="00657883">
        <w:rPr>
          <w:rFonts w:ascii="Calibri" w:hAnsi="Calibri" w:cs="Calibri"/>
          <w:b/>
        </w:rPr>
        <w:t>Tabel 1: Grote mutaties ontwerpbegroting 2026 ten opzichte van begroting 2025</w:t>
      </w:r>
    </w:p>
    <w:p w:rsidRPr="00657883" w:rsidR="006C2286" w:rsidP="006C2286" w:rsidRDefault="006C2286" w14:paraId="58E93620" w14:textId="77777777">
      <w:pPr>
        <w:rPr>
          <w:rFonts w:ascii="Calibri" w:hAnsi="Calibri" w:cs="Calibri"/>
          <w:b/>
        </w:rPr>
      </w:pPr>
    </w:p>
    <w:tbl>
      <w:tblPr>
        <w:tblStyle w:val="Tabelraster"/>
        <w:tblW w:w="8359" w:type="dxa"/>
        <w:tblLayout w:type="fixed"/>
        <w:tblLook w:val="04A0" w:firstRow="1" w:lastRow="0" w:firstColumn="1" w:lastColumn="0" w:noHBand="0" w:noVBand="1"/>
      </w:tblPr>
      <w:tblGrid>
        <w:gridCol w:w="704"/>
        <w:gridCol w:w="1843"/>
        <w:gridCol w:w="1376"/>
        <w:gridCol w:w="1317"/>
        <w:gridCol w:w="3119"/>
      </w:tblGrid>
      <w:tr w:rsidRPr="00657883" w:rsidR="006C2286" w:rsidTr="000D3051" w14:paraId="2BD7F756" w14:textId="77777777">
        <w:tc>
          <w:tcPr>
            <w:tcW w:w="704" w:type="dxa"/>
          </w:tcPr>
          <w:p w:rsidRPr="00657883" w:rsidR="006C2286" w:rsidP="000D3051" w:rsidRDefault="006C2286" w14:paraId="05CE5719" w14:textId="77777777">
            <w:pPr>
              <w:rPr>
                <w:rFonts w:ascii="Calibri" w:hAnsi="Calibri" w:cs="Calibri"/>
                <w:b/>
                <w:sz w:val="22"/>
                <w:szCs w:val="22"/>
              </w:rPr>
            </w:pPr>
            <w:r w:rsidRPr="00657883">
              <w:rPr>
                <w:rFonts w:ascii="Calibri" w:hAnsi="Calibri" w:cs="Calibri"/>
                <w:b/>
                <w:sz w:val="22"/>
                <w:szCs w:val="22"/>
              </w:rPr>
              <w:t xml:space="preserve">Artikel </w:t>
            </w:r>
          </w:p>
        </w:tc>
        <w:tc>
          <w:tcPr>
            <w:tcW w:w="1843" w:type="dxa"/>
          </w:tcPr>
          <w:p w:rsidRPr="00657883" w:rsidR="006C2286" w:rsidP="000D3051" w:rsidRDefault="006C2286" w14:paraId="57F01C05" w14:textId="77777777">
            <w:pPr>
              <w:rPr>
                <w:rFonts w:ascii="Calibri" w:hAnsi="Calibri" w:cs="Calibri"/>
                <w:b/>
                <w:sz w:val="22"/>
                <w:szCs w:val="22"/>
              </w:rPr>
            </w:pPr>
            <w:r w:rsidRPr="00657883">
              <w:rPr>
                <w:rFonts w:ascii="Calibri" w:hAnsi="Calibri" w:cs="Calibri"/>
                <w:b/>
                <w:sz w:val="22"/>
                <w:szCs w:val="22"/>
              </w:rPr>
              <w:t>Maatregel</w:t>
            </w:r>
          </w:p>
        </w:tc>
        <w:tc>
          <w:tcPr>
            <w:tcW w:w="1376" w:type="dxa"/>
          </w:tcPr>
          <w:p w:rsidRPr="00657883" w:rsidR="006C2286" w:rsidP="000D3051" w:rsidRDefault="006C2286" w14:paraId="316FBFAA" w14:textId="77777777">
            <w:pPr>
              <w:rPr>
                <w:rFonts w:ascii="Calibri" w:hAnsi="Calibri" w:cs="Calibri"/>
                <w:b/>
                <w:sz w:val="22"/>
                <w:szCs w:val="22"/>
              </w:rPr>
            </w:pPr>
            <w:r w:rsidRPr="00657883">
              <w:rPr>
                <w:rFonts w:ascii="Calibri" w:hAnsi="Calibri" w:cs="Calibri"/>
                <w:b/>
                <w:sz w:val="22"/>
                <w:szCs w:val="22"/>
              </w:rPr>
              <w:t xml:space="preserve">Mutatie </w:t>
            </w:r>
          </w:p>
          <w:p w:rsidRPr="00657883" w:rsidR="006C2286" w:rsidP="000D3051" w:rsidRDefault="006C2286" w14:paraId="27189A0D" w14:textId="77777777">
            <w:pPr>
              <w:rPr>
                <w:rFonts w:ascii="Calibri" w:hAnsi="Calibri" w:cs="Calibri"/>
                <w:b/>
                <w:sz w:val="22"/>
                <w:szCs w:val="22"/>
              </w:rPr>
            </w:pPr>
            <w:r w:rsidRPr="00657883">
              <w:rPr>
                <w:rFonts w:ascii="Calibri" w:hAnsi="Calibri" w:cs="Calibri"/>
                <w:b/>
                <w:sz w:val="22"/>
                <w:szCs w:val="22"/>
              </w:rPr>
              <w:t>(x miljoen euro)</w:t>
            </w:r>
          </w:p>
        </w:tc>
        <w:tc>
          <w:tcPr>
            <w:tcW w:w="1317" w:type="dxa"/>
          </w:tcPr>
          <w:p w:rsidRPr="00657883" w:rsidR="006C2286" w:rsidP="000D3051" w:rsidRDefault="006C2286" w14:paraId="75DAAE86" w14:textId="77777777">
            <w:pPr>
              <w:rPr>
                <w:rFonts w:ascii="Calibri" w:hAnsi="Calibri" w:cs="Calibri"/>
                <w:b/>
                <w:sz w:val="22"/>
                <w:szCs w:val="22"/>
              </w:rPr>
            </w:pPr>
            <w:r w:rsidRPr="00657883">
              <w:rPr>
                <w:rFonts w:ascii="Calibri" w:hAnsi="Calibri" w:cs="Calibri"/>
                <w:b/>
                <w:sz w:val="22"/>
                <w:szCs w:val="22"/>
              </w:rPr>
              <w:t xml:space="preserve">% mutatie </w:t>
            </w:r>
            <w:proofErr w:type="spellStart"/>
            <w:r w:rsidRPr="00657883">
              <w:rPr>
                <w:rFonts w:ascii="Calibri" w:hAnsi="Calibri" w:cs="Calibri"/>
                <w:b/>
                <w:sz w:val="22"/>
                <w:szCs w:val="22"/>
              </w:rPr>
              <w:t>t.o.v</w:t>
            </w:r>
            <w:proofErr w:type="spellEnd"/>
            <w:r w:rsidRPr="00657883">
              <w:rPr>
                <w:rFonts w:ascii="Calibri" w:hAnsi="Calibri" w:cs="Calibri"/>
                <w:b/>
                <w:sz w:val="22"/>
                <w:szCs w:val="22"/>
              </w:rPr>
              <w:t xml:space="preserve"> begroting</w:t>
            </w:r>
          </w:p>
        </w:tc>
        <w:tc>
          <w:tcPr>
            <w:tcW w:w="3119" w:type="dxa"/>
          </w:tcPr>
          <w:p w:rsidRPr="00657883" w:rsidR="006C2286" w:rsidP="000D3051" w:rsidRDefault="006C2286" w14:paraId="616647A9" w14:textId="77777777">
            <w:pPr>
              <w:rPr>
                <w:rFonts w:ascii="Calibri" w:hAnsi="Calibri" w:cs="Calibri"/>
                <w:b/>
                <w:sz w:val="22"/>
                <w:szCs w:val="22"/>
              </w:rPr>
            </w:pPr>
            <w:r w:rsidRPr="00657883">
              <w:rPr>
                <w:rFonts w:ascii="Calibri" w:hAnsi="Calibri" w:cs="Calibri"/>
                <w:b/>
                <w:sz w:val="22"/>
                <w:szCs w:val="22"/>
              </w:rPr>
              <w:t>Toelichting op mutatie door minister</w:t>
            </w:r>
          </w:p>
        </w:tc>
      </w:tr>
      <w:tr w:rsidRPr="00657883" w:rsidR="006C2286" w:rsidTr="000D3051" w14:paraId="6FCE0440" w14:textId="77777777">
        <w:tc>
          <w:tcPr>
            <w:tcW w:w="704" w:type="dxa"/>
          </w:tcPr>
          <w:p w:rsidRPr="00657883" w:rsidR="006C2286" w:rsidP="000D3051" w:rsidRDefault="006C2286" w14:paraId="17386906" w14:textId="77777777">
            <w:pPr>
              <w:rPr>
                <w:rFonts w:ascii="Calibri" w:hAnsi="Calibri" w:cs="Calibri"/>
                <w:sz w:val="22"/>
                <w:szCs w:val="22"/>
              </w:rPr>
            </w:pPr>
            <w:r w:rsidRPr="00657883">
              <w:rPr>
                <w:rFonts w:ascii="Calibri" w:hAnsi="Calibri" w:cs="Calibri"/>
                <w:sz w:val="22"/>
                <w:szCs w:val="22"/>
              </w:rPr>
              <w:t>31</w:t>
            </w:r>
          </w:p>
        </w:tc>
        <w:tc>
          <w:tcPr>
            <w:tcW w:w="1843" w:type="dxa"/>
          </w:tcPr>
          <w:p w:rsidRPr="00657883" w:rsidR="006C2286" w:rsidP="000D3051" w:rsidRDefault="006C2286" w14:paraId="6A21C94B" w14:textId="77777777">
            <w:pPr>
              <w:rPr>
                <w:rFonts w:ascii="Calibri" w:hAnsi="Calibri" w:cs="Calibri"/>
                <w:sz w:val="22"/>
                <w:szCs w:val="22"/>
              </w:rPr>
            </w:pPr>
            <w:proofErr w:type="spellStart"/>
            <w:r w:rsidRPr="00657883">
              <w:rPr>
                <w:rFonts w:ascii="Calibri" w:hAnsi="Calibri" w:cs="Calibri"/>
                <w:sz w:val="22"/>
                <w:szCs w:val="22"/>
              </w:rPr>
              <w:t>Vultaak</w:t>
            </w:r>
            <w:proofErr w:type="spellEnd"/>
            <w:r w:rsidRPr="00657883">
              <w:rPr>
                <w:rFonts w:ascii="Calibri" w:hAnsi="Calibri" w:cs="Calibri"/>
                <w:sz w:val="22"/>
                <w:szCs w:val="22"/>
              </w:rPr>
              <w:t xml:space="preserve"> gasopslag</w:t>
            </w:r>
          </w:p>
        </w:tc>
        <w:tc>
          <w:tcPr>
            <w:tcW w:w="1376" w:type="dxa"/>
          </w:tcPr>
          <w:p w:rsidRPr="00657883" w:rsidR="006C2286" w:rsidP="000D3051" w:rsidRDefault="006C2286" w14:paraId="2D343257" w14:textId="77777777">
            <w:pPr>
              <w:jc w:val="right"/>
              <w:rPr>
                <w:rFonts w:ascii="Calibri" w:hAnsi="Calibri" w:cs="Calibri"/>
                <w:sz w:val="22"/>
                <w:szCs w:val="22"/>
              </w:rPr>
            </w:pPr>
            <w:r w:rsidRPr="00657883">
              <w:rPr>
                <w:rFonts w:ascii="Calibri" w:hAnsi="Calibri" w:cs="Calibri"/>
                <w:sz w:val="22"/>
                <w:szCs w:val="22"/>
              </w:rPr>
              <w:t>7.751</w:t>
            </w:r>
          </w:p>
        </w:tc>
        <w:tc>
          <w:tcPr>
            <w:tcW w:w="1317" w:type="dxa"/>
          </w:tcPr>
          <w:p w:rsidRPr="00657883" w:rsidR="006C2286" w:rsidP="000D3051" w:rsidRDefault="006C2286" w14:paraId="467C0341" w14:textId="77777777">
            <w:pPr>
              <w:rPr>
                <w:rFonts w:ascii="Calibri" w:hAnsi="Calibri" w:cs="Calibri"/>
                <w:sz w:val="22"/>
                <w:szCs w:val="22"/>
              </w:rPr>
            </w:pPr>
            <w:r w:rsidRPr="00657883">
              <w:rPr>
                <w:rFonts w:ascii="Calibri" w:hAnsi="Calibri" w:cs="Calibri"/>
                <w:sz w:val="22"/>
                <w:szCs w:val="22"/>
              </w:rPr>
              <w:t>+ 140%</w:t>
            </w:r>
          </w:p>
        </w:tc>
        <w:tc>
          <w:tcPr>
            <w:tcW w:w="3119" w:type="dxa"/>
          </w:tcPr>
          <w:p w:rsidRPr="00657883" w:rsidR="006C2286" w:rsidP="000D3051" w:rsidRDefault="006C2286" w14:paraId="1E95B1AD" w14:textId="77777777">
            <w:pPr>
              <w:rPr>
                <w:rFonts w:ascii="Calibri" w:hAnsi="Calibri" w:cs="Calibri"/>
                <w:sz w:val="22"/>
                <w:szCs w:val="22"/>
              </w:rPr>
            </w:pPr>
            <w:r w:rsidRPr="00657883">
              <w:rPr>
                <w:rFonts w:ascii="Calibri" w:hAnsi="Calibri" w:cs="Calibri"/>
                <w:sz w:val="22"/>
                <w:szCs w:val="22"/>
              </w:rPr>
              <w:t xml:space="preserve">Lening aan Energie Beheer Nederland (EBN). </w:t>
            </w:r>
          </w:p>
        </w:tc>
      </w:tr>
      <w:tr w:rsidRPr="00657883" w:rsidR="006C2286" w:rsidTr="000D3051" w14:paraId="76AF549D" w14:textId="77777777">
        <w:tc>
          <w:tcPr>
            <w:tcW w:w="704" w:type="dxa"/>
          </w:tcPr>
          <w:p w:rsidRPr="00657883" w:rsidR="006C2286" w:rsidP="000D3051" w:rsidRDefault="006C2286" w14:paraId="4D85F340" w14:textId="77777777">
            <w:pPr>
              <w:rPr>
                <w:rFonts w:ascii="Calibri" w:hAnsi="Calibri" w:cs="Calibri"/>
                <w:sz w:val="22"/>
                <w:szCs w:val="22"/>
              </w:rPr>
            </w:pPr>
            <w:r w:rsidRPr="00657883">
              <w:rPr>
                <w:rFonts w:ascii="Calibri" w:hAnsi="Calibri" w:cs="Calibri"/>
                <w:sz w:val="22"/>
                <w:szCs w:val="22"/>
              </w:rPr>
              <w:t>31</w:t>
            </w:r>
          </w:p>
        </w:tc>
        <w:tc>
          <w:tcPr>
            <w:tcW w:w="1843" w:type="dxa"/>
          </w:tcPr>
          <w:p w:rsidRPr="00657883" w:rsidR="006C2286" w:rsidP="000D3051" w:rsidRDefault="006C2286" w14:paraId="26D1BC96" w14:textId="77777777">
            <w:pPr>
              <w:rPr>
                <w:rFonts w:ascii="Calibri" w:hAnsi="Calibri" w:cs="Calibri"/>
                <w:sz w:val="22"/>
                <w:szCs w:val="22"/>
              </w:rPr>
            </w:pPr>
            <w:r w:rsidRPr="00657883">
              <w:rPr>
                <w:rFonts w:ascii="Calibri" w:hAnsi="Calibri" w:cs="Calibri"/>
                <w:sz w:val="22"/>
                <w:szCs w:val="22"/>
              </w:rPr>
              <w:t xml:space="preserve">Capaciteit gemeentes </w:t>
            </w:r>
          </w:p>
        </w:tc>
        <w:tc>
          <w:tcPr>
            <w:tcW w:w="1376" w:type="dxa"/>
          </w:tcPr>
          <w:p w:rsidRPr="00657883" w:rsidR="006C2286" w:rsidP="000D3051" w:rsidRDefault="006C2286" w14:paraId="573C9444" w14:textId="77777777">
            <w:pPr>
              <w:jc w:val="right"/>
              <w:rPr>
                <w:rFonts w:ascii="Calibri" w:hAnsi="Calibri" w:cs="Calibri"/>
                <w:sz w:val="22"/>
                <w:szCs w:val="22"/>
                <w:highlight w:val="yellow"/>
              </w:rPr>
            </w:pPr>
            <w:r w:rsidRPr="00657883">
              <w:rPr>
                <w:rFonts w:ascii="Calibri" w:hAnsi="Calibri" w:cs="Calibri"/>
                <w:sz w:val="22"/>
                <w:szCs w:val="22"/>
              </w:rPr>
              <w:t xml:space="preserve">-666,3 </w:t>
            </w:r>
          </w:p>
        </w:tc>
        <w:tc>
          <w:tcPr>
            <w:tcW w:w="1317" w:type="dxa"/>
          </w:tcPr>
          <w:p w:rsidRPr="00657883" w:rsidR="006C2286" w:rsidP="000D3051" w:rsidRDefault="006C2286" w14:paraId="4A10E35F" w14:textId="77777777">
            <w:pPr>
              <w:rPr>
                <w:rFonts w:ascii="Calibri" w:hAnsi="Calibri" w:cs="Calibri"/>
                <w:sz w:val="22"/>
                <w:szCs w:val="22"/>
              </w:rPr>
            </w:pPr>
            <w:r w:rsidRPr="00657883">
              <w:rPr>
                <w:rFonts w:ascii="Calibri" w:hAnsi="Calibri" w:cs="Calibri"/>
                <w:sz w:val="22"/>
                <w:szCs w:val="22"/>
              </w:rPr>
              <w:t>- 12%</w:t>
            </w:r>
          </w:p>
        </w:tc>
        <w:tc>
          <w:tcPr>
            <w:tcW w:w="3119" w:type="dxa"/>
          </w:tcPr>
          <w:p w:rsidRPr="00657883" w:rsidR="006C2286" w:rsidP="000D3051" w:rsidRDefault="006C2286" w14:paraId="04EF9838" w14:textId="77777777">
            <w:pPr>
              <w:rPr>
                <w:rFonts w:ascii="Calibri" w:hAnsi="Calibri" w:cs="Calibri"/>
                <w:sz w:val="22"/>
                <w:szCs w:val="22"/>
              </w:rPr>
            </w:pPr>
            <w:r w:rsidRPr="00657883">
              <w:rPr>
                <w:rFonts w:ascii="Calibri" w:hAnsi="Calibri" w:cs="Calibri"/>
                <w:sz w:val="22"/>
                <w:szCs w:val="22"/>
              </w:rPr>
              <w:t>Regeling Uitvoeringskosten Klimaat medeoverheden en uitvoeringslasten Kernenergie Klimaatfonds 2025.</w:t>
            </w:r>
          </w:p>
        </w:tc>
      </w:tr>
      <w:tr w:rsidRPr="00657883" w:rsidR="006C2286" w:rsidTr="000D3051" w14:paraId="56582C60" w14:textId="77777777">
        <w:tc>
          <w:tcPr>
            <w:tcW w:w="704" w:type="dxa"/>
          </w:tcPr>
          <w:p w:rsidRPr="00657883" w:rsidR="006C2286" w:rsidP="000D3051" w:rsidRDefault="006C2286" w14:paraId="3F4DF4AF" w14:textId="77777777">
            <w:pPr>
              <w:rPr>
                <w:rFonts w:ascii="Calibri" w:hAnsi="Calibri" w:cs="Calibri"/>
                <w:sz w:val="22"/>
                <w:szCs w:val="22"/>
              </w:rPr>
            </w:pPr>
            <w:r w:rsidRPr="00657883">
              <w:rPr>
                <w:rFonts w:ascii="Calibri" w:hAnsi="Calibri" w:cs="Calibri"/>
                <w:sz w:val="22"/>
                <w:szCs w:val="22"/>
              </w:rPr>
              <w:t>31</w:t>
            </w:r>
          </w:p>
        </w:tc>
        <w:tc>
          <w:tcPr>
            <w:tcW w:w="1843" w:type="dxa"/>
          </w:tcPr>
          <w:p w:rsidRPr="00657883" w:rsidR="006C2286" w:rsidP="000D3051" w:rsidRDefault="006C2286" w14:paraId="2CB0BBE9" w14:textId="77777777">
            <w:pPr>
              <w:rPr>
                <w:rFonts w:ascii="Calibri" w:hAnsi="Calibri" w:cs="Calibri"/>
                <w:sz w:val="22"/>
                <w:szCs w:val="22"/>
              </w:rPr>
            </w:pPr>
            <w:r w:rsidRPr="00657883">
              <w:rPr>
                <w:rFonts w:ascii="Calibri" w:hAnsi="Calibri" w:cs="Calibri"/>
                <w:sz w:val="22"/>
                <w:szCs w:val="22"/>
              </w:rPr>
              <w:t>Warmtenetten</w:t>
            </w:r>
          </w:p>
        </w:tc>
        <w:tc>
          <w:tcPr>
            <w:tcW w:w="1376" w:type="dxa"/>
          </w:tcPr>
          <w:p w:rsidRPr="00657883" w:rsidR="006C2286" w:rsidP="000D3051" w:rsidRDefault="006C2286" w14:paraId="1325A76C" w14:textId="77777777">
            <w:pPr>
              <w:jc w:val="right"/>
              <w:rPr>
                <w:rFonts w:ascii="Calibri" w:hAnsi="Calibri" w:cs="Calibri"/>
                <w:sz w:val="22"/>
                <w:szCs w:val="22"/>
              </w:rPr>
            </w:pPr>
            <w:r w:rsidRPr="00657883">
              <w:rPr>
                <w:rFonts w:ascii="Calibri" w:hAnsi="Calibri" w:cs="Calibri"/>
                <w:sz w:val="22"/>
                <w:szCs w:val="22"/>
              </w:rPr>
              <w:t xml:space="preserve"> 174,5</w:t>
            </w:r>
          </w:p>
        </w:tc>
        <w:tc>
          <w:tcPr>
            <w:tcW w:w="1317" w:type="dxa"/>
          </w:tcPr>
          <w:p w:rsidRPr="00657883" w:rsidR="006C2286" w:rsidP="000D3051" w:rsidRDefault="006C2286" w14:paraId="2694A28B" w14:textId="77777777">
            <w:pPr>
              <w:rPr>
                <w:rFonts w:ascii="Calibri" w:hAnsi="Calibri" w:cs="Calibri"/>
                <w:sz w:val="22"/>
                <w:szCs w:val="22"/>
              </w:rPr>
            </w:pPr>
            <w:r w:rsidRPr="00657883">
              <w:rPr>
                <w:rFonts w:ascii="Calibri" w:hAnsi="Calibri" w:cs="Calibri"/>
                <w:sz w:val="22"/>
                <w:szCs w:val="22"/>
              </w:rPr>
              <w:t>+ 3%</w:t>
            </w:r>
          </w:p>
        </w:tc>
        <w:tc>
          <w:tcPr>
            <w:tcW w:w="3119" w:type="dxa"/>
          </w:tcPr>
          <w:p w:rsidRPr="00657883" w:rsidR="006C2286" w:rsidP="000D3051" w:rsidRDefault="006C2286" w14:paraId="2F2C6CD6" w14:textId="77777777">
            <w:pPr>
              <w:rPr>
                <w:rFonts w:ascii="Calibri" w:hAnsi="Calibri" w:cs="Calibri"/>
                <w:sz w:val="22"/>
                <w:szCs w:val="22"/>
              </w:rPr>
            </w:pPr>
            <w:r w:rsidRPr="00657883">
              <w:rPr>
                <w:rFonts w:ascii="Calibri" w:hAnsi="Calibri" w:cs="Calibri"/>
                <w:sz w:val="22"/>
                <w:szCs w:val="22"/>
              </w:rPr>
              <w:t>Storting in Garantieregeling Warmtenetten.</w:t>
            </w:r>
          </w:p>
        </w:tc>
      </w:tr>
      <w:tr w:rsidRPr="00657883" w:rsidR="006C2286" w:rsidTr="000D3051" w14:paraId="4C30FFD5" w14:textId="77777777">
        <w:tc>
          <w:tcPr>
            <w:tcW w:w="704" w:type="dxa"/>
          </w:tcPr>
          <w:p w:rsidRPr="00657883" w:rsidR="006C2286" w:rsidP="000D3051" w:rsidRDefault="006C2286" w14:paraId="0FAB4887" w14:textId="77777777">
            <w:pPr>
              <w:rPr>
                <w:rFonts w:ascii="Calibri" w:hAnsi="Calibri" w:cs="Calibri"/>
                <w:sz w:val="22"/>
                <w:szCs w:val="22"/>
              </w:rPr>
            </w:pPr>
            <w:r w:rsidRPr="00657883">
              <w:rPr>
                <w:rFonts w:ascii="Calibri" w:hAnsi="Calibri" w:cs="Calibri"/>
                <w:sz w:val="22"/>
                <w:szCs w:val="22"/>
              </w:rPr>
              <w:t>31</w:t>
            </w:r>
          </w:p>
        </w:tc>
        <w:tc>
          <w:tcPr>
            <w:tcW w:w="1843" w:type="dxa"/>
          </w:tcPr>
          <w:p w:rsidRPr="00657883" w:rsidR="006C2286" w:rsidP="000D3051" w:rsidRDefault="006C2286" w14:paraId="390A1ADE" w14:textId="77777777">
            <w:pPr>
              <w:rPr>
                <w:rFonts w:ascii="Calibri" w:hAnsi="Calibri" w:cs="Calibri"/>
                <w:sz w:val="22"/>
                <w:szCs w:val="22"/>
              </w:rPr>
            </w:pPr>
            <w:r w:rsidRPr="00657883">
              <w:rPr>
                <w:rFonts w:ascii="Calibri" w:hAnsi="Calibri" w:cs="Calibri"/>
                <w:sz w:val="22"/>
                <w:szCs w:val="22"/>
              </w:rPr>
              <w:t xml:space="preserve">Wind op zee </w:t>
            </w:r>
          </w:p>
        </w:tc>
        <w:tc>
          <w:tcPr>
            <w:tcW w:w="1376" w:type="dxa"/>
          </w:tcPr>
          <w:p w:rsidRPr="00657883" w:rsidR="006C2286" w:rsidP="000D3051" w:rsidRDefault="006C2286" w14:paraId="53B5767D" w14:textId="77777777">
            <w:pPr>
              <w:jc w:val="right"/>
              <w:rPr>
                <w:rFonts w:ascii="Calibri" w:hAnsi="Calibri" w:cs="Calibri"/>
                <w:sz w:val="22"/>
                <w:szCs w:val="22"/>
              </w:rPr>
            </w:pPr>
            <w:r w:rsidRPr="00657883">
              <w:rPr>
                <w:rFonts w:ascii="Calibri" w:hAnsi="Calibri" w:cs="Calibri"/>
                <w:sz w:val="22"/>
                <w:szCs w:val="22"/>
              </w:rPr>
              <w:t>-20</w:t>
            </w:r>
          </w:p>
        </w:tc>
        <w:tc>
          <w:tcPr>
            <w:tcW w:w="1317" w:type="dxa"/>
          </w:tcPr>
          <w:p w:rsidRPr="00657883" w:rsidR="006C2286" w:rsidP="000D3051" w:rsidRDefault="006C2286" w14:paraId="738F69F5" w14:textId="77777777">
            <w:pPr>
              <w:rPr>
                <w:rFonts w:ascii="Calibri" w:hAnsi="Calibri" w:cs="Calibri"/>
                <w:sz w:val="22"/>
                <w:szCs w:val="22"/>
              </w:rPr>
            </w:pPr>
            <w:r w:rsidRPr="00657883">
              <w:rPr>
                <w:rFonts w:ascii="Calibri" w:hAnsi="Calibri" w:cs="Calibri"/>
                <w:sz w:val="22"/>
                <w:szCs w:val="22"/>
              </w:rPr>
              <w:t>0%</w:t>
            </w:r>
          </w:p>
        </w:tc>
        <w:tc>
          <w:tcPr>
            <w:tcW w:w="3119" w:type="dxa"/>
          </w:tcPr>
          <w:p w:rsidRPr="00657883" w:rsidR="006C2286" w:rsidP="000D3051" w:rsidRDefault="006C2286" w14:paraId="5FE0BFF5" w14:textId="77777777">
            <w:pPr>
              <w:rPr>
                <w:rFonts w:ascii="Calibri" w:hAnsi="Calibri" w:cs="Calibri"/>
                <w:sz w:val="22"/>
                <w:szCs w:val="22"/>
              </w:rPr>
            </w:pPr>
            <w:r w:rsidRPr="00657883">
              <w:rPr>
                <w:rFonts w:ascii="Calibri" w:hAnsi="Calibri" w:cs="Calibri"/>
                <w:sz w:val="22"/>
                <w:szCs w:val="22"/>
              </w:rPr>
              <w:t xml:space="preserve">Minder inkomsten op de tender voor windpark IJmuiden Ver </w:t>
            </w:r>
            <w:proofErr w:type="spellStart"/>
            <w:r w:rsidRPr="00657883">
              <w:rPr>
                <w:rFonts w:ascii="Calibri" w:hAnsi="Calibri" w:cs="Calibri"/>
                <w:sz w:val="22"/>
                <w:szCs w:val="22"/>
              </w:rPr>
              <w:t>Beta</w:t>
            </w:r>
            <w:proofErr w:type="spellEnd"/>
            <w:r w:rsidRPr="00657883">
              <w:rPr>
                <w:rFonts w:ascii="Calibri" w:hAnsi="Calibri" w:cs="Calibri"/>
                <w:sz w:val="22"/>
                <w:szCs w:val="22"/>
              </w:rPr>
              <w:t xml:space="preserve">. </w:t>
            </w:r>
          </w:p>
        </w:tc>
      </w:tr>
    </w:tbl>
    <w:p w:rsidRPr="00657883" w:rsidR="006C2286" w:rsidP="006C2286" w:rsidRDefault="006C2286" w14:paraId="0ED36274" w14:textId="77777777">
      <w:pPr>
        <w:rPr>
          <w:rFonts w:ascii="Calibri" w:hAnsi="Calibri" w:cs="Calibri"/>
          <w:b/>
        </w:rPr>
      </w:pPr>
    </w:p>
    <w:p w:rsidRPr="00657883" w:rsidR="006C2286" w:rsidP="006C2286" w:rsidRDefault="006C2286" w14:paraId="5E74A7F9" w14:textId="77777777">
      <w:pPr>
        <w:pStyle w:val="Opsomming"/>
        <w:rPr>
          <w:rFonts w:ascii="Calibri" w:hAnsi="Calibri" w:cs="Calibri"/>
          <w:sz w:val="22"/>
          <w:szCs w:val="22"/>
        </w:rPr>
      </w:pPr>
      <w:r w:rsidRPr="00657883">
        <w:rPr>
          <w:rFonts w:ascii="Calibri" w:hAnsi="Calibri" w:cs="Calibri"/>
          <w:sz w:val="22"/>
          <w:szCs w:val="22"/>
        </w:rPr>
        <w:t xml:space="preserve">De </w:t>
      </w:r>
      <w:proofErr w:type="spellStart"/>
      <w:r w:rsidRPr="00657883">
        <w:rPr>
          <w:rFonts w:ascii="Calibri" w:hAnsi="Calibri" w:cs="Calibri"/>
          <w:sz w:val="22"/>
          <w:szCs w:val="22"/>
        </w:rPr>
        <w:t>vultaak</w:t>
      </w:r>
      <w:proofErr w:type="spellEnd"/>
      <w:r w:rsidRPr="00657883">
        <w:rPr>
          <w:rFonts w:ascii="Calibri" w:hAnsi="Calibri" w:cs="Calibri"/>
          <w:sz w:val="22"/>
          <w:szCs w:val="22"/>
        </w:rPr>
        <w:t xml:space="preserve"> van de gasopslagen lag bij </w:t>
      </w:r>
      <w:proofErr w:type="spellStart"/>
      <w:r w:rsidRPr="00657883">
        <w:rPr>
          <w:rFonts w:ascii="Calibri" w:hAnsi="Calibri" w:cs="Calibri"/>
          <w:sz w:val="22"/>
          <w:szCs w:val="22"/>
        </w:rPr>
        <w:t>GasTerra</w:t>
      </w:r>
      <w:proofErr w:type="spellEnd"/>
      <w:r w:rsidRPr="00657883">
        <w:rPr>
          <w:rFonts w:ascii="Calibri" w:hAnsi="Calibri" w:cs="Calibri"/>
          <w:sz w:val="22"/>
          <w:szCs w:val="22"/>
        </w:rPr>
        <w:t xml:space="preserve">, maar gezien de voorziene beëindiging van de activiteiten eind 2026 van </w:t>
      </w:r>
      <w:proofErr w:type="spellStart"/>
      <w:r w:rsidRPr="00657883">
        <w:rPr>
          <w:rFonts w:ascii="Calibri" w:hAnsi="Calibri" w:cs="Calibri"/>
          <w:sz w:val="22"/>
          <w:szCs w:val="22"/>
        </w:rPr>
        <w:t>GasTerra</w:t>
      </w:r>
      <w:proofErr w:type="spellEnd"/>
      <w:r w:rsidRPr="00657883">
        <w:rPr>
          <w:rFonts w:ascii="Calibri" w:hAnsi="Calibri" w:cs="Calibri"/>
          <w:sz w:val="22"/>
          <w:szCs w:val="22"/>
        </w:rPr>
        <w:t xml:space="preserve"> gaat die taak over naar EBN. EBN ontvangt een lening voor de invulling van deze taak. De lening is bedoeld voor de aankoop van gas en voor aanvullende zekerheidsstortingen wanneer de gasprijs snel oploopt. Deze lening is de voornaamste oorzaak van het verschil (+ 8,16 miljard) in de omvang van de ontwerpbegroting ten opzicht van 2025. De lening wordt terugbetaald in 2027.</w:t>
      </w:r>
    </w:p>
    <w:p w:rsidRPr="00657883" w:rsidR="006C2286" w:rsidP="006C2286" w:rsidRDefault="006C2286" w14:paraId="3C5CDF43" w14:textId="77777777">
      <w:pPr>
        <w:pStyle w:val="Opsomming"/>
        <w:rPr>
          <w:rFonts w:ascii="Calibri" w:hAnsi="Calibri" w:cs="Calibri"/>
          <w:sz w:val="22"/>
          <w:szCs w:val="22"/>
        </w:rPr>
      </w:pPr>
      <w:r w:rsidRPr="00657883">
        <w:rPr>
          <w:rFonts w:ascii="Calibri" w:hAnsi="Calibri" w:cs="Calibri"/>
          <w:sz w:val="22"/>
          <w:szCs w:val="22"/>
        </w:rPr>
        <w:t xml:space="preserve">Het ministerie van KGG boekt € 666,3 miljoen over naar het gemeentefonds. Dit is het budget van de Regeling uitvoeringskosten klimaat medeoverheden én de uitkering bedoeld voor Uitvoeringslasten Kernenergie Klimaatfonds 2025. Dit is een </w:t>
      </w:r>
      <w:r w:rsidRPr="00657883">
        <w:rPr>
          <w:rFonts w:ascii="Calibri" w:hAnsi="Calibri" w:cs="Calibri"/>
          <w:bCs/>
          <w:color w:val="auto"/>
          <w:sz w:val="22"/>
          <w:szCs w:val="22"/>
        </w:rPr>
        <w:t xml:space="preserve">verandering van uitkeringsbeleid, waardoor het geld nu via het gemeentefonds wordt uitgekeerd in plaats van direct via de begroting van KGG. </w:t>
      </w:r>
      <w:r w:rsidRPr="00657883">
        <w:rPr>
          <w:rFonts w:ascii="Calibri" w:hAnsi="Calibri" w:cs="Calibri"/>
          <w:sz w:val="22"/>
          <w:szCs w:val="22"/>
        </w:rPr>
        <w:t xml:space="preserve">De bijdrage is bedoeld om capaciteit (bemensing) te vergroten bij decentrale overheden voor de uitvoering van het klimaat- en energiebeleid in diverse sectoren (zoals gebouwde omgeving en elektriciteit) én voor capaciteit om bouw van kerncentrales voor te bereiden. </w:t>
      </w:r>
    </w:p>
    <w:p w:rsidRPr="00657883" w:rsidR="006C2286" w:rsidP="006C2286" w:rsidRDefault="006C2286" w14:paraId="51EDE515" w14:textId="77777777">
      <w:pPr>
        <w:pStyle w:val="Opsomming"/>
        <w:rPr>
          <w:rFonts w:ascii="Calibri" w:hAnsi="Calibri" w:cs="Calibri"/>
          <w:sz w:val="22"/>
          <w:szCs w:val="22"/>
        </w:rPr>
      </w:pPr>
      <w:r w:rsidRPr="00657883">
        <w:rPr>
          <w:rFonts w:ascii="Calibri" w:hAnsi="Calibri" w:cs="Calibri"/>
          <w:sz w:val="22"/>
          <w:szCs w:val="22"/>
        </w:rPr>
        <w:t>KGG zet een Garantieregeling Warmtenetten op voor een bedrag van € 174,5 miljoen, zodat warmtebedrijven tegen aantrekkelijkere voorwaarden kunnen lenen om warmtenetten aan te leggen.</w:t>
      </w:r>
    </w:p>
    <w:p w:rsidRPr="00657883" w:rsidR="006C2286" w:rsidP="006C2286" w:rsidRDefault="006C2286" w14:paraId="2E7A2501" w14:textId="77777777">
      <w:pPr>
        <w:pStyle w:val="Opsomming"/>
        <w:rPr>
          <w:rFonts w:ascii="Calibri" w:hAnsi="Calibri" w:cs="Calibri"/>
          <w:sz w:val="22"/>
          <w:szCs w:val="22"/>
        </w:rPr>
      </w:pPr>
      <w:r w:rsidRPr="00657883">
        <w:rPr>
          <w:rFonts w:ascii="Calibri" w:hAnsi="Calibri" w:cs="Calibri"/>
          <w:sz w:val="22"/>
          <w:szCs w:val="22"/>
        </w:rPr>
        <w:t xml:space="preserve">Het kabinet heeft in 2025 de vergunning van het windpark in kavel IJmuiden Ver </w:t>
      </w:r>
      <w:proofErr w:type="spellStart"/>
      <w:r w:rsidRPr="00657883">
        <w:rPr>
          <w:rFonts w:ascii="Calibri" w:hAnsi="Calibri" w:cs="Calibri"/>
          <w:sz w:val="22"/>
          <w:szCs w:val="22"/>
        </w:rPr>
        <w:t>Beta</w:t>
      </w:r>
      <w:proofErr w:type="spellEnd"/>
      <w:r w:rsidRPr="00657883">
        <w:rPr>
          <w:rFonts w:ascii="Calibri" w:hAnsi="Calibri" w:cs="Calibri"/>
          <w:sz w:val="22"/>
          <w:szCs w:val="22"/>
        </w:rPr>
        <w:t xml:space="preserve"> gewijzigd, waardoor er minder inkomsten zijn voor het Rijk (€ 400 miljoen). Hierdoor zijn er minder inkomsten voor het Rijk (€ 400 miljoen) die in tranches in mindering worden gebracht op de begroting van KGG ( 5 x -€ 20 miljoen) in de jaren 2026- 2030. De resterende  € 300 miljoen wordt na 2030 in mindering gebracht op de meerjarig </w:t>
      </w:r>
      <w:r w:rsidRPr="00657883">
        <w:rPr>
          <w:rFonts w:ascii="Calibri" w:hAnsi="Calibri" w:cs="Calibri"/>
          <w:sz w:val="22"/>
          <w:szCs w:val="22"/>
        </w:rPr>
        <w:lastRenderedPageBreak/>
        <w:t xml:space="preserve">beschikbare middelen van de Stimulering Duurzame Energieproductie en Klimaattransitie (SDE++). </w:t>
      </w:r>
    </w:p>
    <w:p w:rsidRPr="00657883" w:rsidR="006C2286" w:rsidP="006C2286" w:rsidRDefault="006C2286" w14:paraId="1EEA710E" w14:textId="77777777">
      <w:pPr>
        <w:pStyle w:val="Opsomming"/>
        <w:numPr>
          <w:ilvl w:val="0"/>
          <w:numId w:val="0"/>
        </w:numPr>
        <w:ind w:left="283"/>
        <w:rPr>
          <w:rFonts w:ascii="Calibri" w:hAnsi="Calibri" w:cs="Calibri"/>
          <w:sz w:val="22"/>
          <w:szCs w:val="22"/>
        </w:rPr>
      </w:pPr>
    </w:p>
    <w:p w:rsidRPr="00657883" w:rsidR="006C2286" w:rsidP="006C2286" w:rsidRDefault="006C2286" w14:paraId="22FFE9D3" w14:textId="77777777">
      <w:pPr>
        <w:pStyle w:val="Kop1"/>
        <w:rPr>
          <w:rFonts w:ascii="Calibri" w:hAnsi="Calibri" w:cs="Calibri"/>
          <w:sz w:val="22"/>
          <w:szCs w:val="22"/>
        </w:rPr>
      </w:pPr>
      <w:r w:rsidRPr="00657883">
        <w:rPr>
          <w:rFonts w:ascii="Calibri" w:hAnsi="Calibri" w:cs="Calibri"/>
          <w:sz w:val="22"/>
          <w:szCs w:val="22"/>
        </w:rPr>
        <w:t>Sturen op Resultaten</w:t>
      </w:r>
    </w:p>
    <w:p w:rsidRPr="00657883" w:rsidR="006C2286" w:rsidP="006C2286" w:rsidRDefault="006C2286" w14:paraId="4EB9FEEC" w14:textId="77777777">
      <w:pPr>
        <w:rPr>
          <w:rFonts w:ascii="Calibri" w:hAnsi="Calibri" w:cs="Calibri"/>
          <w:i/>
        </w:rPr>
      </w:pPr>
      <w:r w:rsidRPr="00657883">
        <w:rPr>
          <w:rFonts w:ascii="Calibri" w:hAnsi="Calibri" w:cs="Calibri"/>
          <w:i/>
        </w:rPr>
        <w:t>Doelen</w:t>
      </w:r>
    </w:p>
    <w:p w:rsidRPr="00657883" w:rsidR="006C2286" w:rsidP="006C2286" w:rsidRDefault="006C2286" w14:paraId="50757136" w14:textId="77777777">
      <w:pPr>
        <w:rPr>
          <w:rFonts w:ascii="Calibri" w:hAnsi="Calibri" w:cs="Calibri"/>
        </w:rPr>
      </w:pPr>
      <w:r w:rsidRPr="00657883">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657883" w:rsidR="006C2286" w:rsidP="006C2286" w:rsidRDefault="006C2286" w14:paraId="4484F76A" w14:textId="77777777">
      <w:pPr>
        <w:rPr>
          <w:rFonts w:ascii="Calibri" w:hAnsi="Calibri" w:cs="Calibri"/>
        </w:rPr>
      </w:pPr>
    </w:p>
    <w:p w:rsidRPr="00657883" w:rsidR="006C2286" w:rsidP="006C2286" w:rsidRDefault="006C2286" w14:paraId="3C146C55" w14:textId="77777777">
      <w:pPr>
        <w:rPr>
          <w:rFonts w:ascii="Calibri" w:hAnsi="Calibri" w:cs="Calibri"/>
        </w:rPr>
      </w:pPr>
      <w:r w:rsidRPr="00657883">
        <w:rPr>
          <w:rFonts w:ascii="Calibri" w:hAnsi="Calibri" w:cs="Calibri"/>
        </w:rPr>
        <w:t xml:space="preserve">We stellen vast dat voor de in de beleidsagenda aangegeven beleidsprioriteiten </w:t>
      </w:r>
    </w:p>
    <w:p w:rsidRPr="00657883" w:rsidR="006C2286" w:rsidP="006C2286" w:rsidRDefault="006C2286" w14:paraId="768CD603" w14:textId="77777777">
      <w:pPr>
        <w:rPr>
          <w:rFonts w:ascii="Calibri" w:hAnsi="Calibri" w:cs="Calibri"/>
        </w:rPr>
      </w:pPr>
      <w:r w:rsidRPr="00657883">
        <w:rPr>
          <w:rFonts w:ascii="Calibri" w:hAnsi="Calibri" w:cs="Calibri"/>
        </w:rPr>
        <w:t xml:space="preserve">beperkte concrete doelen zijn geformuleerd. </w:t>
      </w:r>
    </w:p>
    <w:p w:rsidRPr="00657883" w:rsidR="006C2286" w:rsidP="006C2286" w:rsidRDefault="006C2286" w14:paraId="13FB28D4" w14:textId="77777777">
      <w:pPr>
        <w:rPr>
          <w:rFonts w:ascii="Calibri" w:hAnsi="Calibri" w:cs="Calibri"/>
        </w:rPr>
      </w:pPr>
    </w:p>
    <w:p w:rsidRPr="00657883" w:rsidR="006C2286" w:rsidP="006C2286" w:rsidRDefault="006C2286" w14:paraId="255A0AAF" w14:textId="77777777">
      <w:pPr>
        <w:rPr>
          <w:rFonts w:ascii="Calibri" w:hAnsi="Calibri" w:cs="Calibri"/>
        </w:rPr>
      </w:pPr>
      <w:r w:rsidRPr="00657883">
        <w:rPr>
          <w:rFonts w:ascii="Calibri" w:hAnsi="Calibri" w:cs="Calibri"/>
        </w:rPr>
        <w:t>Wij hebben daarbij in deze ontwerpbegroting 2026 wel een verwijzing naar doelstellingen brede welvaart gevonden. Dit zijn echter algemene verwijzingen naar brede welvaart die de minister gebruikt als contextinformatie.</w:t>
      </w:r>
    </w:p>
    <w:p w:rsidRPr="00657883" w:rsidR="006C2286" w:rsidP="006C2286" w:rsidRDefault="006C2286" w14:paraId="0A58A1DC" w14:textId="77777777">
      <w:pPr>
        <w:rPr>
          <w:rFonts w:ascii="Calibri" w:hAnsi="Calibri" w:cs="Calibri"/>
        </w:rPr>
      </w:pPr>
    </w:p>
    <w:p w:rsidRPr="00657883" w:rsidR="006C2286" w:rsidP="006C2286" w:rsidRDefault="006C2286" w14:paraId="054636F0" w14:textId="77777777">
      <w:pPr>
        <w:rPr>
          <w:rFonts w:ascii="Calibri" w:hAnsi="Calibri" w:cs="Calibri"/>
        </w:rPr>
      </w:pPr>
      <w:r w:rsidRPr="00657883">
        <w:rPr>
          <w:rFonts w:ascii="Calibri" w:hAnsi="Calibri" w:cs="Calibri"/>
        </w:rPr>
        <w:t>We geven ter illustratie enkele voorbeelden van een formulering van een doelstelling (beleidsprioriteit of anderszins) in deze ontwerpbegroting:</w:t>
      </w:r>
    </w:p>
    <w:p w:rsidRPr="00657883" w:rsidR="006C2286" w:rsidP="006C2286" w:rsidRDefault="006C2286" w14:paraId="71B649A2" w14:textId="77777777">
      <w:pPr>
        <w:rPr>
          <w:rFonts w:ascii="Calibri" w:hAnsi="Calibri" w:cs="Calibri"/>
        </w:rPr>
      </w:pPr>
    </w:p>
    <w:p w:rsidRPr="00657883" w:rsidR="006C2286" w:rsidP="006C2286" w:rsidRDefault="006C2286" w14:paraId="7933D1BF" w14:textId="77777777">
      <w:pPr>
        <w:rPr>
          <w:rFonts w:ascii="Calibri" w:hAnsi="Calibri" w:cs="Calibri"/>
          <w:b/>
        </w:rPr>
      </w:pPr>
      <w:r w:rsidRPr="00657883">
        <w:rPr>
          <w:rFonts w:ascii="Calibri" w:hAnsi="Calibri" w:cs="Calibri"/>
          <w:b/>
        </w:rPr>
        <w:t>Tabel 2: Goed en minder goed voorbeeld van doelformulering in de begroting van ministerie van KGG</w:t>
      </w:r>
    </w:p>
    <w:tbl>
      <w:tblPr>
        <w:tblStyle w:val="Tabelraster"/>
        <w:tblW w:w="8359" w:type="dxa"/>
        <w:tblLook w:val="04A0" w:firstRow="1" w:lastRow="0" w:firstColumn="1" w:lastColumn="0" w:noHBand="0" w:noVBand="1"/>
      </w:tblPr>
      <w:tblGrid>
        <w:gridCol w:w="1407"/>
        <w:gridCol w:w="2169"/>
        <w:gridCol w:w="1424"/>
        <w:gridCol w:w="3359"/>
      </w:tblGrid>
      <w:tr w:rsidRPr="00657883" w:rsidR="006C2286" w:rsidTr="000D3051" w14:paraId="63FCEA3E" w14:textId="77777777">
        <w:tc>
          <w:tcPr>
            <w:tcW w:w="1469" w:type="dxa"/>
            <w:shd w:val="clear" w:color="auto" w:fill="C1E4F5" w:themeFill="accent1" w:themeFillTint="33"/>
          </w:tcPr>
          <w:p w:rsidRPr="00657883" w:rsidR="006C2286" w:rsidP="000D3051" w:rsidRDefault="006C2286" w14:paraId="54027D01" w14:textId="77777777">
            <w:pPr>
              <w:rPr>
                <w:rFonts w:ascii="Calibri" w:hAnsi="Calibri" w:cs="Calibri"/>
                <w:sz w:val="22"/>
                <w:szCs w:val="22"/>
              </w:rPr>
            </w:pPr>
          </w:p>
        </w:tc>
        <w:tc>
          <w:tcPr>
            <w:tcW w:w="2212" w:type="dxa"/>
            <w:shd w:val="clear" w:color="auto" w:fill="C1E4F5" w:themeFill="accent1" w:themeFillTint="33"/>
          </w:tcPr>
          <w:p w:rsidRPr="00657883" w:rsidR="006C2286" w:rsidP="000D3051" w:rsidRDefault="006C2286" w14:paraId="7E826980" w14:textId="77777777">
            <w:pPr>
              <w:rPr>
                <w:rFonts w:ascii="Calibri" w:hAnsi="Calibri" w:cs="Calibri"/>
                <w:sz w:val="22"/>
                <w:szCs w:val="22"/>
              </w:rPr>
            </w:pPr>
            <w:r w:rsidRPr="00657883">
              <w:rPr>
                <w:rFonts w:ascii="Calibri" w:hAnsi="Calibri" w:cs="Calibri"/>
                <w:sz w:val="22"/>
                <w:szCs w:val="22"/>
              </w:rPr>
              <w:t>Doelformulering</w:t>
            </w:r>
          </w:p>
        </w:tc>
        <w:tc>
          <w:tcPr>
            <w:tcW w:w="892" w:type="dxa"/>
            <w:shd w:val="clear" w:color="auto" w:fill="C1E4F5" w:themeFill="accent1" w:themeFillTint="33"/>
          </w:tcPr>
          <w:p w:rsidRPr="00657883" w:rsidR="006C2286" w:rsidP="000D3051" w:rsidRDefault="006C2286" w14:paraId="6C16410B" w14:textId="77777777">
            <w:pPr>
              <w:rPr>
                <w:rFonts w:ascii="Calibri" w:hAnsi="Calibri" w:cs="Calibri"/>
                <w:sz w:val="22"/>
                <w:szCs w:val="22"/>
              </w:rPr>
            </w:pPr>
            <w:r w:rsidRPr="00657883">
              <w:rPr>
                <w:rFonts w:ascii="Calibri" w:hAnsi="Calibri" w:cs="Calibri"/>
                <w:sz w:val="22"/>
                <w:szCs w:val="22"/>
              </w:rPr>
              <w:t>Beleidsartikel</w:t>
            </w:r>
          </w:p>
        </w:tc>
        <w:tc>
          <w:tcPr>
            <w:tcW w:w="3786" w:type="dxa"/>
            <w:shd w:val="clear" w:color="auto" w:fill="C1E4F5" w:themeFill="accent1" w:themeFillTint="33"/>
          </w:tcPr>
          <w:p w:rsidRPr="00657883" w:rsidR="006C2286" w:rsidP="000D3051" w:rsidRDefault="006C2286" w14:paraId="2CCA326A" w14:textId="77777777">
            <w:pPr>
              <w:rPr>
                <w:rFonts w:ascii="Calibri" w:hAnsi="Calibri" w:cs="Calibri"/>
                <w:sz w:val="22"/>
                <w:szCs w:val="22"/>
              </w:rPr>
            </w:pPr>
            <w:r w:rsidRPr="00657883">
              <w:rPr>
                <w:rFonts w:ascii="Calibri" w:hAnsi="Calibri" w:cs="Calibri"/>
                <w:sz w:val="22"/>
                <w:szCs w:val="22"/>
              </w:rPr>
              <w:t>Toelichting AR</w:t>
            </w:r>
          </w:p>
        </w:tc>
      </w:tr>
      <w:tr w:rsidRPr="00657883" w:rsidR="006C2286" w:rsidTr="000D3051" w14:paraId="066E2F2D" w14:textId="77777777">
        <w:tc>
          <w:tcPr>
            <w:tcW w:w="1469" w:type="dxa"/>
          </w:tcPr>
          <w:p w:rsidRPr="00657883" w:rsidR="006C2286" w:rsidP="000D3051" w:rsidRDefault="006C2286" w14:paraId="78B32F47" w14:textId="77777777">
            <w:pPr>
              <w:rPr>
                <w:rFonts w:ascii="Calibri" w:hAnsi="Calibri" w:cs="Calibri"/>
                <w:sz w:val="22"/>
                <w:szCs w:val="22"/>
              </w:rPr>
            </w:pPr>
            <w:r w:rsidRPr="00657883">
              <w:rPr>
                <w:rFonts w:ascii="Calibri" w:hAnsi="Calibri" w:cs="Calibri"/>
                <w:sz w:val="22"/>
                <w:szCs w:val="22"/>
              </w:rPr>
              <w:t xml:space="preserve">Goed voorbeeld </w:t>
            </w:r>
          </w:p>
        </w:tc>
        <w:tc>
          <w:tcPr>
            <w:tcW w:w="2212" w:type="dxa"/>
          </w:tcPr>
          <w:p w:rsidRPr="00657883" w:rsidR="006C2286" w:rsidP="000D3051" w:rsidRDefault="006C2286" w14:paraId="0D29A012" w14:textId="77777777">
            <w:pPr>
              <w:rPr>
                <w:rFonts w:ascii="Calibri" w:hAnsi="Calibri" w:cs="Calibri"/>
                <w:sz w:val="22"/>
                <w:szCs w:val="22"/>
              </w:rPr>
            </w:pPr>
            <w:r w:rsidRPr="00657883">
              <w:rPr>
                <w:rFonts w:ascii="Calibri" w:hAnsi="Calibri" w:cs="Calibri"/>
                <w:b/>
                <w:sz w:val="22"/>
                <w:szCs w:val="22"/>
              </w:rPr>
              <w:t xml:space="preserve">Verduurzaming industrie: </w:t>
            </w:r>
            <w:r w:rsidRPr="00657883">
              <w:rPr>
                <w:rFonts w:ascii="Calibri" w:hAnsi="Calibri" w:cs="Calibri"/>
                <w:sz w:val="22"/>
                <w:szCs w:val="22"/>
              </w:rPr>
              <w:t>broeikasgasuitstoot van de industrie in 2030 vermindert met 55% ten opzichte van 1990.</w:t>
            </w:r>
          </w:p>
        </w:tc>
        <w:tc>
          <w:tcPr>
            <w:tcW w:w="892" w:type="dxa"/>
          </w:tcPr>
          <w:p w:rsidRPr="00657883" w:rsidR="006C2286" w:rsidP="000D3051" w:rsidRDefault="006C2286" w14:paraId="10EE8DF6" w14:textId="77777777">
            <w:pPr>
              <w:rPr>
                <w:rFonts w:ascii="Calibri" w:hAnsi="Calibri" w:cs="Calibri"/>
                <w:sz w:val="22"/>
                <w:szCs w:val="22"/>
              </w:rPr>
            </w:pPr>
            <w:r w:rsidRPr="00657883">
              <w:rPr>
                <w:rFonts w:ascii="Calibri" w:hAnsi="Calibri" w:cs="Calibri"/>
                <w:sz w:val="22"/>
                <w:szCs w:val="22"/>
              </w:rPr>
              <w:t>31</w:t>
            </w:r>
          </w:p>
        </w:tc>
        <w:tc>
          <w:tcPr>
            <w:tcW w:w="3786" w:type="dxa"/>
          </w:tcPr>
          <w:p w:rsidRPr="00657883" w:rsidR="006C2286" w:rsidP="000D3051" w:rsidRDefault="006C2286" w14:paraId="2AC8CB6B" w14:textId="77777777">
            <w:pPr>
              <w:rPr>
                <w:rFonts w:ascii="Calibri" w:hAnsi="Calibri" w:cs="Calibri"/>
                <w:sz w:val="22"/>
                <w:szCs w:val="22"/>
              </w:rPr>
            </w:pPr>
            <w:r w:rsidRPr="00657883">
              <w:rPr>
                <w:rFonts w:ascii="Calibri" w:hAnsi="Calibri" w:cs="Calibri"/>
                <w:sz w:val="22"/>
                <w:szCs w:val="22"/>
              </w:rPr>
              <w:t>Deze doelstelling is specifiek, meetbaar, tijdgebonden en daarom goed navolgbaar voor de Tweede Kamer.</w:t>
            </w:r>
          </w:p>
          <w:p w:rsidRPr="00657883" w:rsidR="006C2286" w:rsidP="000D3051" w:rsidRDefault="006C2286" w14:paraId="7430926C" w14:textId="77777777">
            <w:pPr>
              <w:rPr>
                <w:rFonts w:ascii="Calibri" w:hAnsi="Calibri" w:cs="Calibri"/>
                <w:sz w:val="22"/>
                <w:szCs w:val="22"/>
              </w:rPr>
            </w:pPr>
            <w:r w:rsidRPr="00657883">
              <w:rPr>
                <w:rFonts w:ascii="Calibri" w:hAnsi="Calibri" w:cs="Calibri"/>
                <w:sz w:val="22"/>
                <w:szCs w:val="22"/>
              </w:rPr>
              <w:t xml:space="preserve">Het dashboard klimaatbeleid laat (onder andere) het doel in 2030 en het geraamde effect van het huidige beleid in 2030 zien. </w:t>
            </w:r>
          </w:p>
        </w:tc>
      </w:tr>
      <w:tr w:rsidRPr="00657883" w:rsidR="006C2286" w:rsidTr="000D3051" w14:paraId="0E2BC369" w14:textId="77777777">
        <w:tc>
          <w:tcPr>
            <w:tcW w:w="1469" w:type="dxa"/>
          </w:tcPr>
          <w:p w:rsidRPr="00657883" w:rsidR="006C2286" w:rsidP="000D3051" w:rsidRDefault="006C2286" w14:paraId="4C14813A" w14:textId="77777777">
            <w:pPr>
              <w:rPr>
                <w:rFonts w:ascii="Calibri" w:hAnsi="Calibri" w:cs="Calibri"/>
                <w:sz w:val="22"/>
                <w:szCs w:val="22"/>
              </w:rPr>
            </w:pPr>
            <w:r w:rsidRPr="00657883">
              <w:rPr>
                <w:rFonts w:ascii="Calibri" w:hAnsi="Calibri" w:cs="Calibri"/>
                <w:sz w:val="22"/>
                <w:szCs w:val="22"/>
              </w:rPr>
              <w:t>Minder goed voorbeeld</w:t>
            </w:r>
          </w:p>
        </w:tc>
        <w:tc>
          <w:tcPr>
            <w:tcW w:w="2212" w:type="dxa"/>
          </w:tcPr>
          <w:p w:rsidRPr="00657883" w:rsidR="006C2286" w:rsidP="000D3051" w:rsidRDefault="006C2286" w14:paraId="49AE6A88" w14:textId="77777777">
            <w:pPr>
              <w:rPr>
                <w:rFonts w:ascii="Calibri" w:hAnsi="Calibri" w:cs="Calibri"/>
                <w:sz w:val="22"/>
                <w:szCs w:val="22"/>
              </w:rPr>
            </w:pPr>
            <w:r w:rsidRPr="00657883">
              <w:rPr>
                <w:rFonts w:ascii="Calibri" w:hAnsi="Calibri" w:cs="Calibri"/>
                <w:sz w:val="22"/>
                <w:szCs w:val="22"/>
              </w:rPr>
              <w:t xml:space="preserve">Het demissionaire Kabinet werkt aan de </w:t>
            </w:r>
            <w:r w:rsidRPr="00657883">
              <w:rPr>
                <w:rFonts w:ascii="Calibri" w:hAnsi="Calibri" w:cs="Calibri"/>
                <w:sz w:val="22"/>
                <w:szCs w:val="22"/>
              </w:rPr>
              <w:lastRenderedPageBreak/>
              <w:t xml:space="preserve">acties in het Landelijk Actieprogramma Netcongestie (LAN) langs 3 actielijnen: sneller bouwen, beter benutten en slimmer inzicht. Ook zet het kabinet in op een snellere fysieke uitbreiding van het nationale hoogspanningsnet met circa 25 projecten.  </w:t>
            </w:r>
          </w:p>
        </w:tc>
        <w:tc>
          <w:tcPr>
            <w:tcW w:w="892" w:type="dxa"/>
          </w:tcPr>
          <w:p w:rsidRPr="00657883" w:rsidR="006C2286" w:rsidP="000D3051" w:rsidRDefault="006C2286" w14:paraId="4339C2CA" w14:textId="77777777">
            <w:pPr>
              <w:rPr>
                <w:rFonts w:ascii="Calibri" w:hAnsi="Calibri" w:cs="Calibri"/>
                <w:sz w:val="22"/>
                <w:szCs w:val="22"/>
              </w:rPr>
            </w:pPr>
            <w:r w:rsidRPr="00657883">
              <w:rPr>
                <w:rFonts w:ascii="Calibri" w:hAnsi="Calibri" w:cs="Calibri"/>
                <w:sz w:val="22"/>
                <w:szCs w:val="22"/>
              </w:rPr>
              <w:lastRenderedPageBreak/>
              <w:t>31</w:t>
            </w:r>
          </w:p>
        </w:tc>
        <w:tc>
          <w:tcPr>
            <w:tcW w:w="3786" w:type="dxa"/>
          </w:tcPr>
          <w:p w:rsidRPr="00657883" w:rsidR="006C2286" w:rsidP="000D3051" w:rsidRDefault="006C2286" w14:paraId="19F2A1FE" w14:textId="77777777">
            <w:pPr>
              <w:rPr>
                <w:rFonts w:ascii="Calibri" w:hAnsi="Calibri" w:cs="Calibri"/>
                <w:sz w:val="22"/>
                <w:szCs w:val="22"/>
              </w:rPr>
            </w:pPr>
            <w:r w:rsidRPr="00657883">
              <w:rPr>
                <w:rFonts w:ascii="Calibri" w:hAnsi="Calibri" w:cs="Calibri"/>
                <w:sz w:val="22"/>
                <w:szCs w:val="22"/>
              </w:rPr>
              <w:t xml:space="preserve">Deze doelstelling is op delen specifiek ( 3 actielijnen, 25 </w:t>
            </w:r>
            <w:r w:rsidRPr="00657883">
              <w:rPr>
                <w:rFonts w:ascii="Calibri" w:hAnsi="Calibri" w:cs="Calibri"/>
                <w:sz w:val="22"/>
                <w:szCs w:val="22"/>
              </w:rPr>
              <w:lastRenderedPageBreak/>
              <w:t xml:space="preserve">projecten), maar niet goed meetbaar. Uit de titels van de actielijnen wordt niet duidelijk wat de specifieke doelen zijn. </w:t>
            </w:r>
          </w:p>
          <w:p w:rsidRPr="00657883" w:rsidR="006C2286" w:rsidP="000D3051" w:rsidRDefault="006C2286" w14:paraId="0C3D4240" w14:textId="77777777">
            <w:pPr>
              <w:rPr>
                <w:rFonts w:ascii="Calibri" w:hAnsi="Calibri" w:cs="Calibri"/>
                <w:sz w:val="22"/>
                <w:szCs w:val="22"/>
              </w:rPr>
            </w:pPr>
            <w:r w:rsidRPr="00657883">
              <w:rPr>
                <w:rFonts w:ascii="Calibri" w:hAnsi="Calibri" w:cs="Calibri"/>
                <w:sz w:val="22"/>
                <w:szCs w:val="22"/>
              </w:rPr>
              <w:t xml:space="preserve">Ook is de doelstelling niet tijdgebonden en daarom niet navolgbaar voor de Tweede Kamer. Het is niet duidelijk wanneer welke doelen gerealiseerd moeten zijn. </w:t>
            </w:r>
          </w:p>
          <w:p w:rsidRPr="00657883" w:rsidR="006C2286" w:rsidP="000D3051" w:rsidRDefault="006C2286" w14:paraId="252354D6" w14:textId="77777777">
            <w:pPr>
              <w:rPr>
                <w:rFonts w:ascii="Calibri" w:hAnsi="Calibri" w:cs="Calibri"/>
                <w:sz w:val="22"/>
                <w:szCs w:val="22"/>
              </w:rPr>
            </w:pPr>
          </w:p>
          <w:p w:rsidRPr="00657883" w:rsidR="006C2286" w:rsidP="000D3051" w:rsidRDefault="006C2286" w14:paraId="577A6970" w14:textId="77777777">
            <w:pPr>
              <w:rPr>
                <w:rFonts w:ascii="Calibri" w:hAnsi="Calibri" w:cs="Calibri"/>
                <w:sz w:val="22"/>
                <w:szCs w:val="22"/>
              </w:rPr>
            </w:pPr>
          </w:p>
        </w:tc>
      </w:tr>
    </w:tbl>
    <w:p w:rsidRPr="00657883" w:rsidR="006C2286" w:rsidP="006C2286" w:rsidRDefault="006C2286" w14:paraId="3FF43ED4" w14:textId="77777777">
      <w:pPr>
        <w:rPr>
          <w:rFonts w:ascii="Calibri" w:hAnsi="Calibri" w:cs="Calibri"/>
        </w:rPr>
      </w:pPr>
    </w:p>
    <w:p w:rsidRPr="00657883" w:rsidR="006C2286" w:rsidP="006C2286" w:rsidRDefault="006C2286" w14:paraId="181B20E3" w14:textId="77777777">
      <w:pPr>
        <w:rPr>
          <w:rFonts w:ascii="Calibri" w:hAnsi="Calibri" w:cs="Calibri"/>
          <w:i/>
        </w:rPr>
      </w:pPr>
      <w:r w:rsidRPr="00657883">
        <w:rPr>
          <w:rFonts w:ascii="Calibri" w:hAnsi="Calibri" w:cs="Calibri"/>
          <w:i/>
        </w:rPr>
        <w:t>Strategische evaluatieagenda (SEA)</w:t>
      </w:r>
    </w:p>
    <w:p w:rsidRPr="00657883" w:rsidR="006C2286" w:rsidP="006C2286" w:rsidRDefault="006C2286" w14:paraId="63C95E15" w14:textId="77777777">
      <w:pPr>
        <w:rPr>
          <w:rFonts w:ascii="Calibri" w:hAnsi="Calibri" w:cs="Calibri"/>
        </w:rPr>
      </w:pPr>
      <w:r w:rsidRPr="00657883">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657883" w:rsidR="006C2286" w:rsidP="006C2286" w:rsidRDefault="006C2286" w14:paraId="3F2B3F9E" w14:textId="77777777">
      <w:pPr>
        <w:pStyle w:val="Lijstalinea"/>
        <w:numPr>
          <w:ilvl w:val="0"/>
          <w:numId w:val="3"/>
        </w:numPr>
        <w:autoSpaceDN w:val="0"/>
        <w:spacing w:after="0" w:line="320" w:lineRule="exact"/>
        <w:textAlignment w:val="baseline"/>
        <w:rPr>
          <w:rFonts w:ascii="Calibri" w:hAnsi="Calibri" w:cs="Calibri"/>
        </w:rPr>
      </w:pPr>
      <w:r w:rsidRPr="00657883">
        <w:rPr>
          <w:rFonts w:ascii="Calibri" w:hAnsi="Calibri" w:cs="Calibri"/>
        </w:rPr>
        <w:t>of minister de Kamer inzicht geeft of de evaluatieagenda financieel dekkend is;</w:t>
      </w:r>
    </w:p>
    <w:p w:rsidRPr="00657883" w:rsidR="006C2286" w:rsidP="006C2286" w:rsidRDefault="006C2286" w14:paraId="79347121" w14:textId="77777777">
      <w:pPr>
        <w:pStyle w:val="Lijstalinea"/>
        <w:numPr>
          <w:ilvl w:val="0"/>
          <w:numId w:val="3"/>
        </w:numPr>
        <w:autoSpaceDN w:val="0"/>
        <w:spacing w:after="0" w:line="320" w:lineRule="exact"/>
        <w:textAlignment w:val="baseline"/>
        <w:rPr>
          <w:rFonts w:ascii="Calibri" w:hAnsi="Calibri" w:cs="Calibri"/>
        </w:rPr>
      </w:pPr>
      <w:r w:rsidRPr="00657883">
        <w:rPr>
          <w:rFonts w:ascii="Calibri" w:hAnsi="Calibri" w:cs="Calibri"/>
        </w:rPr>
        <w:t>of, op basis van de kennis uit eerder onderzoek, de SEA (inhoudelijke) blinde vlekken kent;</w:t>
      </w:r>
    </w:p>
    <w:p w:rsidRPr="00657883" w:rsidR="006C2286" w:rsidP="006C2286" w:rsidRDefault="006C2286" w14:paraId="6BE4EBEF" w14:textId="77777777">
      <w:pPr>
        <w:pStyle w:val="Lijstalinea"/>
        <w:numPr>
          <w:ilvl w:val="0"/>
          <w:numId w:val="3"/>
        </w:numPr>
        <w:autoSpaceDN w:val="0"/>
        <w:spacing w:after="0" w:line="320" w:lineRule="exact"/>
        <w:textAlignment w:val="baseline"/>
        <w:rPr>
          <w:rFonts w:ascii="Calibri" w:hAnsi="Calibri" w:cs="Calibri"/>
        </w:rPr>
      </w:pPr>
      <w:r w:rsidRPr="00657883">
        <w:rPr>
          <w:rFonts w:ascii="Calibri" w:hAnsi="Calibri" w:cs="Calibri"/>
        </w:rPr>
        <w:t xml:space="preserve">Daarnaast wijzen we de Kamer op evaluaties die ons inziens van bijzonder belang zijn. </w:t>
      </w:r>
    </w:p>
    <w:p w:rsidRPr="00657883" w:rsidR="006C2286" w:rsidP="006C2286" w:rsidRDefault="006C2286" w14:paraId="483C0DDC" w14:textId="77777777">
      <w:pPr>
        <w:rPr>
          <w:rFonts w:ascii="Calibri" w:hAnsi="Calibri" w:cs="Calibri"/>
        </w:rPr>
      </w:pPr>
    </w:p>
    <w:p w:rsidRPr="00657883" w:rsidR="006C2286" w:rsidP="006C2286" w:rsidRDefault="006C2286" w14:paraId="42EC8943" w14:textId="77777777">
      <w:pPr>
        <w:rPr>
          <w:rFonts w:ascii="Calibri" w:hAnsi="Calibri" w:cs="Calibri"/>
        </w:rPr>
      </w:pPr>
      <w:r w:rsidRPr="00657883">
        <w:rPr>
          <w:rFonts w:ascii="Calibri" w:hAnsi="Calibri" w:cs="Calibri"/>
        </w:rPr>
        <w:t xml:space="preserve">a. </w:t>
      </w:r>
      <w:r w:rsidRPr="00657883">
        <w:rPr>
          <w:rFonts w:ascii="Calibri" w:hAnsi="Calibri" w:cs="Calibri"/>
          <w:i/>
        </w:rPr>
        <w:t>Afdekking van de uitgaven door evaluatieonderzoek</w:t>
      </w:r>
      <w:r w:rsidRPr="00657883">
        <w:rPr>
          <w:rFonts w:ascii="Calibri" w:hAnsi="Calibri" w:cs="Calibri"/>
        </w:rPr>
        <w:t xml:space="preserve"> </w:t>
      </w:r>
    </w:p>
    <w:p w:rsidRPr="00657883" w:rsidR="006C2286" w:rsidP="006C2286" w:rsidRDefault="006C2286" w14:paraId="075AAF1A" w14:textId="77777777">
      <w:pPr>
        <w:rPr>
          <w:rFonts w:ascii="Calibri" w:hAnsi="Calibri" w:cs="Calibri"/>
        </w:rPr>
      </w:pPr>
      <w:r w:rsidRPr="00657883">
        <w:rPr>
          <w:rFonts w:ascii="Calibri" w:hAnsi="Calibri" w:cs="Calibri"/>
        </w:rPr>
        <w:t>Uit de SEA blijkt dat voor het begrotingsartikel 31 (er is maar 1 begrotingsartikel) evaluaties zijn uitgevoerd of gepland. In de beleidsagenda is een tabel met geplande evaluaties van beleidsthema’s opgenomen en in bijlage 4 van de begroting staat de onderliggende evaluatieplanning. Maar de minister maakt niet inzichtelijk in hoeverre het hele begrotingsartikel met evaluaties is afgedekt en biedt de Kamer zo niet een duidelijk beeld van de afdekking van de financiële middelen met evaluaties. Op deze wijze heeft de Tweede Kamer geen inzicht in de mate waarin geplande en uitgevoerde evaluaties in de SEA de uitgaven afdekken.</w:t>
      </w:r>
    </w:p>
    <w:p w:rsidRPr="00657883" w:rsidR="006C2286" w:rsidP="006C2286" w:rsidRDefault="006C2286" w14:paraId="3CFC312B" w14:textId="77777777">
      <w:pPr>
        <w:rPr>
          <w:rFonts w:ascii="Calibri" w:hAnsi="Calibri" w:cs="Calibri"/>
        </w:rPr>
      </w:pPr>
    </w:p>
    <w:p w:rsidRPr="00657883" w:rsidR="006C2286" w:rsidP="006C2286" w:rsidRDefault="006C2286" w14:paraId="31F7055B" w14:textId="77777777">
      <w:pPr>
        <w:rPr>
          <w:rFonts w:ascii="Calibri" w:hAnsi="Calibri" w:cs="Calibri"/>
        </w:rPr>
      </w:pPr>
      <w:r w:rsidRPr="00657883">
        <w:rPr>
          <w:rFonts w:ascii="Calibri" w:hAnsi="Calibri" w:cs="Calibri"/>
        </w:rPr>
        <w:lastRenderedPageBreak/>
        <w:t xml:space="preserve">Naast deze evaluaties van beleidsthema’s publiceert de minister jaarlijks nog 2 andere documenten, namelijk de Klimaatnota (sinds 2021) en de Energienota (sinds 2024) met de belangrijkste ontwikkelingen op het gebied van het klimaat- en energiebeleid. Vanaf najaar  2025 worden deze 2 nota’s samengevoegd. Ook publiceert de minister sinds 2021 een dashboard klimaatbeleid met informatie over de voortgang van het nationale klimaatbeleid en de ontwikkeling van de broeikasgasemissies in Nederland. </w:t>
      </w:r>
    </w:p>
    <w:p w:rsidRPr="00657883" w:rsidR="006C2286" w:rsidP="006C2286" w:rsidRDefault="006C2286" w14:paraId="6C953984" w14:textId="77777777">
      <w:pPr>
        <w:rPr>
          <w:rFonts w:ascii="Calibri" w:hAnsi="Calibri" w:cs="Calibri"/>
        </w:rPr>
      </w:pPr>
    </w:p>
    <w:p w:rsidRPr="00657883" w:rsidR="006C2286" w:rsidP="006C2286" w:rsidRDefault="006C2286" w14:paraId="33CC6567" w14:textId="77777777">
      <w:pPr>
        <w:rPr>
          <w:rFonts w:ascii="Calibri" w:hAnsi="Calibri" w:cs="Calibri"/>
        </w:rPr>
      </w:pPr>
      <w:r w:rsidRPr="00657883">
        <w:rPr>
          <w:rFonts w:ascii="Calibri" w:hAnsi="Calibri" w:cs="Calibri"/>
        </w:rPr>
        <w:t xml:space="preserve">b. </w:t>
      </w:r>
      <w:r w:rsidRPr="00657883">
        <w:rPr>
          <w:rFonts w:ascii="Calibri" w:hAnsi="Calibri" w:cs="Calibri"/>
          <w:i/>
        </w:rPr>
        <w:t>Evidente blinde vlekken in de SEA</w:t>
      </w:r>
      <w:r w:rsidRPr="00657883">
        <w:rPr>
          <w:rFonts w:ascii="Calibri" w:hAnsi="Calibri" w:cs="Calibri"/>
        </w:rPr>
        <w:t xml:space="preserve"> </w:t>
      </w:r>
    </w:p>
    <w:p w:rsidRPr="00657883" w:rsidR="006C2286" w:rsidP="006C2286" w:rsidRDefault="006C2286" w14:paraId="435B0259" w14:textId="77777777">
      <w:pPr>
        <w:rPr>
          <w:rFonts w:ascii="Calibri" w:hAnsi="Calibri" w:cs="Calibri"/>
        </w:rPr>
      </w:pPr>
      <w:r w:rsidRPr="00657883">
        <w:rPr>
          <w:rFonts w:ascii="Calibri" w:hAnsi="Calibri" w:cs="Calibri"/>
        </w:rPr>
        <w:t xml:space="preserve">Het onderwerp </w:t>
      </w:r>
      <w:r w:rsidRPr="00657883">
        <w:rPr>
          <w:rFonts w:ascii="Calibri" w:hAnsi="Calibri" w:cs="Calibri"/>
          <w:b/>
        </w:rPr>
        <w:t>verduurzaming industrie</w:t>
      </w:r>
      <w:r w:rsidRPr="00657883">
        <w:rPr>
          <w:rFonts w:ascii="Calibri" w:hAnsi="Calibri" w:cs="Calibri"/>
        </w:rPr>
        <w:t xml:space="preserve"> is geagendeerd voor evaluatieonderzoek in 2029. We achten het onderwerp nu al relevant voor de oordeelsvorming van de Kamer over het betreffende beleidsterrein en wel om de volgende redenen: het kabinet heeft in juli 2025 besloten de doelstelling voor windenergie op zee in 2040 te verlagen van 50 GW naar 30-40 GW. De behoeft aan groene stroom is minder groot dan gedacht, omdat verduurzaming van de industrie moeizaam verloopt. Daarnaast ontwikkelt de waterstofmarkt zich langzamer  dan verwacht, is waterstofproductie op zee (met behulp van windenergie) minder urgent en is daarvoor dus ook minder wind op zee nodig.</w:t>
      </w:r>
      <w:r w:rsidRPr="00657883">
        <w:rPr>
          <w:rStyle w:val="Voetnootmarkering"/>
          <w:rFonts w:ascii="Calibri" w:hAnsi="Calibri" w:cs="Calibri"/>
        </w:rPr>
        <w:footnoteReference w:id="1"/>
      </w:r>
      <w:r w:rsidRPr="00657883">
        <w:rPr>
          <w:rFonts w:ascii="Calibri" w:hAnsi="Calibri" w:cs="Calibri"/>
        </w:rPr>
        <w:t xml:space="preserve"> Een tijdige (tussen)evaluatie van dit beleid kan relevante inzichten opleveren. Ook kan dit handvatten aan uw Kamer geven om het debat over de verduurzaming van de industrie en uitrol van windparken aan te gaan. </w:t>
      </w:r>
    </w:p>
    <w:p w:rsidRPr="00657883" w:rsidR="006C2286" w:rsidP="006C2286" w:rsidRDefault="006C2286" w14:paraId="1575F9AF" w14:textId="77777777">
      <w:pPr>
        <w:rPr>
          <w:rFonts w:ascii="Calibri" w:hAnsi="Calibri" w:cs="Calibri"/>
        </w:rPr>
      </w:pPr>
    </w:p>
    <w:p w:rsidRPr="00657883" w:rsidR="006C2286" w:rsidP="006C2286" w:rsidRDefault="006C2286" w14:paraId="69F870E2" w14:textId="77777777">
      <w:pPr>
        <w:pStyle w:val="Lijstalinea"/>
        <w:ind w:left="0"/>
        <w:rPr>
          <w:rFonts w:ascii="Calibri" w:hAnsi="Calibri" w:cs="Calibri"/>
        </w:rPr>
      </w:pPr>
      <w:r w:rsidRPr="00657883">
        <w:rPr>
          <w:rFonts w:ascii="Calibri" w:hAnsi="Calibri" w:cs="Calibri"/>
        </w:rPr>
        <w:t xml:space="preserve">c. </w:t>
      </w:r>
      <w:r w:rsidRPr="00657883">
        <w:rPr>
          <w:rFonts w:ascii="Calibri" w:hAnsi="Calibri" w:cs="Calibri"/>
          <w:i/>
        </w:rPr>
        <w:t>Geplande evaluaties in de SEA die wij van bijzonder belang achten</w:t>
      </w:r>
    </w:p>
    <w:p w:rsidRPr="00657883" w:rsidR="006C2286" w:rsidP="006C2286" w:rsidRDefault="006C2286" w14:paraId="7B0F84C9" w14:textId="77777777">
      <w:pPr>
        <w:rPr>
          <w:rFonts w:ascii="Calibri" w:hAnsi="Calibri" w:cs="Calibri"/>
        </w:rPr>
      </w:pPr>
      <w:r w:rsidRPr="00657883">
        <w:rPr>
          <w:rFonts w:ascii="Calibri" w:hAnsi="Calibri" w:cs="Calibri"/>
        </w:rPr>
        <w:t xml:space="preserve">Gelet op het belang (en kosten) van de energietransitie voor huishoudens en op ons onderzoek </w:t>
      </w:r>
      <w:r w:rsidRPr="00657883">
        <w:rPr>
          <w:rFonts w:ascii="Calibri" w:hAnsi="Calibri" w:cs="Calibri"/>
          <w:i/>
        </w:rPr>
        <w:t>Een koud bad voor warmtenetten</w:t>
      </w:r>
      <w:r w:rsidRPr="00657883">
        <w:rPr>
          <w:rFonts w:ascii="Calibri" w:hAnsi="Calibri" w:cs="Calibri"/>
        </w:rPr>
        <w:t xml:space="preserve"> (februari 2025), vinden we de evaluatieonderzoeken </w:t>
      </w:r>
      <w:r w:rsidRPr="00657883">
        <w:rPr>
          <w:rFonts w:ascii="Calibri" w:hAnsi="Calibri" w:cs="Calibri"/>
          <w:b/>
          <w:i/>
        </w:rPr>
        <w:t>Evaluatie ISDE Periode 2019-2023</w:t>
      </w:r>
      <w:r w:rsidRPr="00657883">
        <w:rPr>
          <w:rFonts w:ascii="Calibri" w:hAnsi="Calibri" w:cs="Calibri"/>
          <w:b/>
        </w:rPr>
        <w:t xml:space="preserve"> </w:t>
      </w:r>
      <w:r w:rsidRPr="00657883">
        <w:rPr>
          <w:rFonts w:ascii="Calibri" w:hAnsi="Calibri" w:cs="Calibri"/>
        </w:rPr>
        <w:t xml:space="preserve">en </w:t>
      </w:r>
      <w:r w:rsidRPr="00657883">
        <w:rPr>
          <w:rFonts w:ascii="Calibri" w:hAnsi="Calibri" w:cs="Calibri"/>
          <w:b/>
          <w:i/>
        </w:rPr>
        <w:t>IBO Bekostiging elektriciteitsinfrastructuur</w:t>
      </w:r>
      <w:r w:rsidRPr="00657883">
        <w:rPr>
          <w:rFonts w:ascii="Calibri" w:hAnsi="Calibri" w:cs="Calibri"/>
        </w:rPr>
        <w:t xml:space="preserve"> (beide uit maart 2025) uit de SEA van bijzonder belang voor de Tweede Kamer commissie KGG. </w:t>
      </w:r>
    </w:p>
    <w:p w:rsidRPr="00657883" w:rsidR="006C2286" w:rsidP="006C2286" w:rsidRDefault="006C2286" w14:paraId="1D66086F" w14:textId="77777777">
      <w:pPr>
        <w:rPr>
          <w:rFonts w:ascii="Calibri" w:hAnsi="Calibri" w:cs="Calibri"/>
        </w:rPr>
      </w:pPr>
    </w:p>
    <w:p w:rsidRPr="00657883" w:rsidR="006C2286" w:rsidP="006C2286" w:rsidRDefault="006C2286" w14:paraId="6E5E5613" w14:textId="77777777">
      <w:pPr>
        <w:rPr>
          <w:rFonts w:ascii="Calibri" w:hAnsi="Calibri" w:cs="Calibri"/>
          <w:b/>
          <w:i/>
        </w:rPr>
      </w:pPr>
      <w:r w:rsidRPr="00657883">
        <w:rPr>
          <w:rFonts w:ascii="Calibri" w:hAnsi="Calibri" w:cs="Calibri"/>
          <w:b/>
          <w:i/>
        </w:rPr>
        <w:t xml:space="preserve">Evaluatie ISDE Periode 2019-2023 </w:t>
      </w:r>
    </w:p>
    <w:p w:rsidRPr="00657883" w:rsidR="006C2286" w:rsidP="006C2286" w:rsidRDefault="006C2286" w14:paraId="3419093E" w14:textId="77777777">
      <w:pPr>
        <w:rPr>
          <w:rFonts w:ascii="Calibri" w:hAnsi="Calibri" w:cs="Calibri"/>
        </w:rPr>
      </w:pPr>
      <w:r w:rsidRPr="00657883">
        <w:rPr>
          <w:rFonts w:ascii="Calibri" w:hAnsi="Calibri" w:cs="Calibri"/>
        </w:rPr>
        <w:t>Volgens de evaluatie levert de ISDE “een significante bijdrage aan verduurzaming van de gebouwde omgeving en reductie van CO</w:t>
      </w:r>
      <w:r w:rsidRPr="00657883">
        <w:rPr>
          <w:rFonts w:ascii="Calibri" w:hAnsi="Calibri" w:cs="Calibri"/>
          <w:vertAlign w:val="subscript"/>
        </w:rPr>
        <w:t>2</w:t>
      </w:r>
      <w:r w:rsidRPr="00657883">
        <w:rPr>
          <w:rFonts w:ascii="Calibri" w:hAnsi="Calibri" w:cs="Calibri"/>
        </w:rPr>
        <w:t xml:space="preserve">”. Uit de evaluatie blijkt ook dat 37% van de particulieren meelift op de subsidie, zij hadden de verduurzamingsmaatregel namelijk ook zonder subsidie getroffen. Nog eens 46% had de verduurzamingsmaatregel deels, later of anders getroffen. In ons onderzoek constateerden wij dat de subsidie voor warmtepompen inderdaad zorgt voor meer geïnstalleerde warmtepompen, maar de subsidie had doelmatiger gekund, juist ook vanwege de meelifters. De minister onderzoekt hoe aanbevelingen uit de evaluatie de ISDE kunnen verbeteren en </w:t>
      </w:r>
      <w:r w:rsidRPr="00657883">
        <w:rPr>
          <w:rFonts w:ascii="Calibri" w:hAnsi="Calibri" w:cs="Calibri"/>
        </w:rPr>
        <w:lastRenderedPageBreak/>
        <w:t>informeert de Tweede Kamer hierover medio 2026.</w:t>
      </w:r>
      <w:r w:rsidRPr="00657883">
        <w:rPr>
          <w:rStyle w:val="Voetnootmarkering"/>
          <w:rFonts w:ascii="Calibri" w:hAnsi="Calibri" w:cs="Calibri"/>
        </w:rPr>
        <w:footnoteReference w:id="2"/>
      </w:r>
      <w:r w:rsidRPr="00657883">
        <w:rPr>
          <w:rFonts w:ascii="Calibri" w:hAnsi="Calibri" w:cs="Calibri"/>
        </w:rPr>
        <w:t xml:space="preserve"> De minister geeft aan ook te onderzoeken hoe de aanbeveling uit ons onderzoek over het voorkomen van ongewenste overlap (tussen subsidies voor warmtepompen en warmtenetten) kan worden vormgegeven.  </w:t>
      </w:r>
    </w:p>
    <w:p w:rsidRPr="00657883" w:rsidR="006C2286" w:rsidP="006C2286" w:rsidRDefault="006C2286" w14:paraId="3F84708E" w14:textId="77777777">
      <w:pPr>
        <w:rPr>
          <w:rFonts w:ascii="Calibri" w:hAnsi="Calibri" w:cs="Calibri"/>
          <w:i/>
        </w:rPr>
      </w:pPr>
    </w:p>
    <w:p w:rsidRPr="00657883" w:rsidR="006C2286" w:rsidP="006C2286" w:rsidRDefault="006C2286" w14:paraId="56DEDA0A" w14:textId="77777777">
      <w:pPr>
        <w:rPr>
          <w:rFonts w:ascii="Calibri" w:hAnsi="Calibri" w:cs="Calibri"/>
          <w:i/>
        </w:rPr>
      </w:pPr>
      <w:r w:rsidRPr="00657883">
        <w:rPr>
          <w:rFonts w:ascii="Calibri" w:hAnsi="Calibri" w:cs="Calibri"/>
          <w:b/>
          <w:i/>
        </w:rPr>
        <w:t>IBO Bekostiging elektriciteitsinfrastructuur</w:t>
      </w:r>
      <w:r w:rsidRPr="00657883">
        <w:rPr>
          <w:rFonts w:ascii="Calibri" w:hAnsi="Calibri" w:cs="Calibri"/>
          <w:i/>
        </w:rPr>
        <w:t xml:space="preserve"> </w:t>
      </w:r>
    </w:p>
    <w:p w:rsidRPr="00657883" w:rsidR="006C2286" w:rsidP="006C2286" w:rsidRDefault="006C2286" w14:paraId="3E5FA566" w14:textId="77777777">
      <w:pPr>
        <w:rPr>
          <w:rFonts w:ascii="Calibri" w:hAnsi="Calibri" w:cs="Calibri"/>
        </w:rPr>
      </w:pPr>
      <w:r w:rsidRPr="00657883">
        <w:rPr>
          <w:rFonts w:ascii="Calibri" w:hAnsi="Calibri" w:cs="Calibri"/>
        </w:rPr>
        <w:t xml:space="preserve">Elektriciteit wordt steeds belangrijker in de energietransitie, en het stroomnet moet fors worden uitgebreid. De IBO Bekostiging elektriciteitsinfrastructuur brengt de kosten in beeld (verwachte investeringen 2024 t/m 2040 € 195 miljard) en doet voorstellen om de rekening te dempen, anders te verdelen en de besluitvorming te stroomlijnen. Het kabinet gaat voorstellen uit deze IBO gebruiken voor financiering van de elektriciteitsinfrastructuur. </w:t>
      </w:r>
    </w:p>
    <w:p w:rsidRPr="00657883" w:rsidR="006C2286" w:rsidP="006C2286" w:rsidRDefault="006C2286" w14:paraId="765905E1" w14:textId="77777777">
      <w:pPr>
        <w:rPr>
          <w:rFonts w:ascii="Calibri" w:hAnsi="Calibri" w:cs="Calibri"/>
        </w:rPr>
      </w:pPr>
    </w:p>
    <w:p w:rsidRPr="00657883" w:rsidR="006C2286" w:rsidP="006C2286" w:rsidRDefault="006C2286" w14:paraId="5043820C" w14:textId="77777777">
      <w:pPr>
        <w:rPr>
          <w:rFonts w:ascii="Calibri" w:hAnsi="Calibri" w:cs="Calibri"/>
        </w:rPr>
      </w:pPr>
      <w:r w:rsidRPr="00657883">
        <w:rPr>
          <w:rFonts w:ascii="Calibri" w:hAnsi="Calibri" w:cs="Calibri"/>
        </w:rPr>
        <w:t>Wij adviseren u deze evaluaties voor uw agendering in overweging te nemen.</w:t>
      </w:r>
    </w:p>
    <w:p w:rsidRPr="00657883" w:rsidR="006C2286" w:rsidP="006C2286" w:rsidRDefault="006C2286" w14:paraId="48E0E332" w14:textId="77777777">
      <w:pPr>
        <w:rPr>
          <w:rFonts w:ascii="Calibri" w:hAnsi="Calibri" w:cs="Calibri"/>
        </w:rPr>
      </w:pPr>
    </w:p>
    <w:p w:rsidRPr="00657883" w:rsidR="006C2286" w:rsidP="006C2286" w:rsidRDefault="006C2286" w14:paraId="7678D106" w14:textId="77777777">
      <w:pPr>
        <w:pStyle w:val="Kop1"/>
        <w:rPr>
          <w:rFonts w:ascii="Calibri" w:hAnsi="Calibri" w:cs="Calibri"/>
          <w:sz w:val="22"/>
          <w:szCs w:val="22"/>
        </w:rPr>
      </w:pPr>
      <w:r w:rsidRPr="00657883">
        <w:rPr>
          <w:rFonts w:ascii="Calibri" w:hAnsi="Calibri" w:cs="Calibri"/>
          <w:sz w:val="22"/>
          <w:szCs w:val="22"/>
        </w:rPr>
        <w:t>Risico’s en beheer</w:t>
      </w:r>
    </w:p>
    <w:p w:rsidRPr="00657883" w:rsidR="006C2286" w:rsidP="006C2286" w:rsidRDefault="006C2286" w14:paraId="13F7C78C" w14:textId="77777777">
      <w:pPr>
        <w:rPr>
          <w:rFonts w:ascii="Calibri" w:hAnsi="Calibri" w:cs="Calibri"/>
        </w:rPr>
      </w:pPr>
      <w:r w:rsidRPr="00657883">
        <w:rPr>
          <w:rFonts w:ascii="Calibri" w:hAnsi="Calibri" w:cs="Calibri"/>
        </w:rPr>
        <w:t>Wij verwachten dat in de begroting aandacht wordt besteed aan financiële risico’s en/of beleidsrisico’s en hoe de minister daarmee wil omgaan. We bespreken een aantal gesignaleerde risico’s en schetsen vervolgens in onderstaande tabel hoe de minister deze aanpakt.</w:t>
      </w:r>
    </w:p>
    <w:p w:rsidRPr="00657883" w:rsidR="006C2286" w:rsidP="006C2286" w:rsidRDefault="006C2286" w14:paraId="23AEFCC9" w14:textId="77777777">
      <w:pPr>
        <w:rPr>
          <w:rFonts w:ascii="Calibri" w:hAnsi="Calibri" w:cs="Calibri"/>
          <w:b/>
        </w:rPr>
      </w:pPr>
    </w:p>
    <w:p w:rsidRPr="00657883" w:rsidR="006C2286" w:rsidP="006C2286" w:rsidRDefault="006C2286" w14:paraId="0B2463F8" w14:textId="77777777">
      <w:pPr>
        <w:rPr>
          <w:rFonts w:ascii="Calibri" w:hAnsi="Calibri" w:cs="Calibri"/>
          <w:b/>
        </w:rPr>
      </w:pPr>
      <w:r w:rsidRPr="00657883">
        <w:rPr>
          <w:rFonts w:ascii="Calibri" w:hAnsi="Calibri" w:cs="Calibri"/>
          <w:b/>
        </w:rPr>
        <w:t xml:space="preserve">Klimaatdoelen raken uit zicht </w:t>
      </w:r>
    </w:p>
    <w:p w:rsidRPr="00657883" w:rsidR="006C2286" w:rsidP="006C2286" w:rsidRDefault="006C2286" w14:paraId="0E1BD65F" w14:textId="77777777">
      <w:pPr>
        <w:rPr>
          <w:rFonts w:ascii="Calibri" w:hAnsi="Calibri" w:cs="Calibri"/>
        </w:rPr>
      </w:pPr>
      <w:r w:rsidRPr="00657883">
        <w:rPr>
          <w:rFonts w:ascii="Calibri" w:hAnsi="Calibri" w:cs="Calibri"/>
        </w:rPr>
        <w:t xml:space="preserve">De minister heeft in 2025 de doelen naar beneden bijgesteld voor wind op zee </w:t>
      </w:r>
    </w:p>
    <w:p w:rsidRPr="00657883" w:rsidR="006C2286" w:rsidP="006C2286" w:rsidRDefault="006C2286" w14:paraId="5CFBB39B" w14:textId="77777777">
      <w:pPr>
        <w:rPr>
          <w:rFonts w:ascii="Calibri" w:hAnsi="Calibri" w:cs="Calibri"/>
        </w:rPr>
      </w:pPr>
      <w:r w:rsidRPr="00657883">
        <w:rPr>
          <w:rFonts w:ascii="Calibri" w:hAnsi="Calibri" w:cs="Calibri"/>
        </w:rPr>
        <w:t>van 50 GW in 2040 naar minimaal 30 GW.</w:t>
      </w:r>
      <w:r w:rsidRPr="00657883">
        <w:rPr>
          <w:rStyle w:val="Voetnootmarkering"/>
          <w:rFonts w:ascii="Calibri" w:hAnsi="Calibri" w:cs="Calibri"/>
        </w:rPr>
        <w:footnoteReference w:id="3"/>
      </w:r>
      <w:r w:rsidRPr="00657883">
        <w:rPr>
          <w:rFonts w:ascii="Calibri" w:hAnsi="Calibri" w:cs="Calibri"/>
        </w:rPr>
        <w:t xml:space="preserve"> Ook de maatwerkafspraken met de industrie gaan moeizaam, er is maar 1 maatwerkafspraak afgesloten, met </w:t>
      </w:r>
      <w:proofErr w:type="spellStart"/>
      <w:r w:rsidRPr="00657883">
        <w:rPr>
          <w:rFonts w:ascii="Calibri" w:hAnsi="Calibri" w:cs="Calibri"/>
        </w:rPr>
        <w:t>Nobian</w:t>
      </w:r>
      <w:proofErr w:type="spellEnd"/>
      <w:r w:rsidRPr="00657883">
        <w:rPr>
          <w:rFonts w:ascii="Calibri" w:hAnsi="Calibri" w:cs="Calibri"/>
        </w:rPr>
        <w:t>, en 1 maatwerksubsidie aan Yara. Onderhandelingen met andere bedrijven- waaronder Tata Steel- lopen nog.</w:t>
      </w:r>
      <w:r w:rsidRPr="00657883">
        <w:rPr>
          <w:rStyle w:val="Voetnootmarkering"/>
          <w:rFonts w:ascii="Calibri" w:hAnsi="Calibri" w:cs="Calibri"/>
        </w:rPr>
        <w:footnoteReference w:id="4"/>
      </w:r>
      <w:r w:rsidRPr="00657883">
        <w:rPr>
          <w:rFonts w:ascii="Calibri" w:hAnsi="Calibri" w:cs="Calibri"/>
        </w:rPr>
        <w:t xml:space="preserve"> De minister is van plan om de CO</w:t>
      </w:r>
      <w:r w:rsidRPr="00657883">
        <w:rPr>
          <w:rFonts w:ascii="Calibri" w:hAnsi="Calibri" w:cs="Calibri"/>
          <w:vertAlign w:val="subscript"/>
        </w:rPr>
        <w:t>2</w:t>
      </w:r>
      <w:r w:rsidRPr="00657883">
        <w:rPr>
          <w:rFonts w:ascii="Calibri" w:hAnsi="Calibri" w:cs="Calibri"/>
        </w:rPr>
        <w:t>-heffing voor bedrijven op te schorten tot 2030 en d</w:t>
      </w:r>
      <w:r w:rsidRPr="00657883">
        <w:rPr>
          <w:rFonts w:ascii="Calibri" w:hAnsi="Calibri" w:cs="Calibri"/>
          <w:iCs/>
        </w:rPr>
        <w:t xml:space="preserve">e ontwikkeling van de waterstofmarkt gaat langzamer dan verwacht. De minister schuift daarom uitgaven van het Klimaatfonds naar latere jaren. In figuur 1 laten we zien dat uitgaven oorspronkelijk gepland in de jaren 2025, 2026 en </w:t>
      </w:r>
      <w:r w:rsidRPr="00657883">
        <w:rPr>
          <w:rFonts w:ascii="Calibri" w:hAnsi="Calibri" w:cs="Calibri"/>
          <w:iCs/>
        </w:rPr>
        <w:lastRenderedPageBreak/>
        <w:t>2030 in mindering worden gebracht op de begrote bedragen en naar de toekomst schuiven.</w:t>
      </w:r>
      <w:r w:rsidRPr="00657883">
        <w:rPr>
          <w:rFonts w:ascii="Calibri" w:hAnsi="Calibri" w:cs="Calibri"/>
        </w:rPr>
        <w:t xml:space="preserve"> Dit alles kan ertoe leiden dat de klimaatdoelen uit zicht raken. Zo zei PBL in oktober 2024 al dat het “heel erg onwaarschijnlijk is dat Nederland het wettelijke klimaatdoel van 55 procent emissiereductie in 2030 haalt”.</w:t>
      </w:r>
      <w:r w:rsidRPr="00657883">
        <w:rPr>
          <w:rStyle w:val="Voetnootmarkering"/>
          <w:rFonts w:ascii="Calibri" w:hAnsi="Calibri" w:cs="Calibri"/>
        </w:rPr>
        <w:footnoteReference w:id="5"/>
      </w:r>
      <w:r w:rsidRPr="00657883">
        <w:rPr>
          <w:rFonts w:ascii="Calibri" w:hAnsi="Calibri" w:cs="Calibri"/>
        </w:rPr>
        <w:t xml:space="preserve"> </w:t>
      </w:r>
    </w:p>
    <w:p w:rsidRPr="00657883" w:rsidR="006C2286" w:rsidP="006C2286" w:rsidRDefault="006C2286" w14:paraId="3F262AE2" w14:textId="77777777">
      <w:pPr>
        <w:rPr>
          <w:rFonts w:ascii="Calibri" w:hAnsi="Calibri" w:cs="Calibri"/>
        </w:rPr>
      </w:pPr>
    </w:p>
    <w:p w:rsidRPr="00657883" w:rsidR="006C2286" w:rsidP="006C2286" w:rsidRDefault="006C2286" w14:paraId="3647F752" w14:textId="77777777">
      <w:pPr>
        <w:pStyle w:val="Tekstopmerking"/>
        <w:rPr>
          <w:rFonts w:ascii="Calibri" w:hAnsi="Calibri" w:cs="Calibri"/>
          <w:sz w:val="22"/>
          <w:szCs w:val="22"/>
        </w:rPr>
      </w:pPr>
      <w:r w:rsidRPr="00657883">
        <w:rPr>
          <w:rFonts w:ascii="Calibri" w:hAnsi="Calibri" w:cs="Calibri"/>
          <w:noProof/>
          <w:sz w:val="22"/>
          <w:szCs w:val="22"/>
        </w:rPr>
        <w:drawing>
          <wp:anchor distT="0" distB="0" distL="114300" distR="114300" simplePos="0" relativeHeight="251659264" behindDoc="0" locked="0" layoutInCell="1" allowOverlap="1" wp14:editId="23C75FAB" wp14:anchorId="10D8800F">
            <wp:simplePos x="0" y="0"/>
            <wp:positionH relativeFrom="margin">
              <wp:align>left</wp:align>
            </wp:positionH>
            <wp:positionV relativeFrom="paragraph">
              <wp:posOffset>237281</wp:posOffset>
            </wp:positionV>
            <wp:extent cx="5039878" cy="3419863"/>
            <wp:effectExtent l="0" t="0" r="8890" b="9525"/>
            <wp:wrapTopAndBottom/>
            <wp:docPr id="20" name="Afbeelding 20"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lijn, Lettertyp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9878" cy="3419863"/>
                    </a:xfrm>
                    <a:prstGeom prst="rect">
                      <a:avLst/>
                    </a:prstGeom>
                  </pic:spPr>
                </pic:pic>
              </a:graphicData>
            </a:graphic>
          </wp:anchor>
        </w:drawing>
      </w:r>
      <w:r w:rsidRPr="00657883">
        <w:rPr>
          <w:rFonts w:ascii="Calibri" w:hAnsi="Calibri" w:cs="Calibri"/>
          <w:sz w:val="22"/>
          <w:szCs w:val="22"/>
        </w:rPr>
        <w:t xml:space="preserve">Figuur 1: Kasschuiven in het Klimaatfonds </w:t>
      </w:r>
    </w:p>
    <w:p w:rsidRPr="00657883" w:rsidR="006C2286" w:rsidP="006C2286" w:rsidRDefault="006C2286" w14:paraId="01E7C8C1" w14:textId="77777777">
      <w:pPr>
        <w:rPr>
          <w:rFonts w:ascii="Calibri" w:hAnsi="Calibri" w:cs="Calibri"/>
        </w:rPr>
      </w:pPr>
    </w:p>
    <w:p w:rsidRPr="00657883" w:rsidR="006C2286" w:rsidP="006C2286" w:rsidRDefault="006C2286" w14:paraId="340D3DED" w14:textId="77777777">
      <w:pPr>
        <w:rPr>
          <w:rFonts w:ascii="Calibri" w:hAnsi="Calibri" w:cs="Calibri"/>
        </w:rPr>
      </w:pPr>
      <w:r w:rsidRPr="00657883">
        <w:rPr>
          <w:rFonts w:ascii="Calibri" w:hAnsi="Calibri" w:cs="Calibri"/>
          <w:b/>
          <w:bCs/>
        </w:rPr>
        <w:t>Toekomstige investeringen in kernenergie</w:t>
      </w:r>
    </w:p>
    <w:p w:rsidRPr="00657883" w:rsidR="006C2286" w:rsidP="006C2286" w:rsidRDefault="006C2286" w14:paraId="7B0D6E36" w14:textId="77777777">
      <w:pPr>
        <w:rPr>
          <w:rFonts w:ascii="Calibri" w:hAnsi="Calibri" w:cs="Calibri"/>
        </w:rPr>
      </w:pPr>
      <w:r w:rsidRPr="00657883">
        <w:rPr>
          <w:rFonts w:ascii="Calibri" w:hAnsi="Calibri" w:cs="Calibri"/>
        </w:rPr>
        <w:t xml:space="preserve">Het demissionaire kabinet geeft aan  kernenergie te zien als een “noodzakelijke pijler” voor de toekomstige energievoorziening. Het kabinet wil 70 procent van de aandelen van de bestaande kerncentrale in Borssele overnemen en 4 nieuwe centrales bouwen. Dit betekent een traject van (structurele) investeringen over een langere periode waarin veel belangrijke keuzes gemaakt moeten worden. Voor een zorgvuldig besluitvormingsproces vinden wij het van belang dat het parlement op alle belangrijke momenten voldoende informatie ontvangt, waaronder een nadere uitwerking van de volledige business case. Deze business case moet toereikende informatie bevatten om het voornemen om nieuwe kerncentrales te bouwen inhoudelijk te beoordelen. </w:t>
      </w:r>
    </w:p>
    <w:p w:rsidRPr="00657883" w:rsidR="006C2286" w:rsidP="006C2286" w:rsidRDefault="006C2286" w14:paraId="4D49F88A" w14:textId="77777777">
      <w:pPr>
        <w:rPr>
          <w:rFonts w:ascii="Calibri" w:hAnsi="Calibri" w:cs="Calibri"/>
        </w:rPr>
      </w:pPr>
    </w:p>
    <w:p w:rsidRPr="00657883" w:rsidR="006C2286" w:rsidP="006C2286" w:rsidRDefault="006C2286" w14:paraId="29D0A7C4" w14:textId="77777777">
      <w:pPr>
        <w:rPr>
          <w:rFonts w:ascii="Calibri" w:hAnsi="Calibri" w:cs="Calibri"/>
        </w:rPr>
      </w:pPr>
      <w:r w:rsidRPr="00657883">
        <w:rPr>
          <w:rFonts w:ascii="Calibri" w:hAnsi="Calibri" w:cs="Calibri"/>
        </w:rPr>
        <w:lastRenderedPageBreak/>
        <w:t xml:space="preserve">De eerste 2 nieuwe centrales gaan naar schatting van de minister € 20 tot 30 miljard (exclusief financieringslasten) kosten. De minister verwacht dat de centrales eind jaren 30 worden opgeleverd. Voorlopig heeft het kabinet voor dit beleid € 14,5 miljard vrijgemaakt uit het Klimaatfonds. In 2026 wil het kabinet € 98 miljoen uitgeven voor onderzoek en voorbereidende werkzaamheden. Vanuit het oogpunt van haar budgetrecht is het van belang dat de Tweede Kamer vooral scherp blijft letten op onomkeerbare besluiten met een groot financieel belang, die de komende jaren verwacht worden. Het kabinet heeft aangegeven dit najaar een </w:t>
      </w:r>
      <w:proofErr w:type="spellStart"/>
      <w:r w:rsidRPr="00657883">
        <w:rPr>
          <w:rFonts w:ascii="Calibri" w:hAnsi="Calibri" w:cs="Calibri"/>
        </w:rPr>
        <w:t>Government</w:t>
      </w:r>
      <w:proofErr w:type="spellEnd"/>
      <w:r w:rsidRPr="00657883">
        <w:rPr>
          <w:rFonts w:ascii="Calibri" w:hAnsi="Calibri" w:cs="Calibri"/>
        </w:rPr>
        <w:t xml:space="preserve"> support package (GSP) te presenteren dat schetst op welke manier de Rijksoverheid kernenergie gaat financieren. Latere belangrijke beslismomenten betreffen: het oprichten van een staatsdeelneming, een definitief bod op de aandelen van Borssele, grondaankopen voor de nieuwe centrales en het afsluiten van een contract met bouwers/exploitanten van de nieuwe centrales. Wij geven u in overweging na te gaan of en wanneer u dit onderwerp wil aanwijzen als ‘groot project’.</w:t>
      </w:r>
    </w:p>
    <w:p w:rsidRPr="00657883" w:rsidR="006C2286" w:rsidP="006C2286" w:rsidRDefault="006C2286" w14:paraId="44C0D7AE" w14:textId="77777777">
      <w:pPr>
        <w:rPr>
          <w:rFonts w:ascii="Calibri" w:hAnsi="Calibri" w:cs="Calibri"/>
        </w:rPr>
      </w:pPr>
    </w:p>
    <w:p w:rsidRPr="00657883" w:rsidR="006C2286" w:rsidP="006C2286" w:rsidRDefault="006C2286" w14:paraId="351F0102" w14:textId="77777777">
      <w:pPr>
        <w:rPr>
          <w:rFonts w:ascii="Calibri" w:hAnsi="Calibri" w:cs="Calibri"/>
          <w:b/>
        </w:rPr>
      </w:pPr>
      <w:r w:rsidRPr="00657883">
        <w:rPr>
          <w:rFonts w:ascii="Calibri" w:hAnsi="Calibri" w:cs="Calibri"/>
          <w:b/>
        </w:rPr>
        <w:t xml:space="preserve">Subsidies niet doelmatig ingezet </w:t>
      </w:r>
    </w:p>
    <w:p w:rsidRPr="00657883" w:rsidR="006C2286" w:rsidP="006C2286" w:rsidRDefault="006C2286" w14:paraId="0176788E" w14:textId="77777777">
      <w:pPr>
        <w:rPr>
          <w:rFonts w:ascii="Calibri" w:hAnsi="Calibri" w:cs="Calibri"/>
        </w:rPr>
      </w:pPr>
      <w:r w:rsidRPr="00657883">
        <w:rPr>
          <w:rFonts w:ascii="Calibri" w:hAnsi="Calibri" w:cs="Calibri"/>
        </w:rPr>
        <w:t xml:space="preserve">In het verantwoordingsonderzoek 2024 hebben we opmerkingen gemaakt over financiële risico’s en beleidsrisico’s. In recent ander onderzoek hebben we ook risico’s aangekaart voor de beleidsuitvoering. Zo wijzen we de minister van KGG in het onderzoek </w:t>
      </w:r>
      <w:r w:rsidRPr="00657883">
        <w:rPr>
          <w:rFonts w:ascii="Calibri" w:hAnsi="Calibri" w:cs="Calibri"/>
          <w:i/>
        </w:rPr>
        <w:t>Een koud bad voor warmtenetten</w:t>
      </w:r>
      <w:r w:rsidRPr="00657883">
        <w:rPr>
          <w:rFonts w:ascii="Calibri" w:hAnsi="Calibri" w:cs="Calibri"/>
        </w:rPr>
        <w:t xml:space="preserve"> (februari 2025) op het risico dat rijkssubsidies niet doelmatig worden ingezet door overlap in subsidies voor warmtepompen en warmtenetten. En in het onderzoek </w:t>
      </w:r>
      <w:r w:rsidRPr="00657883">
        <w:rPr>
          <w:rFonts w:ascii="Calibri" w:hAnsi="Calibri" w:cs="Calibri"/>
          <w:i/>
        </w:rPr>
        <w:t>Opslag van CO</w:t>
      </w:r>
      <w:r w:rsidRPr="00657883">
        <w:rPr>
          <w:rFonts w:ascii="Calibri" w:hAnsi="Calibri" w:cs="Calibri"/>
          <w:i/>
          <w:vertAlign w:val="subscript"/>
        </w:rPr>
        <w:t>2</w:t>
      </w:r>
      <w:r w:rsidRPr="00657883">
        <w:rPr>
          <w:rFonts w:ascii="Calibri" w:hAnsi="Calibri" w:cs="Calibri"/>
          <w:i/>
        </w:rPr>
        <w:t xml:space="preserve"> onder de Noordzee</w:t>
      </w:r>
      <w:r w:rsidRPr="00657883">
        <w:rPr>
          <w:rFonts w:ascii="Calibri" w:hAnsi="Calibri" w:cs="Calibri"/>
        </w:rPr>
        <w:t xml:space="preserve"> (maart 2024) constateerden wij dat de subsidie doeltreffend en doelmatig was, maar dat de rijksoverheid niet evenredig meeprofiteert van een hogere opbrengst, terwijl dat wel vastgelegd had kunnen worden. Inmiddels heeft de minister onze aanbeveling overgenomen voor een </w:t>
      </w:r>
      <w:r w:rsidRPr="00657883">
        <w:rPr>
          <w:rFonts w:ascii="Calibri" w:hAnsi="Calibri" w:cs="Calibri"/>
          <w:i/>
        </w:rPr>
        <w:t xml:space="preserve">Contract </w:t>
      </w:r>
      <w:proofErr w:type="spellStart"/>
      <w:r w:rsidRPr="00657883">
        <w:rPr>
          <w:rFonts w:ascii="Calibri" w:hAnsi="Calibri" w:cs="Calibri"/>
          <w:i/>
        </w:rPr>
        <w:t>for</w:t>
      </w:r>
      <w:proofErr w:type="spellEnd"/>
      <w:r w:rsidRPr="00657883">
        <w:rPr>
          <w:rFonts w:ascii="Calibri" w:hAnsi="Calibri" w:cs="Calibri"/>
          <w:i/>
        </w:rPr>
        <w:t xml:space="preserve"> </w:t>
      </w:r>
      <w:proofErr w:type="spellStart"/>
      <w:r w:rsidRPr="00657883">
        <w:rPr>
          <w:rFonts w:ascii="Calibri" w:hAnsi="Calibri" w:cs="Calibri"/>
          <w:i/>
        </w:rPr>
        <w:t>Difference</w:t>
      </w:r>
      <w:proofErr w:type="spellEnd"/>
      <w:r w:rsidRPr="00657883">
        <w:rPr>
          <w:rFonts w:ascii="Calibri" w:hAnsi="Calibri" w:cs="Calibri"/>
        </w:rPr>
        <w:t xml:space="preserve"> als subsidievorm voor de SDE++-subsidie voor CO</w:t>
      </w:r>
      <w:r w:rsidRPr="00657883">
        <w:rPr>
          <w:rFonts w:ascii="Calibri" w:hAnsi="Calibri" w:cs="Calibri"/>
          <w:vertAlign w:val="subscript"/>
        </w:rPr>
        <w:t>2</w:t>
      </w:r>
      <w:r w:rsidRPr="00657883">
        <w:rPr>
          <w:rFonts w:ascii="Calibri" w:hAnsi="Calibri" w:cs="Calibri"/>
        </w:rPr>
        <w:t xml:space="preserve"> opslag na Porthos. </w:t>
      </w:r>
    </w:p>
    <w:p w:rsidRPr="00657883" w:rsidR="006C2286" w:rsidP="006C2286" w:rsidRDefault="006C2286" w14:paraId="38FB965C" w14:textId="77777777">
      <w:pPr>
        <w:rPr>
          <w:rFonts w:ascii="Calibri" w:hAnsi="Calibri" w:cs="Calibri"/>
        </w:rPr>
      </w:pPr>
    </w:p>
    <w:p w:rsidRPr="00657883" w:rsidR="006C2286" w:rsidP="006C2286" w:rsidRDefault="006C2286" w14:paraId="26C418CC" w14:textId="77777777">
      <w:pPr>
        <w:rPr>
          <w:rFonts w:ascii="Calibri" w:hAnsi="Calibri" w:cs="Calibri"/>
        </w:rPr>
      </w:pPr>
      <w:r w:rsidRPr="00657883">
        <w:rPr>
          <w:rFonts w:ascii="Calibri" w:hAnsi="Calibri" w:cs="Calibri"/>
        </w:rPr>
        <w:t>In onderstaande tabel schetsen we hoe de minister deze gesignaleerde risico’s aanpakt.</w:t>
      </w:r>
    </w:p>
    <w:p w:rsidRPr="00657883" w:rsidR="006C2286" w:rsidP="006C2286" w:rsidRDefault="006C2286" w14:paraId="4BF81317" w14:textId="77777777">
      <w:pPr>
        <w:rPr>
          <w:rFonts w:ascii="Calibri" w:hAnsi="Calibri" w:cs="Calibri"/>
          <w:b/>
        </w:rPr>
      </w:pPr>
      <w:r w:rsidRPr="00657883">
        <w:rPr>
          <w:rFonts w:ascii="Calibri" w:hAnsi="Calibri" w:cs="Calibri"/>
          <w:b/>
        </w:rPr>
        <w:t>Tabel 3: Adressering van risico’s in de begroting van ministerie van KGG</w:t>
      </w:r>
    </w:p>
    <w:p w:rsidRPr="00657883" w:rsidR="006C2286" w:rsidP="006C2286" w:rsidRDefault="006C2286" w14:paraId="0701300D" w14:textId="77777777">
      <w:pPr>
        <w:rPr>
          <w:rFonts w:ascii="Calibri" w:hAnsi="Calibri" w:cs="Calibri"/>
        </w:rPr>
      </w:pPr>
    </w:p>
    <w:tbl>
      <w:tblPr>
        <w:tblStyle w:val="Tabelraster"/>
        <w:tblW w:w="0" w:type="auto"/>
        <w:tblLook w:val="04A0" w:firstRow="1" w:lastRow="0" w:firstColumn="1" w:lastColumn="0" w:noHBand="0" w:noVBand="1"/>
      </w:tblPr>
      <w:tblGrid>
        <w:gridCol w:w="1902"/>
        <w:gridCol w:w="1338"/>
        <w:gridCol w:w="1589"/>
        <w:gridCol w:w="3099"/>
      </w:tblGrid>
      <w:tr w:rsidRPr="00657883" w:rsidR="006C2286" w:rsidTr="000D3051" w14:paraId="58461839" w14:textId="77777777">
        <w:tc>
          <w:tcPr>
            <w:tcW w:w="1913" w:type="dxa"/>
            <w:shd w:val="clear" w:color="auto" w:fill="C1E4F5" w:themeFill="accent1" w:themeFillTint="33"/>
          </w:tcPr>
          <w:p w:rsidRPr="00657883" w:rsidR="006C2286" w:rsidP="000D3051" w:rsidRDefault="006C2286" w14:paraId="539D1C44" w14:textId="77777777">
            <w:pPr>
              <w:rPr>
                <w:rFonts w:ascii="Calibri" w:hAnsi="Calibri" w:cs="Calibri"/>
                <w:sz w:val="22"/>
                <w:szCs w:val="22"/>
              </w:rPr>
            </w:pPr>
            <w:r w:rsidRPr="00657883">
              <w:rPr>
                <w:rFonts w:ascii="Calibri" w:hAnsi="Calibri" w:cs="Calibri"/>
                <w:sz w:val="22"/>
                <w:szCs w:val="22"/>
              </w:rPr>
              <w:t>Risico-omschrijving</w:t>
            </w:r>
          </w:p>
        </w:tc>
        <w:tc>
          <w:tcPr>
            <w:tcW w:w="1289" w:type="dxa"/>
            <w:shd w:val="clear" w:color="auto" w:fill="C1E4F5" w:themeFill="accent1" w:themeFillTint="33"/>
          </w:tcPr>
          <w:p w:rsidRPr="00657883" w:rsidR="006C2286" w:rsidP="000D3051" w:rsidRDefault="006C2286" w14:paraId="4D5249B9" w14:textId="77777777">
            <w:pPr>
              <w:rPr>
                <w:rFonts w:ascii="Calibri" w:hAnsi="Calibri" w:cs="Calibri"/>
                <w:sz w:val="22"/>
                <w:szCs w:val="22"/>
              </w:rPr>
            </w:pPr>
            <w:r w:rsidRPr="00657883">
              <w:rPr>
                <w:rFonts w:ascii="Calibri" w:hAnsi="Calibri" w:cs="Calibri"/>
                <w:sz w:val="22"/>
                <w:szCs w:val="22"/>
              </w:rPr>
              <w:t>Bron</w:t>
            </w:r>
          </w:p>
        </w:tc>
        <w:tc>
          <w:tcPr>
            <w:tcW w:w="1604" w:type="dxa"/>
            <w:shd w:val="clear" w:color="auto" w:fill="C1E4F5" w:themeFill="accent1" w:themeFillTint="33"/>
          </w:tcPr>
          <w:p w:rsidRPr="00657883" w:rsidR="006C2286" w:rsidP="000D3051" w:rsidRDefault="006C2286" w14:paraId="68E3230F" w14:textId="77777777">
            <w:pPr>
              <w:rPr>
                <w:rFonts w:ascii="Calibri" w:hAnsi="Calibri" w:cs="Calibri"/>
                <w:sz w:val="22"/>
                <w:szCs w:val="22"/>
              </w:rPr>
            </w:pPr>
            <w:r w:rsidRPr="00657883">
              <w:rPr>
                <w:rFonts w:ascii="Calibri" w:hAnsi="Calibri" w:cs="Calibri"/>
                <w:sz w:val="22"/>
                <w:szCs w:val="22"/>
              </w:rPr>
              <w:t>Aandacht in begroting ja/nee</w:t>
            </w:r>
          </w:p>
        </w:tc>
        <w:tc>
          <w:tcPr>
            <w:tcW w:w="3122" w:type="dxa"/>
            <w:shd w:val="clear" w:color="auto" w:fill="C1E4F5" w:themeFill="accent1" w:themeFillTint="33"/>
          </w:tcPr>
          <w:p w:rsidRPr="00657883" w:rsidR="006C2286" w:rsidP="000D3051" w:rsidRDefault="006C2286" w14:paraId="6CC4E305" w14:textId="77777777">
            <w:pPr>
              <w:rPr>
                <w:rFonts w:ascii="Calibri" w:hAnsi="Calibri" w:cs="Calibri"/>
                <w:sz w:val="22"/>
                <w:szCs w:val="22"/>
              </w:rPr>
            </w:pPr>
            <w:r w:rsidRPr="00657883">
              <w:rPr>
                <w:rFonts w:ascii="Calibri" w:hAnsi="Calibri" w:cs="Calibri"/>
                <w:sz w:val="22"/>
                <w:szCs w:val="22"/>
              </w:rPr>
              <w:t xml:space="preserve">Wijze waarop risico volgens de minister wordt aangepakt </w:t>
            </w:r>
          </w:p>
        </w:tc>
      </w:tr>
      <w:tr w:rsidRPr="00657883" w:rsidR="006C2286" w:rsidTr="000D3051" w14:paraId="14FD2617" w14:textId="77777777">
        <w:tc>
          <w:tcPr>
            <w:tcW w:w="1913" w:type="dxa"/>
          </w:tcPr>
          <w:p w:rsidRPr="00657883" w:rsidR="006C2286" w:rsidP="000D3051" w:rsidRDefault="006C2286" w14:paraId="141C21A5" w14:textId="77777777">
            <w:pPr>
              <w:rPr>
                <w:rFonts w:ascii="Calibri" w:hAnsi="Calibri" w:cs="Calibri"/>
                <w:sz w:val="22"/>
                <w:szCs w:val="22"/>
              </w:rPr>
            </w:pPr>
            <w:r w:rsidRPr="00657883">
              <w:rPr>
                <w:rFonts w:ascii="Calibri" w:hAnsi="Calibri" w:cs="Calibri"/>
                <w:sz w:val="22"/>
                <w:szCs w:val="22"/>
              </w:rPr>
              <w:t xml:space="preserve">Klimaatdoelen raken uit zicht </w:t>
            </w:r>
          </w:p>
        </w:tc>
        <w:tc>
          <w:tcPr>
            <w:tcW w:w="1289" w:type="dxa"/>
          </w:tcPr>
          <w:p w:rsidRPr="00657883" w:rsidR="006C2286" w:rsidP="000D3051" w:rsidRDefault="006C2286" w14:paraId="16436FBD" w14:textId="77777777">
            <w:pPr>
              <w:rPr>
                <w:rFonts w:ascii="Calibri" w:hAnsi="Calibri" w:cs="Calibri"/>
                <w:sz w:val="22"/>
                <w:szCs w:val="22"/>
              </w:rPr>
            </w:pPr>
            <w:r w:rsidRPr="00657883">
              <w:rPr>
                <w:rFonts w:ascii="Calibri" w:hAnsi="Calibri" w:cs="Calibri"/>
                <w:sz w:val="22"/>
                <w:szCs w:val="22"/>
              </w:rPr>
              <w:t>PBL</w:t>
            </w:r>
          </w:p>
        </w:tc>
        <w:tc>
          <w:tcPr>
            <w:tcW w:w="1604" w:type="dxa"/>
          </w:tcPr>
          <w:p w:rsidRPr="00657883" w:rsidR="006C2286" w:rsidP="000D3051" w:rsidRDefault="006C2286" w14:paraId="3422735D" w14:textId="77777777">
            <w:pPr>
              <w:rPr>
                <w:rFonts w:ascii="Calibri" w:hAnsi="Calibri" w:cs="Calibri"/>
                <w:sz w:val="22"/>
                <w:szCs w:val="22"/>
              </w:rPr>
            </w:pPr>
            <w:r w:rsidRPr="00657883">
              <w:rPr>
                <w:rFonts w:ascii="Calibri" w:hAnsi="Calibri" w:cs="Calibri"/>
                <w:sz w:val="22"/>
                <w:szCs w:val="22"/>
              </w:rPr>
              <w:t>ja</w:t>
            </w:r>
          </w:p>
        </w:tc>
        <w:tc>
          <w:tcPr>
            <w:tcW w:w="3122" w:type="dxa"/>
          </w:tcPr>
          <w:p w:rsidRPr="00657883" w:rsidR="006C2286" w:rsidP="000D3051" w:rsidRDefault="006C2286" w14:paraId="28B07820" w14:textId="77777777">
            <w:pPr>
              <w:rPr>
                <w:rFonts w:ascii="Calibri" w:hAnsi="Calibri" w:cs="Calibri"/>
                <w:sz w:val="22"/>
                <w:szCs w:val="22"/>
              </w:rPr>
            </w:pPr>
            <w:r w:rsidRPr="00657883">
              <w:rPr>
                <w:rFonts w:ascii="Calibri" w:hAnsi="Calibri" w:cs="Calibri"/>
                <w:sz w:val="22"/>
                <w:szCs w:val="22"/>
              </w:rPr>
              <w:t xml:space="preserve">De minister geeft aan de plannen aan te passen op de nieuwste inzichten over de toekomstige energievraag: minder eigen productie van </w:t>
            </w:r>
            <w:r w:rsidRPr="00657883">
              <w:rPr>
                <w:rFonts w:ascii="Calibri" w:hAnsi="Calibri" w:cs="Calibri"/>
                <w:sz w:val="22"/>
                <w:szCs w:val="22"/>
              </w:rPr>
              <w:lastRenderedPageBreak/>
              <w:t>waterstof, afschalen wind op zee van 50 GW naar minimaal 30 GW in 2040, pauzeren demonstratieprojecten waterstofproductie via elektrolyse op zee, 3-4 GW waterstofproductie via elektrolyse op land in 2035.</w:t>
            </w:r>
          </w:p>
        </w:tc>
      </w:tr>
      <w:tr w:rsidRPr="00657883" w:rsidR="006C2286" w:rsidTr="000D3051" w14:paraId="0631B55E" w14:textId="77777777">
        <w:tc>
          <w:tcPr>
            <w:tcW w:w="1913" w:type="dxa"/>
          </w:tcPr>
          <w:p w:rsidRPr="00657883" w:rsidR="006C2286" w:rsidP="000D3051" w:rsidRDefault="006C2286" w14:paraId="4EAAF840" w14:textId="77777777">
            <w:pPr>
              <w:rPr>
                <w:rFonts w:ascii="Calibri" w:hAnsi="Calibri" w:cs="Calibri"/>
                <w:sz w:val="22"/>
                <w:szCs w:val="22"/>
              </w:rPr>
            </w:pPr>
            <w:r w:rsidRPr="00657883">
              <w:rPr>
                <w:rFonts w:ascii="Calibri" w:hAnsi="Calibri" w:cs="Calibri"/>
                <w:sz w:val="22"/>
                <w:szCs w:val="22"/>
              </w:rPr>
              <w:lastRenderedPageBreak/>
              <w:t>Toekomstige investeringen in kernenergie</w:t>
            </w:r>
          </w:p>
        </w:tc>
        <w:tc>
          <w:tcPr>
            <w:tcW w:w="1289" w:type="dxa"/>
          </w:tcPr>
          <w:p w:rsidRPr="00657883" w:rsidR="006C2286" w:rsidP="000D3051" w:rsidRDefault="006C2286" w14:paraId="10029C6C" w14:textId="77777777">
            <w:pPr>
              <w:rPr>
                <w:rFonts w:ascii="Calibri" w:hAnsi="Calibri" w:cs="Calibri"/>
                <w:sz w:val="22"/>
                <w:szCs w:val="22"/>
              </w:rPr>
            </w:pPr>
          </w:p>
        </w:tc>
        <w:tc>
          <w:tcPr>
            <w:tcW w:w="1604" w:type="dxa"/>
          </w:tcPr>
          <w:p w:rsidRPr="00657883" w:rsidR="006C2286" w:rsidP="000D3051" w:rsidRDefault="006C2286" w14:paraId="4F37A7A9" w14:textId="77777777">
            <w:pPr>
              <w:rPr>
                <w:rFonts w:ascii="Calibri" w:hAnsi="Calibri" w:cs="Calibri"/>
                <w:sz w:val="22"/>
                <w:szCs w:val="22"/>
              </w:rPr>
            </w:pPr>
            <w:r w:rsidRPr="00657883">
              <w:rPr>
                <w:rFonts w:ascii="Calibri" w:hAnsi="Calibri" w:cs="Calibri"/>
                <w:sz w:val="22"/>
                <w:szCs w:val="22"/>
              </w:rPr>
              <w:t>ja</w:t>
            </w:r>
          </w:p>
        </w:tc>
        <w:tc>
          <w:tcPr>
            <w:tcW w:w="3122" w:type="dxa"/>
          </w:tcPr>
          <w:p w:rsidRPr="00657883" w:rsidR="006C2286" w:rsidP="000D3051" w:rsidRDefault="006C2286" w14:paraId="2527E2BA" w14:textId="77777777">
            <w:pPr>
              <w:rPr>
                <w:rFonts w:ascii="Calibri" w:hAnsi="Calibri" w:cs="Calibri"/>
                <w:sz w:val="22"/>
                <w:szCs w:val="22"/>
              </w:rPr>
            </w:pPr>
            <w:r w:rsidRPr="00657883">
              <w:rPr>
                <w:rFonts w:ascii="Calibri" w:hAnsi="Calibri" w:cs="Calibri"/>
                <w:sz w:val="22"/>
                <w:szCs w:val="22"/>
              </w:rPr>
              <w:t xml:space="preserve">De minister informeert de Tweede Kamer over het proces voor de bouw van 2-4 kerncentrales en het openhouden van Borssele. </w:t>
            </w:r>
          </w:p>
        </w:tc>
      </w:tr>
      <w:tr w:rsidRPr="00657883" w:rsidR="006C2286" w:rsidTr="000D3051" w14:paraId="7881FF8F" w14:textId="77777777">
        <w:tc>
          <w:tcPr>
            <w:tcW w:w="1913" w:type="dxa"/>
          </w:tcPr>
          <w:p w:rsidRPr="00657883" w:rsidR="006C2286" w:rsidP="000D3051" w:rsidRDefault="006C2286" w14:paraId="3C0788AD" w14:textId="77777777">
            <w:pPr>
              <w:rPr>
                <w:rFonts w:ascii="Calibri" w:hAnsi="Calibri" w:cs="Calibri"/>
                <w:sz w:val="22"/>
                <w:szCs w:val="22"/>
              </w:rPr>
            </w:pPr>
            <w:r w:rsidRPr="00657883">
              <w:rPr>
                <w:rFonts w:ascii="Calibri" w:hAnsi="Calibri" w:cs="Calibri"/>
                <w:sz w:val="22"/>
                <w:szCs w:val="22"/>
              </w:rPr>
              <w:t xml:space="preserve">Ondoelmatige inzet rijkssubsidies door overlap bij subsidies </w:t>
            </w:r>
          </w:p>
        </w:tc>
        <w:tc>
          <w:tcPr>
            <w:tcW w:w="1289" w:type="dxa"/>
          </w:tcPr>
          <w:p w:rsidRPr="00657883" w:rsidR="006C2286" w:rsidP="000D3051" w:rsidRDefault="006C2286" w14:paraId="0813312A" w14:textId="77777777">
            <w:pPr>
              <w:rPr>
                <w:rFonts w:ascii="Calibri" w:hAnsi="Calibri" w:cs="Calibri"/>
                <w:sz w:val="22"/>
                <w:szCs w:val="22"/>
              </w:rPr>
            </w:pPr>
            <w:r w:rsidRPr="00657883">
              <w:rPr>
                <w:rFonts w:ascii="Calibri" w:hAnsi="Calibri" w:cs="Calibri"/>
                <w:sz w:val="22"/>
                <w:szCs w:val="22"/>
              </w:rPr>
              <w:t>Algemene Rekenkamer</w:t>
            </w:r>
          </w:p>
        </w:tc>
        <w:tc>
          <w:tcPr>
            <w:tcW w:w="1604" w:type="dxa"/>
          </w:tcPr>
          <w:p w:rsidRPr="00657883" w:rsidR="006C2286" w:rsidP="000D3051" w:rsidRDefault="006C2286" w14:paraId="6351C357" w14:textId="77777777">
            <w:pPr>
              <w:rPr>
                <w:rFonts w:ascii="Calibri" w:hAnsi="Calibri" w:cs="Calibri"/>
                <w:sz w:val="22"/>
                <w:szCs w:val="22"/>
              </w:rPr>
            </w:pPr>
            <w:r w:rsidRPr="00657883">
              <w:rPr>
                <w:rFonts w:ascii="Calibri" w:hAnsi="Calibri" w:cs="Calibri"/>
                <w:sz w:val="22"/>
                <w:szCs w:val="22"/>
              </w:rPr>
              <w:t>ja</w:t>
            </w:r>
          </w:p>
        </w:tc>
        <w:tc>
          <w:tcPr>
            <w:tcW w:w="3122" w:type="dxa"/>
          </w:tcPr>
          <w:p w:rsidRPr="00657883" w:rsidR="006C2286" w:rsidP="000D3051" w:rsidRDefault="006C2286" w14:paraId="52BFCB74" w14:textId="77777777">
            <w:pPr>
              <w:rPr>
                <w:rFonts w:ascii="Calibri" w:hAnsi="Calibri" w:cs="Calibri"/>
                <w:sz w:val="22"/>
                <w:szCs w:val="22"/>
              </w:rPr>
            </w:pPr>
            <w:r w:rsidRPr="00657883">
              <w:rPr>
                <w:rFonts w:ascii="Calibri" w:hAnsi="Calibri" w:cs="Calibri"/>
                <w:sz w:val="22"/>
                <w:szCs w:val="22"/>
              </w:rPr>
              <w:t>Het kabinet geeft aan te onderzoeken hoe de doelstellingen van de ISDE subsidie voor warmtepompen per 2027 verder kunnen worden aangescherpt.</w:t>
            </w:r>
          </w:p>
          <w:p w:rsidRPr="00657883" w:rsidR="006C2286" w:rsidP="000D3051" w:rsidRDefault="006C2286" w14:paraId="22ECFBBB" w14:textId="77777777">
            <w:pPr>
              <w:rPr>
                <w:rFonts w:ascii="Calibri" w:hAnsi="Calibri" w:cs="Calibri"/>
                <w:sz w:val="22"/>
                <w:szCs w:val="22"/>
              </w:rPr>
            </w:pPr>
            <w:r w:rsidRPr="00657883">
              <w:rPr>
                <w:rFonts w:ascii="Calibri" w:hAnsi="Calibri" w:cs="Calibri"/>
                <w:sz w:val="22"/>
                <w:szCs w:val="22"/>
              </w:rPr>
              <w:t xml:space="preserve">Daarnaast wordt er gewerkt aan een ontwerp voor tweezijdige </w:t>
            </w:r>
            <w:proofErr w:type="spellStart"/>
            <w:r w:rsidRPr="00657883">
              <w:rPr>
                <w:rFonts w:ascii="Calibri" w:hAnsi="Calibri" w:cs="Calibri"/>
                <w:i/>
                <w:sz w:val="22"/>
                <w:szCs w:val="22"/>
              </w:rPr>
              <w:t>Contracts</w:t>
            </w:r>
            <w:proofErr w:type="spellEnd"/>
            <w:r w:rsidRPr="00657883">
              <w:rPr>
                <w:rFonts w:ascii="Calibri" w:hAnsi="Calibri" w:cs="Calibri"/>
                <w:i/>
                <w:sz w:val="22"/>
                <w:szCs w:val="22"/>
              </w:rPr>
              <w:t xml:space="preserve"> </w:t>
            </w:r>
            <w:proofErr w:type="spellStart"/>
            <w:r w:rsidRPr="00657883">
              <w:rPr>
                <w:rFonts w:ascii="Calibri" w:hAnsi="Calibri" w:cs="Calibri"/>
                <w:i/>
                <w:sz w:val="22"/>
                <w:szCs w:val="22"/>
              </w:rPr>
              <w:t>for</w:t>
            </w:r>
            <w:proofErr w:type="spellEnd"/>
            <w:r w:rsidRPr="00657883">
              <w:rPr>
                <w:rFonts w:ascii="Calibri" w:hAnsi="Calibri" w:cs="Calibri"/>
                <w:i/>
                <w:sz w:val="22"/>
                <w:szCs w:val="22"/>
              </w:rPr>
              <w:t xml:space="preserve"> </w:t>
            </w:r>
            <w:proofErr w:type="spellStart"/>
            <w:r w:rsidRPr="00657883">
              <w:rPr>
                <w:rFonts w:ascii="Calibri" w:hAnsi="Calibri" w:cs="Calibri"/>
                <w:i/>
                <w:sz w:val="22"/>
                <w:szCs w:val="22"/>
              </w:rPr>
              <w:t>Difference</w:t>
            </w:r>
            <w:proofErr w:type="spellEnd"/>
            <w:r w:rsidRPr="00657883">
              <w:rPr>
                <w:rFonts w:ascii="Calibri" w:hAnsi="Calibri" w:cs="Calibri"/>
                <w:sz w:val="22"/>
                <w:szCs w:val="22"/>
              </w:rPr>
              <w:t xml:space="preserve">  om hernieuwbare elektriciteitsprojecten op doelmatige wijze te blijven stimuleren.</w:t>
            </w:r>
          </w:p>
        </w:tc>
      </w:tr>
    </w:tbl>
    <w:p w:rsidRPr="00657883" w:rsidR="006C2286" w:rsidP="006C2286" w:rsidRDefault="006C2286" w14:paraId="2E360DDB" w14:textId="77777777">
      <w:pPr>
        <w:rPr>
          <w:rFonts w:ascii="Calibri" w:hAnsi="Calibri" w:cs="Calibri"/>
        </w:rPr>
      </w:pPr>
    </w:p>
    <w:p w:rsidRPr="00657883" w:rsidR="006C2286" w:rsidP="006C2286" w:rsidRDefault="006C2286" w14:paraId="6ABE5C9A" w14:textId="77777777">
      <w:pPr>
        <w:rPr>
          <w:rFonts w:ascii="Calibri" w:hAnsi="Calibri" w:cs="Calibri"/>
        </w:rPr>
      </w:pPr>
      <w:r w:rsidRPr="00657883">
        <w:rPr>
          <w:rFonts w:ascii="Calibri" w:hAnsi="Calibri" w:cs="Calibri"/>
        </w:rPr>
        <w:t>Wij vragen uw aandacht voor deze risico’s want deze kunnen uiteindelijk gevolgen hebben voor de raming (begroting) en het bereiken van afgesproken resultaten.</w:t>
      </w:r>
    </w:p>
    <w:p w:rsidRPr="00657883" w:rsidR="006C2286" w:rsidP="006C2286" w:rsidRDefault="006C2286" w14:paraId="23F37C2E" w14:textId="77777777">
      <w:pPr>
        <w:rPr>
          <w:rFonts w:ascii="Calibri" w:hAnsi="Calibri" w:cs="Calibri"/>
        </w:rPr>
      </w:pPr>
    </w:p>
    <w:p w:rsidRPr="00657883" w:rsidR="006C2286" w:rsidP="006C2286" w:rsidRDefault="006C2286" w14:paraId="4EEFAA55" w14:textId="77777777">
      <w:pPr>
        <w:rPr>
          <w:rFonts w:ascii="Calibri" w:hAnsi="Calibri" w:cs="Calibri"/>
        </w:rPr>
      </w:pPr>
      <w:r w:rsidRPr="00657883">
        <w:rPr>
          <w:rFonts w:ascii="Calibri" w:hAnsi="Calibri" w:cs="Calibri"/>
        </w:rPr>
        <w:t xml:space="preserve">Wij vertrouwen erop dat deze brief behulpzaam is bij de begrotingsbehandeling in uw Kamer. </w:t>
      </w:r>
    </w:p>
    <w:p w:rsidR="006C2286" w:rsidP="006C2286" w:rsidRDefault="006C2286" w14:paraId="5B664C81" w14:textId="77777777">
      <w:pPr>
        <w:rPr>
          <w:rFonts w:ascii="Calibri" w:hAnsi="Calibri" w:cs="Calibri"/>
        </w:rPr>
      </w:pPr>
    </w:p>
    <w:p w:rsidRPr="002B0154" w:rsidR="00D40A91" w:rsidP="00D40A91" w:rsidRDefault="00D40A91" w14:paraId="0D8A6C74" w14:textId="77777777">
      <w:pPr>
        <w:rPr>
          <w:rFonts w:cs="Calibri"/>
        </w:rPr>
      </w:pPr>
      <w:r w:rsidRPr="002B0154">
        <w:rPr>
          <w:rFonts w:cs="Calibri"/>
        </w:rPr>
        <w:t>Algemene Rekenkamer</w:t>
      </w:r>
    </w:p>
    <w:p w:rsidRPr="00B536C7" w:rsidR="00D40A91" w:rsidP="00D40A91" w:rsidRDefault="00D40A91" w14:paraId="126F4C86"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D40A91" w:rsidP="00D40A91" w:rsidRDefault="00D40A91" w14:paraId="52D774DD" w14:textId="77777777">
      <w:pPr>
        <w:pStyle w:val="Geenafstand"/>
      </w:pPr>
      <w:r w:rsidRPr="00B536C7">
        <w:t>president</w:t>
      </w:r>
    </w:p>
    <w:p w:rsidRPr="002B0154" w:rsidR="00D40A91" w:rsidP="00D40A91" w:rsidRDefault="00D40A91" w14:paraId="2EAB275D" w14:textId="77777777">
      <w:pPr>
        <w:rPr>
          <w:rFonts w:cs="Calibri"/>
        </w:rPr>
      </w:pPr>
    </w:p>
    <w:p w:rsidRPr="00B536C7" w:rsidR="00D40A91" w:rsidP="00D40A91" w:rsidRDefault="00D40A91" w14:paraId="7711F5E5" w14:textId="77777777">
      <w:pPr>
        <w:pStyle w:val="Geenafstand"/>
      </w:pPr>
      <w:r>
        <w:t>drs. C. (Cornelis)</w:t>
      </w:r>
      <w:r w:rsidRPr="00B536C7">
        <w:t xml:space="preserve"> van der Werf,</w:t>
      </w:r>
    </w:p>
    <w:p w:rsidRPr="00B536C7" w:rsidR="00D40A91" w:rsidP="00D40A91" w:rsidRDefault="00D40A91" w14:paraId="07134D9A" w14:textId="77777777">
      <w:pPr>
        <w:pStyle w:val="Geenafstand"/>
      </w:pPr>
      <w:r w:rsidRPr="00B536C7">
        <w:t>secretaris</w:t>
      </w:r>
    </w:p>
    <w:p w:rsidRPr="00657883" w:rsidR="00010704" w:rsidP="006C2286" w:rsidRDefault="00010704" w14:paraId="4CD9D1B6" w14:textId="77777777">
      <w:pPr>
        <w:rPr>
          <w:rFonts w:ascii="Calibri" w:hAnsi="Calibri" w:cs="Calibri"/>
        </w:rPr>
      </w:pPr>
    </w:p>
    <w:sectPr w:rsidRPr="00657883" w:rsidR="00010704" w:rsidSect="006C2286">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CF90" w14:textId="77777777" w:rsidR="006C2286" w:rsidRDefault="006C2286" w:rsidP="006C2286">
      <w:pPr>
        <w:spacing w:after="0" w:line="240" w:lineRule="auto"/>
      </w:pPr>
      <w:r>
        <w:separator/>
      </w:r>
    </w:p>
  </w:endnote>
  <w:endnote w:type="continuationSeparator" w:id="0">
    <w:p w14:paraId="30DAFE7E" w14:textId="77777777" w:rsidR="006C2286" w:rsidRDefault="006C2286" w:rsidP="006C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2EAF" w14:textId="77777777" w:rsidR="006C2286" w:rsidRPr="006C2286" w:rsidRDefault="006C2286" w:rsidP="006C22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CAF0" w14:textId="77777777" w:rsidR="006C2286" w:rsidRPr="006C2286" w:rsidRDefault="006C2286" w:rsidP="006C22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B2D0" w14:textId="77777777" w:rsidR="006C2286" w:rsidRPr="006C2286" w:rsidRDefault="006C2286" w:rsidP="006C22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315F" w14:textId="77777777" w:rsidR="006C2286" w:rsidRDefault="006C2286" w:rsidP="006C2286">
      <w:pPr>
        <w:spacing w:after="0" w:line="240" w:lineRule="auto"/>
      </w:pPr>
      <w:r>
        <w:separator/>
      </w:r>
    </w:p>
  </w:footnote>
  <w:footnote w:type="continuationSeparator" w:id="0">
    <w:p w14:paraId="6A55B8F3" w14:textId="77777777" w:rsidR="006C2286" w:rsidRDefault="006C2286" w:rsidP="006C2286">
      <w:pPr>
        <w:spacing w:after="0" w:line="240" w:lineRule="auto"/>
      </w:pPr>
      <w:r>
        <w:continuationSeparator/>
      </w:r>
    </w:p>
  </w:footnote>
  <w:footnote w:id="1">
    <w:p w14:paraId="12C60423" w14:textId="1792EFBC" w:rsidR="006C2286" w:rsidRDefault="006C2286" w:rsidP="006C2286">
      <w:pPr>
        <w:pStyle w:val="Voetnoottekst"/>
      </w:pPr>
      <w:r>
        <w:rPr>
          <w:rStyle w:val="Voetnootmarkering"/>
        </w:rPr>
        <w:footnoteRef/>
      </w:r>
      <w:r>
        <w:t xml:space="preserve"> </w:t>
      </w:r>
      <w:r w:rsidRPr="004F20E6">
        <w:rPr>
          <w:sz w:val="16"/>
          <w:szCs w:val="16"/>
        </w:rPr>
        <w:t>KGG (2025) Kamerbrief Het Windenergie Infrastructuurplan Noordzee,16 juli 2025</w:t>
      </w:r>
      <w:r>
        <w:rPr>
          <w:sz w:val="16"/>
          <w:szCs w:val="16"/>
        </w:rPr>
        <w:t xml:space="preserve"> (Kamerstuk 33 561, nr. 87)</w:t>
      </w:r>
    </w:p>
  </w:footnote>
  <w:footnote w:id="2">
    <w:p w14:paraId="51995D59" w14:textId="6BCDF07B" w:rsidR="006C2286" w:rsidRDefault="006C2286" w:rsidP="006C2286">
      <w:pPr>
        <w:pStyle w:val="Voetnoottekst"/>
      </w:pPr>
      <w:r>
        <w:rPr>
          <w:rStyle w:val="Voetnootmarkering"/>
        </w:rPr>
        <w:footnoteRef/>
      </w:r>
      <w:r>
        <w:t xml:space="preserve"> </w:t>
      </w:r>
      <w:r w:rsidRPr="004F20E6">
        <w:rPr>
          <w:sz w:val="16"/>
          <w:szCs w:val="16"/>
        </w:rPr>
        <w:t>KGG (2025) Kamerbief Stimulering duurzame energieproductie</w:t>
      </w:r>
      <w:r>
        <w:rPr>
          <w:sz w:val="16"/>
          <w:szCs w:val="16"/>
        </w:rPr>
        <w:t>,</w:t>
      </w:r>
      <w:r w:rsidRPr="004F20E6">
        <w:rPr>
          <w:sz w:val="16"/>
          <w:szCs w:val="16"/>
        </w:rPr>
        <w:t xml:space="preserve"> 19 juni 2025</w:t>
      </w:r>
      <w:r>
        <w:t xml:space="preserve"> (Kamerstuk 31 239, nr. 425)</w:t>
      </w:r>
    </w:p>
  </w:footnote>
  <w:footnote w:id="3">
    <w:p w14:paraId="039F06BD" w14:textId="357423C9" w:rsidR="006C2286" w:rsidRPr="00211DB7" w:rsidRDefault="006C2286" w:rsidP="006C2286">
      <w:pPr>
        <w:rPr>
          <w:sz w:val="16"/>
          <w:szCs w:val="16"/>
        </w:rPr>
      </w:pPr>
      <w:r w:rsidRPr="00211DB7">
        <w:rPr>
          <w:rStyle w:val="Voetnootmarkering"/>
          <w:sz w:val="16"/>
          <w:szCs w:val="16"/>
        </w:rPr>
        <w:footnoteRef/>
      </w:r>
      <w:r w:rsidRPr="00211DB7">
        <w:rPr>
          <w:sz w:val="16"/>
          <w:szCs w:val="16"/>
        </w:rPr>
        <w:t xml:space="preserve"> KGG (2025) Windenergie Infrastructuurplan Noordzee, 30 juni 2025</w:t>
      </w:r>
      <w:r>
        <w:rPr>
          <w:sz w:val="16"/>
          <w:szCs w:val="16"/>
        </w:rPr>
        <w:t xml:space="preserve"> (Kamerstuk 33 561, nr. 87)</w:t>
      </w:r>
    </w:p>
  </w:footnote>
  <w:footnote w:id="4">
    <w:p w14:paraId="06D22741" w14:textId="04619C51" w:rsidR="006C2286" w:rsidRPr="00211DB7" w:rsidRDefault="006C2286" w:rsidP="006C2286">
      <w:pPr>
        <w:rPr>
          <w:sz w:val="16"/>
          <w:szCs w:val="16"/>
        </w:rPr>
      </w:pPr>
      <w:r w:rsidRPr="00211DB7">
        <w:rPr>
          <w:rStyle w:val="Voetnootmarkering"/>
          <w:sz w:val="16"/>
          <w:szCs w:val="16"/>
        </w:rPr>
        <w:footnoteRef/>
      </w:r>
      <w:r w:rsidRPr="00211DB7">
        <w:rPr>
          <w:sz w:val="16"/>
          <w:szCs w:val="16"/>
        </w:rPr>
        <w:t xml:space="preserve"> KGG (2025) Kamerbrief Voortgang Maatwerkafspraken Verduurzaming Industrie, 30 juni 2025</w:t>
      </w:r>
      <w:r>
        <w:rPr>
          <w:sz w:val="16"/>
          <w:szCs w:val="16"/>
        </w:rPr>
        <w:t xml:space="preserve"> (Kamerstuk 29 826, nr. 260)</w:t>
      </w:r>
    </w:p>
  </w:footnote>
  <w:footnote w:id="5">
    <w:p w14:paraId="47388AA1" w14:textId="77777777" w:rsidR="006C2286" w:rsidRPr="00211DB7" w:rsidRDefault="006C2286" w:rsidP="006C2286">
      <w:pPr>
        <w:rPr>
          <w:sz w:val="16"/>
          <w:szCs w:val="16"/>
        </w:rPr>
      </w:pPr>
      <w:r w:rsidRPr="00211DB7">
        <w:rPr>
          <w:rStyle w:val="Voetnootmarkering"/>
          <w:sz w:val="16"/>
          <w:szCs w:val="16"/>
        </w:rPr>
        <w:footnoteRef/>
      </w:r>
      <w:r w:rsidRPr="00211DB7">
        <w:rPr>
          <w:sz w:val="16"/>
          <w:szCs w:val="16"/>
        </w:rPr>
        <w:t xml:space="preserve"> PBL (2024) Klimaat- en Energieverkenning 2024, 20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98A0" w14:textId="77777777" w:rsidR="006C2286" w:rsidRPr="006C2286" w:rsidRDefault="006C2286" w:rsidP="006C22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54EB" w14:textId="77777777" w:rsidR="006C2286" w:rsidRPr="006C2286" w:rsidRDefault="006C2286" w:rsidP="006C22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6536" w14:textId="77777777" w:rsidR="006C2286" w:rsidRPr="006C2286" w:rsidRDefault="006C2286" w:rsidP="006C22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5610656">
    <w:abstractNumId w:val="0"/>
  </w:num>
  <w:num w:numId="2" w16cid:durableId="1683627743">
    <w:abstractNumId w:val="2"/>
  </w:num>
  <w:num w:numId="3" w16cid:durableId="213976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86"/>
    <w:rsid w:val="00010704"/>
    <w:rsid w:val="001330AD"/>
    <w:rsid w:val="005D13E4"/>
    <w:rsid w:val="00657883"/>
    <w:rsid w:val="006C2286"/>
    <w:rsid w:val="00D40A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CEC6"/>
  <w15:chartTrackingRefBased/>
  <w15:docId w15:val="{6D7D6C8C-A24C-47AD-AF93-A93608AB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C2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6C2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6C22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2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2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C22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2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2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2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2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2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2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2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286"/>
    <w:rPr>
      <w:rFonts w:eastAsiaTheme="majorEastAsia" w:cstheme="majorBidi"/>
      <w:color w:val="272727" w:themeColor="text1" w:themeTint="D8"/>
    </w:rPr>
  </w:style>
  <w:style w:type="paragraph" w:styleId="Titel">
    <w:name w:val="Title"/>
    <w:basedOn w:val="Standaard"/>
    <w:next w:val="Standaard"/>
    <w:link w:val="TitelChar"/>
    <w:uiPriority w:val="10"/>
    <w:qFormat/>
    <w:rsid w:val="006C2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2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2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2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2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286"/>
    <w:rPr>
      <w:i/>
      <w:iCs/>
      <w:color w:val="404040" w:themeColor="text1" w:themeTint="BF"/>
    </w:rPr>
  </w:style>
  <w:style w:type="paragraph" w:styleId="Lijstalinea">
    <w:name w:val="List Paragraph"/>
    <w:basedOn w:val="Standaard"/>
    <w:uiPriority w:val="34"/>
    <w:qFormat/>
    <w:rsid w:val="006C2286"/>
    <w:pPr>
      <w:ind w:left="720"/>
      <w:contextualSpacing/>
    </w:pPr>
  </w:style>
  <w:style w:type="character" w:styleId="Intensievebenadrukking">
    <w:name w:val="Intense Emphasis"/>
    <w:basedOn w:val="Standaardalinea-lettertype"/>
    <w:uiPriority w:val="21"/>
    <w:qFormat/>
    <w:rsid w:val="006C2286"/>
    <w:rPr>
      <w:i/>
      <w:iCs/>
      <w:color w:val="0F4761" w:themeColor="accent1" w:themeShade="BF"/>
    </w:rPr>
  </w:style>
  <w:style w:type="paragraph" w:styleId="Duidelijkcitaat">
    <w:name w:val="Intense Quote"/>
    <w:basedOn w:val="Standaard"/>
    <w:next w:val="Standaard"/>
    <w:link w:val="DuidelijkcitaatChar"/>
    <w:uiPriority w:val="30"/>
    <w:qFormat/>
    <w:rsid w:val="006C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286"/>
    <w:rPr>
      <w:i/>
      <w:iCs/>
      <w:color w:val="0F4761" w:themeColor="accent1" w:themeShade="BF"/>
    </w:rPr>
  </w:style>
  <w:style w:type="character" w:styleId="Intensieveverwijzing">
    <w:name w:val="Intense Reference"/>
    <w:basedOn w:val="Standaardalinea-lettertype"/>
    <w:uiPriority w:val="32"/>
    <w:qFormat/>
    <w:rsid w:val="006C2286"/>
    <w:rPr>
      <w:b/>
      <w:bCs/>
      <w:smallCaps/>
      <w:color w:val="0F4761" w:themeColor="accent1" w:themeShade="BF"/>
      <w:spacing w:val="5"/>
    </w:rPr>
  </w:style>
  <w:style w:type="paragraph" w:customStyle="1" w:styleId="Opsomming">
    <w:name w:val="Opsomming"/>
    <w:basedOn w:val="Standaard"/>
    <w:next w:val="Standaard"/>
    <w:uiPriority w:val="2"/>
    <w:qFormat/>
    <w:rsid w:val="006C2286"/>
    <w:pPr>
      <w:numPr>
        <w:numId w:val="1"/>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6C2286"/>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6C2286"/>
    <w:rPr>
      <w:rFonts w:ascii="Roboto" w:eastAsia="DejaVu Sans" w:hAnsi="Roboto" w:cs="Lohit Hindi"/>
      <w:color w:val="000000"/>
      <w:kern w:val="0"/>
      <w:sz w:val="20"/>
      <w:szCs w:val="20"/>
      <w:lang w:eastAsia="nl-NL"/>
      <w14:ligatures w14:val="none"/>
    </w:rPr>
  </w:style>
  <w:style w:type="paragraph" w:styleId="Tekstopmerking">
    <w:name w:val="annotation text"/>
    <w:basedOn w:val="Standaard"/>
    <w:link w:val="TekstopmerkingChar"/>
    <w:uiPriority w:val="99"/>
    <w:unhideWhenUsed/>
    <w:rsid w:val="006C2286"/>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C2286"/>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6C228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C2286"/>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2286"/>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2286"/>
    <w:rPr>
      <w:vertAlign w:val="superscript"/>
    </w:rPr>
  </w:style>
  <w:style w:type="paragraph" w:styleId="Koptekst">
    <w:name w:val="header"/>
    <w:basedOn w:val="Standaard"/>
    <w:link w:val="KoptekstChar"/>
    <w:uiPriority w:val="99"/>
    <w:unhideWhenUsed/>
    <w:rsid w:val="006C22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2286"/>
  </w:style>
  <w:style w:type="paragraph" w:styleId="Geenafstand">
    <w:name w:val="No Spacing"/>
    <w:uiPriority w:val="1"/>
    <w:qFormat/>
    <w:rsid w:val="00D40A9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2530</ap:Words>
  <ap:Characters>13920</ap:Characters>
  <ap:DocSecurity>0</ap:DocSecurity>
  <ap:Lines>116</ap:Lines>
  <ap:Paragraphs>32</ap:Paragraphs>
  <ap:ScaleCrop>false</ap:ScaleCrop>
  <ap:LinksUpToDate>false</ap:LinksUpToDate>
  <ap:CharactersWithSpaces>16418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2025-09-23T14:48:00.0000000Z</dcterms:created>
  <dcterms:modified xsi:type="dcterms:W3CDTF">2025-09-23T14:48:00.0000000Z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