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D7C" w:rsidRDefault="006F3D7C" w14:paraId="4A350C9E" w14:textId="77777777"/>
    <w:p w:rsidR="00A20D96" w:rsidRDefault="00C347D5" w14:paraId="60EB42F4" w14:textId="15A5A95D">
      <w:r>
        <w:t>Het Centraal Orgaan opvang Asielzoekers</w:t>
      </w:r>
      <w:r w:rsidR="00042CFD">
        <w:t xml:space="preserve"> en in het bijzonder het aanmeldcentrum in Ter Apel</w:t>
      </w:r>
      <w:r>
        <w:t xml:space="preserve"> staa</w:t>
      </w:r>
      <w:r w:rsidR="00696884">
        <w:t>n</w:t>
      </w:r>
      <w:r>
        <w:t xml:space="preserve"> onder grote druk. </w:t>
      </w:r>
      <w:r w:rsidR="00042CFD">
        <w:t>Met de gemeente Westerwolde is afgesproken dat er maximaal 2000 personen in het aanmeldcentrum mogen verblijven, maar de afgelopen periode is dit</w:t>
      </w:r>
      <w:r w:rsidR="00924424">
        <w:t xml:space="preserve"> </w:t>
      </w:r>
      <w:r w:rsidR="004E1B9D">
        <w:t>een aantal keer</w:t>
      </w:r>
      <w:r w:rsidR="00042CFD">
        <w:t xml:space="preserve"> overschreden. De druk op het aanmeldcentrum kan voor een belangrijk deel verklaard </w:t>
      </w:r>
      <w:r w:rsidRPr="003701AC" w:rsidR="00042CFD">
        <w:t>worden door het hoge aantal statushouders in de opvang.</w:t>
      </w:r>
      <w:r w:rsidRPr="003701AC" w:rsidR="00924424">
        <w:t xml:space="preserve"> Dit uiteraard los </w:t>
      </w:r>
      <w:r w:rsidRPr="00F54097" w:rsidR="00924424">
        <w:t xml:space="preserve">van de </w:t>
      </w:r>
      <w:r w:rsidRPr="00F54097" w:rsidR="004E1B9D">
        <w:t xml:space="preserve">relatief </w:t>
      </w:r>
      <w:r w:rsidRPr="00F54097" w:rsidR="00924424">
        <w:t>hoge instroom.</w:t>
      </w:r>
      <w:r w:rsidRPr="00F54097" w:rsidR="00042CFD">
        <w:t xml:space="preserve"> </w:t>
      </w:r>
      <w:r w:rsidRPr="00F54097" w:rsidR="001545E9">
        <w:t>In totaal zitten er momenteel circa 18.000 statushouders in de opvang. Binnen de</w:t>
      </w:r>
      <w:r w:rsidRPr="003701AC" w:rsidR="001545E9">
        <w:t xml:space="preserve"> groep statushouders in de asielopvang groeit het aantal personen dat via de nareisprocedure </w:t>
      </w:r>
      <w:r w:rsidRPr="003701AC" w:rsidR="00924424">
        <w:t xml:space="preserve">(familieleden van de statushouders) </w:t>
      </w:r>
      <w:r w:rsidRPr="003701AC" w:rsidR="001545E9">
        <w:t>naar Nederland is gekomen</w:t>
      </w:r>
      <w:r w:rsidRPr="003701AC" w:rsidR="00A20D96">
        <w:t xml:space="preserve">. Er verblijven </w:t>
      </w:r>
      <w:r w:rsidRPr="00F54097" w:rsidR="00A20D96">
        <w:t>ongeveer 7</w:t>
      </w:r>
      <w:r w:rsidRPr="00F54097" w:rsidR="004E1B9D">
        <w:t>8</w:t>
      </w:r>
      <w:r w:rsidRPr="00F54097" w:rsidR="00A20D96">
        <w:t xml:space="preserve">00 </w:t>
      </w:r>
      <w:proofErr w:type="spellStart"/>
      <w:r w:rsidRPr="00F54097" w:rsidR="00A20D96">
        <w:t>nareizigers</w:t>
      </w:r>
      <w:proofErr w:type="spellEnd"/>
      <w:r w:rsidRPr="003701AC" w:rsidR="00A20D96">
        <w:t xml:space="preserve"> in de asielopvang. Bij circa 2000 van de nareizigers is de referent al uitgestroomd bij het COA en </w:t>
      </w:r>
      <w:r w:rsidRPr="003701AC" w:rsidR="00924424">
        <w:t>woonachtig</w:t>
      </w:r>
      <w:r w:rsidR="00924424">
        <w:t xml:space="preserve"> in de diverse gemeenten. </w:t>
      </w:r>
    </w:p>
    <w:p w:rsidR="00A20D96" w:rsidRDefault="00A20D96" w14:paraId="318EEAE5" w14:textId="77777777"/>
    <w:p w:rsidR="009369D0" w:rsidRDefault="00A20D96" w14:paraId="540077FA" w14:textId="71B7DAA7">
      <w:pPr>
        <w:rPr>
          <w:i/>
          <w:iCs/>
        </w:rPr>
      </w:pPr>
      <w:r>
        <w:t xml:space="preserve">Om de druk op het COA te verlichten en de situatie in de opvang op orde te </w:t>
      </w:r>
      <w:r w:rsidR="00EB4D09">
        <w:t>brengen</w:t>
      </w:r>
      <w:r>
        <w:t xml:space="preserve"> zijn er snel aanvullende maatregelen nodig. Het COA gaat samen met het departement door met het realiseren van nieuwe noodopvangvoorzieningen en het optimaliseren van de bezetting van bestaande COA-locaties. In aanvulling daarop zullen </w:t>
      </w:r>
      <w:proofErr w:type="spellStart"/>
      <w:r>
        <w:t>nareizigers</w:t>
      </w:r>
      <w:proofErr w:type="spellEnd"/>
      <w:r>
        <w:t xml:space="preserve"> worden </w:t>
      </w:r>
      <w:r w:rsidR="00094F9B">
        <w:t xml:space="preserve">doorverwezen </w:t>
      </w:r>
      <w:r>
        <w:t>naar de koppelgemeente</w:t>
      </w:r>
      <w:r w:rsidR="00924424">
        <w:t xml:space="preserve"> waar de referent woont</w:t>
      </w:r>
      <w:r>
        <w:t xml:space="preserve">. Concreet richt deze maatregel zich op de </w:t>
      </w:r>
      <w:r w:rsidRPr="00A20D96">
        <w:t xml:space="preserve">circa tweeduizend zogenaamde nareizigers met een verblijfsvergunning, die bij hun familielid kunnen gaan </w:t>
      </w:r>
      <w:r w:rsidR="00094F9B">
        <w:t>verblijven</w:t>
      </w:r>
      <w:r w:rsidRPr="00A20D96">
        <w:t xml:space="preserve">. Die familieleden hebben een verblijfsstatus en wonen niet meer in een asielzoekerscentrum. Nu wachten de nareizigers nog in een azc op passende huisvesting. </w:t>
      </w:r>
      <w:r w:rsidR="009369D0">
        <w:t>Het COA zal deze nareizigers</w:t>
      </w:r>
      <w:r w:rsidR="00671468">
        <w:t xml:space="preserve">, behoudens contra-indicaties en in redelijkheid en billijkheid, </w:t>
      </w:r>
      <w:r w:rsidR="009369D0">
        <w:t>door</w:t>
      </w:r>
      <w:r w:rsidR="00094F9B">
        <w:t>verwijzen</w:t>
      </w:r>
      <w:r w:rsidR="009369D0">
        <w:t xml:space="preserve"> naar de gemeente waar het familielid woont. </w:t>
      </w:r>
      <w:r w:rsidRPr="00A20D96">
        <w:t>Ze trekken zoveel mogelijk bij hun familielid in, of zoeken in samenspraak met de gemeente andere huisvesting in de buurt</w:t>
      </w:r>
      <w:r>
        <w:t xml:space="preserve">. </w:t>
      </w:r>
      <w:r w:rsidR="00951132">
        <w:t xml:space="preserve">Uiteraard zal hierover contact worden opgenomen met de gemeenten. </w:t>
      </w:r>
    </w:p>
    <w:p w:rsidR="001E3051" w:rsidRDefault="001E3051" w14:paraId="5922D384" w14:textId="77777777">
      <w:pPr>
        <w:rPr>
          <w:i/>
          <w:iCs/>
        </w:rPr>
      </w:pPr>
    </w:p>
    <w:p w:rsidRPr="00F54097" w:rsidR="001E3051" w:rsidRDefault="001E3051" w14:paraId="6DAE3E0B" w14:textId="2FE279AB">
      <w:r w:rsidRPr="00F54097">
        <w:t xml:space="preserve">Daarnaast wordt de samenwerking met het Rode Kruis rondom de </w:t>
      </w:r>
      <w:proofErr w:type="spellStart"/>
      <w:r w:rsidRPr="00F54097">
        <w:t>nareizigers</w:t>
      </w:r>
      <w:proofErr w:type="spellEnd"/>
      <w:r w:rsidRPr="00F54097">
        <w:t xml:space="preserve"> versterkt. </w:t>
      </w:r>
      <w:r w:rsidRPr="00F54097" w:rsidR="009E5B18">
        <w:t>Ik ben voornemens om een voorstel uit te laten werken</w:t>
      </w:r>
      <w:r w:rsidRPr="00F54097" w:rsidR="00094F9B">
        <w:t xml:space="preserve"> om h</w:t>
      </w:r>
      <w:r w:rsidRPr="00F54097">
        <w:t>et Rode Krui</w:t>
      </w:r>
      <w:r w:rsidRPr="00F54097" w:rsidR="00BA0901">
        <w:t xml:space="preserve">s </w:t>
      </w:r>
      <w:r w:rsidRPr="00F54097">
        <w:t xml:space="preserve">onderdak te </w:t>
      </w:r>
      <w:r w:rsidRPr="00F54097" w:rsidR="009E5B18">
        <w:t xml:space="preserve">helpen </w:t>
      </w:r>
      <w:r w:rsidRPr="00F54097">
        <w:t xml:space="preserve">regelen voor de overige </w:t>
      </w:r>
      <w:proofErr w:type="spellStart"/>
      <w:r w:rsidRPr="00F54097">
        <w:t>nareizigers</w:t>
      </w:r>
      <w:proofErr w:type="spellEnd"/>
      <w:r w:rsidRPr="00F54097">
        <w:t xml:space="preserve"> bij voorkeur zoveel mogelijk in de buurt van de gemeenten waaraan zij gekoppeld zijn.</w:t>
      </w:r>
    </w:p>
    <w:p w:rsidRPr="00F54097" w:rsidR="00EB4D09" w:rsidRDefault="00EB4D09" w14:paraId="642CE569" w14:textId="77777777">
      <w:pPr>
        <w:rPr>
          <w:i/>
          <w:iCs/>
        </w:rPr>
      </w:pPr>
    </w:p>
    <w:p w:rsidR="009369D0" w:rsidRDefault="00EB4D09" w14:paraId="5C665FCA" w14:textId="4F03D4A9">
      <w:bookmarkStart w:name="_Hlk209513923" w:id="0"/>
      <w:r w:rsidRPr="00F54097">
        <w:t xml:space="preserve">De situatie in de opvang en het hoge aantal </w:t>
      </w:r>
      <w:r w:rsidRPr="00F54097" w:rsidR="004E1B9D">
        <w:t>statushouders</w:t>
      </w:r>
      <w:r w:rsidRPr="00F54097">
        <w:t xml:space="preserve"> toont aan dat er naast de bovenstaande maatregelen op de korte termijn een noodzaak</w:t>
      </w:r>
      <w:r>
        <w:t xml:space="preserve"> is om grip te krijgen op migratie. Door de asielnoodmaatregelenwet en de Wet invoering tweestatusstelsel wordt de instroom van nareizigers beperkt. </w:t>
      </w:r>
      <w:r w:rsidR="00924424">
        <w:t xml:space="preserve">Het blijft daarom van </w:t>
      </w:r>
      <w:r w:rsidR="00924424">
        <w:lastRenderedPageBreak/>
        <w:t xml:space="preserve">het grootste belang deze twee wetten spoedig aangenomen te krijgen in de Eerste Kamer waarna ze in werking kunnen treden. </w:t>
      </w:r>
    </w:p>
    <w:bookmarkEnd w:id="0"/>
    <w:p w:rsidRPr="00EB4D09" w:rsidR="00EB4D09" w:rsidRDefault="00EB4D09" w14:paraId="0CAB0BB9" w14:textId="77777777"/>
    <w:p w:rsidR="009369D0" w:rsidRDefault="009369D0" w14:paraId="61F9F515" w14:textId="14E54A07">
      <w:r w:rsidRPr="00F54097">
        <w:t>Door inzet van</w:t>
      </w:r>
      <w:r w:rsidRPr="00F54097" w:rsidR="00696884">
        <w:t xml:space="preserve"> bovenstaande maatregelen is de verwachting dat de bezetting in de asielopvang </w:t>
      </w:r>
      <w:r w:rsidRPr="00F54097" w:rsidR="000E6A6D">
        <w:t>ontlast wordt</w:t>
      </w:r>
      <w:r w:rsidRPr="00F54097" w:rsidR="004E1B9D">
        <w:t xml:space="preserve"> en de bezetting in Ter Apel weer onder de 2000 wordt gebracht</w:t>
      </w:r>
      <w:r w:rsidRPr="00F54097" w:rsidR="00696884">
        <w:t>. Eind oktober opent er daarnaast een nieuwe grote noodopvanglocatie</w:t>
      </w:r>
      <w:r w:rsidRPr="003701AC" w:rsidR="00696884">
        <w:t xml:space="preserve">, waardoor de verwachting is dat de bezettingsgraad bij het COA tegen die tijd </w:t>
      </w:r>
      <w:r w:rsidRPr="003701AC" w:rsidR="000E6A6D">
        <w:t xml:space="preserve">verder </w:t>
      </w:r>
      <w:r w:rsidRPr="003701AC" w:rsidR="00696884">
        <w:t>zal afnemen.</w:t>
      </w:r>
    </w:p>
    <w:p w:rsidR="006F3D7C" w:rsidRDefault="006F3D7C" w14:paraId="4401772E" w14:textId="77777777">
      <w:pPr>
        <w:pStyle w:val="WitregelW1bodytekst"/>
      </w:pPr>
    </w:p>
    <w:p w:rsidRPr="00AE1ABB" w:rsidR="00AE1ABB" w:rsidP="00AE1ABB" w:rsidRDefault="00AE1ABB" w14:paraId="23EB409A" w14:textId="77777777"/>
    <w:p w:rsidR="00C347D5" w:rsidRDefault="00E24994" w14:paraId="74EC7051" w14:textId="1A4E1EEE">
      <w:r>
        <w:t>De Minister v</w:t>
      </w:r>
      <w:r w:rsidR="00C347D5">
        <w:t>oor Asiel en Migratie,</w:t>
      </w:r>
    </w:p>
    <w:p w:rsidR="00C347D5" w:rsidRDefault="00C347D5" w14:paraId="5E73C6B6" w14:textId="77777777"/>
    <w:p w:rsidR="006F3D7C" w:rsidRDefault="006F3D7C" w14:paraId="53E5E4C2" w14:textId="77777777"/>
    <w:p w:rsidR="00AE1ABB" w:rsidRDefault="00AE1ABB" w14:paraId="6CC8DBCB" w14:textId="77777777"/>
    <w:p w:rsidR="00AE1ABB" w:rsidRDefault="00AE1ABB" w14:paraId="04644C38" w14:textId="77777777"/>
    <w:p w:rsidR="006F3D7C" w:rsidRDefault="00AE1ABB" w14:paraId="6ACA6B95" w14:textId="403D9D7F">
      <w:r w:rsidRPr="00AE1ABB">
        <w:t>M.C.G. Keijzer</w:t>
      </w:r>
    </w:p>
    <w:p w:rsidR="006F3D7C" w:rsidRDefault="006F3D7C" w14:paraId="728E205F" w14:textId="77777777"/>
    <w:sectPr w:rsidR="006F3D7C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6CDC" w14:textId="77777777" w:rsidR="00566C8A" w:rsidRDefault="00566C8A">
      <w:pPr>
        <w:spacing w:line="240" w:lineRule="auto"/>
      </w:pPr>
      <w:r>
        <w:separator/>
      </w:r>
    </w:p>
  </w:endnote>
  <w:endnote w:type="continuationSeparator" w:id="0">
    <w:p w14:paraId="1C473043" w14:textId="77777777" w:rsidR="00566C8A" w:rsidRDefault="00566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D95C" w14:textId="77777777" w:rsidR="006F3D7C" w:rsidRDefault="006F3D7C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18E5" w14:textId="77777777" w:rsidR="00566C8A" w:rsidRDefault="00566C8A">
      <w:pPr>
        <w:spacing w:line="240" w:lineRule="auto"/>
      </w:pPr>
      <w:r>
        <w:separator/>
      </w:r>
    </w:p>
  </w:footnote>
  <w:footnote w:type="continuationSeparator" w:id="0">
    <w:p w14:paraId="178EA2E5" w14:textId="77777777" w:rsidR="00566C8A" w:rsidRDefault="00566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6FC4" w14:textId="77777777" w:rsidR="006F3D7C" w:rsidRDefault="00E2499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A33A03E" wp14:editId="7997192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608DA" w14:textId="77777777" w:rsidR="006F3D7C" w:rsidRDefault="00E24994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D3E4BEB" w14:textId="77777777" w:rsidR="006F3D7C" w:rsidRDefault="00E24994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29F33D1B" w14:textId="77777777" w:rsidR="006F3D7C" w:rsidRDefault="00E24994">
                          <w:pPr>
                            <w:pStyle w:val="Referentiegegevens"/>
                          </w:pPr>
                          <w:r>
                            <w:t>Ketensturing</w:t>
                          </w:r>
                        </w:p>
                        <w:p w14:paraId="737BFA44" w14:textId="77777777" w:rsidR="006F3D7C" w:rsidRDefault="006F3D7C">
                          <w:pPr>
                            <w:pStyle w:val="WitregelW2"/>
                          </w:pPr>
                        </w:p>
                        <w:p w14:paraId="763CEB26" w14:textId="77777777" w:rsidR="006F3D7C" w:rsidRDefault="00E2499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16191A" w14:textId="0C9C7174" w:rsidR="006F3D7C" w:rsidRDefault="00E24994">
                          <w:pPr>
                            <w:pStyle w:val="Referentiegegevens"/>
                          </w:pPr>
                          <w:sdt>
                            <w:sdtPr>
                              <w:id w:val="-1822879826"/>
                              <w:date w:fullDate="2025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1ABB">
                                <w:rPr>
                                  <w:lang w:val="nl"/>
                                </w:rPr>
                                <w:t>23 september 2025</w:t>
                              </w:r>
                            </w:sdtContent>
                          </w:sdt>
                        </w:p>
                        <w:p w14:paraId="5CCDBD81" w14:textId="77777777" w:rsidR="006F3D7C" w:rsidRDefault="006F3D7C">
                          <w:pPr>
                            <w:pStyle w:val="WitregelW1"/>
                          </w:pPr>
                        </w:p>
                        <w:p w14:paraId="5BEBED81" w14:textId="77777777" w:rsidR="006F3D7C" w:rsidRDefault="00E249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A5C99EA" w14:textId="77777777" w:rsidR="00AE1ABB" w:rsidRDefault="00AE1ABB" w:rsidP="00AE1ABB">
                          <w:pPr>
                            <w:pStyle w:val="Referentiegegevens"/>
                          </w:pPr>
                          <w:r w:rsidRPr="00AE1ABB">
                            <w:t>6755215</w:t>
                          </w:r>
                        </w:p>
                        <w:p w14:paraId="0503606F" w14:textId="22C7E9AF" w:rsidR="006F3D7C" w:rsidRDefault="006F3D7C" w:rsidP="00AE1AB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33A03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A7608DA" w14:textId="77777777" w:rsidR="006F3D7C" w:rsidRDefault="00E24994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D3E4BEB" w14:textId="77777777" w:rsidR="006F3D7C" w:rsidRDefault="00E24994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29F33D1B" w14:textId="77777777" w:rsidR="006F3D7C" w:rsidRDefault="00E24994">
                    <w:pPr>
                      <w:pStyle w:val="Referentiegegevens"/>
                    </w:pPr>
                    <w:r>
                      <w:t>Ketensturing</w:t>
                    </w:r>
                  </w:p>
                  <w:p w14:paraId="737BFA44" w14:textId="77777777" w:rsidR="006F3D7C" w:rsidRDefault="006F3D7C">
                    <w:pPr>
                      <w:pStyle w:val="WitregelW2"/>
                    </w:pPr>
                  </w:p>
                  <w:p w14:paraId="763CEB26" w14:textId="77777777" w:rsidR="006F3D7C" w:rsidRDefault="00E24994">
                    <w:pPr>
                      <w:pStyle w:val="Referentiegegevensbold"/>
                    </w:pPr>
                    <w:r>
                      <w:t>Datum</w:t>
                    </w:r>
                  </w:p>
                  <w:p w14:paraId="1A16191A" w14:textId="0C9C7174" w:rsidR="006F3D7C" w:rsidRDefault="00E24994">
                    <w:pPr>
                      <w:pStyle w:val="Referentiegegevens"/>
                    </w:pPr>
                    <w:sdt>
                      <w:sdtPr>
                        <w:id w:val="-1822879826"/>
                        <w:date w:fullDate="2025-09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E1ABB">
                          <w:rPr>
                            <w:lang w:val="nl"/>
                          </w:rPr>
                          <w:t>23 september 2025</w:t>
                        </w:r>
                      </w:sdtContent>
                    </w:sdt>
                  </w:p>
                  <w:p w14:paraId="5CCDBD81" w14:textId="77777777" w:rsidR="006F3D7C" w:rsidRDefault="006F3D7C">
                    <w:pPr>
                      <w:pStyle w:val="WitregelW1"/>
                    </w:pPr>
                  </w:p>
                  <w:p w14:paraId="5BEBED81" w14:textId="77777777" w:rsidR="006F3D7C" w:rsidRDefault="00E249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A5C99EA" w14:textId="77777777" w:rsidR="00AE1ABB" w:rsidRDefault="00AE1ABB" w:rsidP="00AE1ABB">
                    <w:pPr>
                      <w:pStyle w:val="Referentiegegevens"/>
                    </w:pPr>
                    <w:r w:rsidRPr="00AE1ABB">
                      <w:t>6755215</w:t>
                    </w:r>
                  </w:p>
                  <w:p w14:paraId="0503606F" w14:textId="22C7E9AF" w:rsidR="006F3D7C" w:rsidRDefault="006F3D7C" w:rsidP="00AE1AB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4ABE014" wp14:editId="40C0380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83D1F" w14:textId="77777777" w:rsidR="00285F4E" w:rsidRDefault="00285F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ABE01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B683D1F" w14:textId="77777777" w:rsidR="00285F4E" w:rsidRDefault="00285F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933544B" wp14:editId="313587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3C44A" w14:textId="068AC647" w:rsidR="006F3D7C" w:rsidRDefault="00E249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D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33544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5B3C44A" w14:textId="068AC647" w:rsidR="006F3D7C" w:rsidRDefault="00E249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D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6E4" w14:textId="77777777" w:rsidR="006F3D7C" w:rsidRDefault="00E2499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A00E49" wp14:editId="305103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DF511" w14:textId="77777777" w:rsidR="00AE1ABB" w:rsidRDefault="00E24994">
                          <w:r>
                            <w:t xml:space="preserve">Aan </w:t>
                          </w:r>
                          <w:r>
                            <w:t xml:space="preserve">de Voorzitter van de Tweede Kamer </w:t>
                          </w:r>
                        </w:p>
                        <w:p w14:paraId="2FF74C00" w14:textId="36347C36" w:rsidR="006F3D7C" w:rsidRDefault="00E24994">
                          <w:r>
                            <w:t>der Staten-Generaal</w:t>
                          </w:r>
                        </w:p>
                        <w:p w14:paraId="3D2B5B2A" w14:textId="77777777" w:rsidR="006F3D7C" w:rsidRDefault="00E24994">
                          <w:r>
                            <w:t xml:space="preserve">Postbus 20018 </w:t>
                          </w:r>
                        </w:p>
                        <w:p w14:paraId="435538D1" w14:textId="77777777" w:rsidR="006F3D7C" w:rsidRDefault="00E2499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A00E4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68DF511" w14:textId="77777777" w:rsidR="00AE1ABB" w:rsidRDefault="00E24994">
                    <w:r>
                      <w:t xml:space="preserve">Aan </w:t>
                    </w:r>
                    <w:r>
                      <w:t xml:space="preserve">de Voorzitter van de Tweede Kamer </w:t>
                    </w:r>
                  </w:p>
                  <w:p w14:paraId="2FF74C00" w14:textId="36347C36" w:rsidR="006F3D7C" w:rsidRDefault="00E24994">
                    <w:r>
                      <w:t>der Staten-Generaal</w:t>
                    </w:r>
                  </w:p>
                  <w:p w14:paraId="3D2B5B2A" w14:textId="77777777" w:rsidR="006F3D7C" w:rsidRDefault="00E24994">
                    <w:r>
                      <w:t xml:space="preserve">Postbus 20018 </w:t>
                    </w:r>
                  </w:p>
                  <w:p w14:paraId="435538D1" w14:textId="77777777" w:rsidR="006F3D7C" w:rsidRDefault="00E2499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02FE63" wp14:editId="20E5E99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F3D7C" w14:paraId="6A0EE6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2BF89E" w14:textId="77777777" w:rsidR="006F3D7C" w:rsidRDefault="00E249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ED84DD" w14:textId="39E95987" w:rsidR="006F3D7C" w:rsidRDefault="00E24994">
                                <w:sdt>
                                  <w:sdtPr>
                                    <w:id w:val="-1811774682"/>
                                    <w:date w:fullDate="2025-09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E1ABB">
                                      <w:rPr>
                                        <w:lang w:val="nl"/>
                                      </w:rPr>
                                      <w:t>23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F3D7C" w14:paraId="315CB89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A80341" w14:textId="77777777" w:rsidR="006F3D7C" w:rsidRDefault="00E2499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91B86B" w14:textId="02318B36" w:rsidR="006F3D7C" w:rsidRDefault="004E1B9D">
                                <w:r w:rsidRPr="00F54097">
                                  <w:t>Aanvullende maatregelen opvang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D232D69" w14:textId="77777777" w:rsidR="00285F4E" w:rsidRDefault="00285F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2FE6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F3D7C" w14:paraId="6A0EE6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2BF89E" w14:textId="77777777" w:rsidR="006F3D7C" w:rsidRDefault="00E2499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ED84DD" w14:textId="39E95987" w:rsidR="006F3D7C" w:rsidRDefault="00E24994">
                          <w:sdt>
                            <w:sdtPr>
                              <w:id w:val="-1811774682"/>
                              <w:date w:fullDate="2025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E1ABB">
                                <w:rPr>
                                  <w:lang w:val="nl"/>
                                </w:rPr>
                                <w:t>23 september 2025</w:t>
                              </w:r>
                            </w:sdtContent>
                          </w:sdt>
                        </w:p>
                      </w:tc>
                    </w:tr>
                    <w:tr w:rsidR="006F3D7C" w14:paraId="315CB89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A80341" w14:textId="77777777" w:rsidR="006F3D7C" w:rsidRDefault="00E2499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91B86B" w14:textId="02318B36" w:rsidR="006F3D7C" w:rsidRDefault="004E1B9D">
                          <w:r w:rsidRPr="00F54097">
                            <w:t>Aanvullende maatregelen opvang</w:t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14:paraId="4D232D69" w14:textId="77777777" w:rsidR="00285F4E" w:rsidRDefault="00285F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3F2697" wp14:editId="24B8357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44B7A" w14:textId="77777777" w:rsidR="006F3D7C" w:rsidRDefault="00E24994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445068F4" w14:textId="77777777" w:rsidR="006F3D7C" w:rsidRDefault="00E24994">
                          <w:pPr>
                            <w:pStyle w:val="Referentiegegevens"/>
                          </w:pPr>
                          <w:r>
                            <w:t>Directie Regie Migratieketen</w:t>
                          </w:r>
                        </w:p>
                        <w:p w14:paraId="5BD7261D" w14:textId="77777777" w:rsidR="006F3D7C" w:rsidRDefault="00E24994">
                          <w:pPr>
                            <w:pStyle w:val="Referentiegegevens"/>
                          </w:pPr>
                          <w:r>
                            <w:t>Ketensturing</w:t>
                          </w:r>
                        </w:p>
                        <w:p w14:paraId="67DE1FB1" w14:textId="77777777" w:rsidR="006F3D7C" w:rsidRDefault="006F3D7C">
                          <w:pPr>
                            <w:pStyle w:val="WitregelW1"/>
                          </w:pPr>
                        </w:p>
                        <w:p w14:paraId="4F72BE7D" w14:textId="77777777" w:rsidR="006F3D7C" w:rsidRDefault="00E2499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0029E8D" w14:textId="77777777" w:rsidR="006F3D7C" w:rsidRDefault="00E24994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F89323A" w14:textId="77777777" w:rsidR="006F3D7C" w:rsidRDefault="00E24994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4D58E550" w14:textId="77777777" w:rsidR="006F3D7C" w:rsidRDefault="00E24994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66621AA2" w14:textId="77777777" w:rsidR="006F3D7C" w:rsidRDefault="00E24994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5CA49A42" w14:textId="77777777" w:rsidR="006F3D7C" w:rsidRDefault="006F3D7C">
                          <w:pPr>
                            <w:pStyle w:val="WitregelW2"/>
                          </w:pPr>
                        </w:p>
                        <w:p w14:paraId="31BEB4E9" w14:textId="77777777" w:rsidR="006F3D7C" w:rsidRDefault="00E2499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2F2DCD" w14:textId="0CE701F4" w:rsidR="006F3D7C" w:rsidRDefault="00AE1ABB">
                          <w:pPr>
                            <w:pStyle w:val="Referentiegegevens"/>
                          </w:pPr>
                          <w:r w:rsidRPr="00AE1ABB">
                            <w:t>6755215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F269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E844B7A" w14:textId="77777777" w:rsidR="006F3D7C" w:rsidRDefault="00E24994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445068F4" w14:textId="77777777" w:rsidR="006F3D7C" w:rsidRDefault="00E24994">
                    <w:pPr>
                      <w:pStyle w:val="Referentiegegevens"/>
                    </w:pPr>
                    <w:r>
                      <w:t>Directie Regie Migratieketen</w:t>
                    </w:r>
                  </w:p>
                  <w:p w14:paraId="5BD7261D" w14:textId="77777777" w:rsidR="006F3D7C" w:rsidRDefault="00E24994">
                    <w:pPr>
                      <w:pStyle w:val="Referentiegegevens"/>
                    </w:pPr>
                    <w:r>
                      <w:t>Ketensturing</w:t>
                    </w:r>
                  </w:p>
                  <w:p w14:paraId="67DE1FB1" w14:textId="77777777" w:rsidR="006F3D7C" w:rsidRDefault="006F3D7C">
                    <w:pPr>
                      <w:pStyle w:val="WitregelW1"/>
                    </w:pPr>
                  </w:p>
                  <w:p w14:paraId="4F72BE7D" w14:textId="77777777" w:rsidR="006F3D7C" w:rsidRDefault="00E2499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0029E8D" w14:textId="77777777" w:rsidR="006F3D7C" w:rsidRDefault="00E24994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F89323A" w14:textId="77777777" w:rsidR="006F3D7C" w:rsidRDefault="00E24994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4D58E550" w14:textId="77777777" w:rsidR="006F3D7C" w:rsidRDefault="00E24994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66621AA2" w14:textId="77777777" w:rsidR="006F3D7C" w:rsidRDefault="00E24994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5CA49A42" w14:textId="77777777" w:rsidR="006F3D7C" w:rsidRDefault="006F3D7C">
                    <w:pPr>
                      <w:pStyle w:val="WitregelW2"/>
                    </w:pPr>
                  </w:p>
                  <w:p w14:paraId="31BEB4E9" w14:textId="77777777" w:rsidR="006F3D7C" w:rsidRDefault="00E2499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2F2DCD" w14:textId="0CE701F4" w:rsidR="006F3D7C" w:rsidRDefault="00AE1ABB">
                    <w:pPr>
                      <w:pStyle w:val="Referentiegegevens"/>
                    </w:pPr>
                    <w:r w:rsidRPr="00AE1ABB">
                      <w:t>6755215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E6E793" wp14:editId="3A4EBCB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A408B" w14:textId="77777777" w:rsidR="00285F4E" w:rsidRDefault="00285F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6E79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DCA408B" w14:textId="77777777" w:rsidR="00285F4E" w:rsidRDefault="00285F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AB32F6" wp14:editId="37CF103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06506" w14:textId="77777777" w:rsidR="006F3D7C" w:rsidRDefault="00E249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7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B32F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E806506" w14:textId="77777777" w:rsidR="006F3D7C" w:rsidRDefault="00E249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7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DACCEFE" wp14:editId="098D99A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0DEB1" w14:textId="77777777" w:rsidR="006F3D7C" w:rsidRDefault="00E249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F8CFC" wp14:editId="7890799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CCEF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F20DEB1" w14:textId="77777777" w:rsidR="006F3D7C" w:rsidRDefault="00E249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BF8CFC" wp14:editId="7890799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4D4C8E" wp14:editId="687E9AB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05636" w14:textId="77777777" w:rsidR="006F3D7C" w:rsidRDefault="00E2499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963C3F" wp14:editId="73923059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D4C8E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5D05636" w14:textId="77777777" w:rsidR="006F3D7C" w:rsidRDefault="00E2499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963C3F" wp14:editId="73923059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C02EC25" wp14:editId="772A3D1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A32EEE" w14:textId="77777777" w:rsidR="006F3D7C" w:rsidRDefault="00E24994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2EC2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4A32EEE" w14:textId="77777777" w:rsidR="006F3D7C" w:rsidRDefault="00E24994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8ED9A8"/>
    <w:multiLevelType w:val="multilevel"/>
    <w:tmpl w:val="DE34B81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C97215B"/>
    <w:multiLevelType w:val="multilevel"/>
    <w:tmpl w:val="5E56CF4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7D0082"/>
    <w:multiLevelType w:val="multilevel"/>
    <w:tmpl w:val="E9B2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Verdana" w:hAnsi="Verdana" w:hint="default"/>
        <w:sz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Verdana" w:hAnsi="Verdana"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Verdana" w:hAnsi="Verdana"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Verdana" w:hAnsi="Verdana"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Verdana" w:hAnsi="Verdana" w:hint="default"/>
        <w:sz w:val="18"/>
      </w:rPr>
    </w:lvl>
  </w:abstractNum>
  <w:abstractNum w:abstractNumId="3" w15:restartNumberingAfterBreak="0">
    <w:nsid w:val="480A91CC"/>
    <w:multiLevelType w:val="multilevel"/>
    <w:tmpl w:val="E2FC59E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5FE373F"/>
    <w:multiLevelType w:val="multilevel"/>
    <w:tmpl w:val="9C5E1D6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DC9AAB"/>
    <w:multiLevelType w:val="multilevel"/>
    <w:tmpl w:val="8053E2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5B44339"/>
    <w:multiLevelType w:val="multilevel"/>
    <w:tmpl w:val="AAF6740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72633751">
    <w:abstractNumId w:val="3"/>
  </w:num>
  <w:num w:numId="2" w16cid:durableId="478349640">
    <w:abstractNumId w:val="6"/>
  </w:num>
  <w:num w:numId="3" w16cid:durableId="1598126864">
    <w:abstractNumId w:val="4"/>
  </w:num>
  <w:num w:numId="4" w16cid:durableId="137380415">
    <w:abstractNumId w:val="5"/>
  </w:num>
  <w:num w:numId="5" w16cid:durableId="390271759">
    <w:abstractNumId w:val="0"/>
  </w:num>
  <w:num w:numId="6" w16cid:durableId="1349983187">
    <w:abstractNumId w:val="1"/>
  </w:num>
  <w:num w:numId="7" w16cid:durableId="15422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D5"/>
    <w:rsid w:val="00042CFD"/>
    <w:rsid w:val="00094F9B"/>
    <w:rsid w:val="000E6A6D"/>
    <w:rsid w:val="00133693"/>
    <w:rsid w:val="001525FA"/>
    <w:rsid w:val="001545E9"/>
    <w:rsid w:val="00163A9B"/>
    <w:rsid w:val="001E3051"/>
    <w:rsid w:val="00285F4E"/>
    <w:rsid w:val="002A007E"/>
    <w:rsid w:val="002A1E69"/>
    <w:rsid w:val="002C03CC"/>
    <w:rsid w:val="00343CE8"/>
    <w:rsid w:val="003701AC"/>
    <w:rsid w:val="0042260B"/>
    <w:rsid w:val="004B6D65"/>
    <w:rsid w:val="004E1B9D"/>
    <w:rsid w:val="00566C8A"/>
    <w:rsid w:val="00576072"/>
    <w:rsid w:val="006355B1"/>
    <w:rsid w:val="00671468"/>
    <w:rsid w:val="00696884"/>
    <w:rsid w:val="006F3D7C"/>
    <w:rsid w:val="00755562"/>
    <w:rsid w:val="007D165E"/>
    <w:rsid w:val="00834F25"/>
    <w:rsid w:val="00861B47"/>
    <w:rsid w:val="00877684"/>
    <w:rsid w:val="00924424"/>
    <w:rsid w:val="009369D0"/>
    <w:rsid w:val="00950190"/>
    <w:rsid w:val="00951132"/>
    <w:rsid w:val="00955AEC"/>
    <w:rsid w:val="009E5B18"/>
    <w:rsid w:val="00A20D96"/>
    <w:rsid w:val="00A736B1"/>
    <w:rsid w:val="00AB472A"/>
    <w:rsid w:val="00AE1ABB"/>
    <w:rsid w:val="00B1277B"/>
    <w:rsid w:val="00BA0901"/>
    <w:rsid w:val="00C347D5"/>
    <w:rsid w:val="00C84734"/>
    <w:rsid w:val="00CA03DB"/>
    <w:rsid w:val="00D33A32"/>
    <w:rsid w:val="00D478C6"/>
    <w:rsid w:val="00E24994"/>
    <w:rsid w:val="00EB4D09"/>
    <w:rsid w:val="00F54097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2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1E3051"/>
    <w:pPr>
      <w:ind w:left="720"/>
      <w:contextualSpacing/>
    </w:pPr>
  </w:style>
  <w:style w:type="paragraph" w:styleId="Revisie">
    <w:name w:val="Revision"/>
    <w:hidden/>
    <w:uiPriority w:val="99"/>
    <w:semiHidden/>
    <w:rsid w:val="00BA090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B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B9D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8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78C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78C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8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8C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470</ap:Words>
  <ap:Characters>2591</ap:Characters>
  <ap:DocSecurity>0</ap:DocSecurity>
  <ap:Lines>21</ap:Lines>
  <ap:Paragraphs>6</ap:Paragraphs>
  <ap:ScaleCrop>false</ap:ScaleCrop>
  <ap:LinksUpToDate>false</ap:LinksUpToDate>
  <ap:CharactersWithSpaces>3055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2025-09-23T10:51:00.0000000Z</dcterms:created>
  <dcterms:modified xsi:type="dcterms:W3CDTF">2025-09-23T10:51:00.0000000Z</dcterms:modified>
  <dc:description>------------------------</dc:description>
  <dc:subject/>
  <keywords/>
  <version/>
  <category/>
</coreProperties>
</file>