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33D" w:rsidP="00F8033D" w:rsidRDefault="00F8033D" w14:paraId="292FF3E2" w14:textId="128EA206">
      <w:pPr>
        <w:rPr>
          <w:b/>
          <w:bCs/>
        </w:rPr>
      </w:pPr>
      <w:r>
        <w:rPr>
          <w:b/>
          <w:bCs/>
        </w:rPr>
        <w:t>AH 98</w:t>
      </w:r>
    </w:p>
    <w:p w:rsidR="00F8033D" w:rsidP="00F8033D" w:rsidRDefault="00F8033D" w14:paraId="31808469" w14:textId="6B44EFF5">
      <w:pPr>
        <w:rPr>
          <w:b/>
          <w:bCs/>
        </w:rPr>
      </w:pPr>
      <w:r>
        <w:rPr>
          <w:b/>
          <w:bCs/>
        </w:rPr>
        <w:t>2025Z15572</w:t>
      </w:r>
    </w:p>
    <w:p w:rsidR="00F8033D" w:rsidP="00F8033D" w:rsidRDefault="00F8033D" w14:paraId="4920B026" w14:textId="5C9C60AF">
      <w:pPr>
        <w:rPr>
          <w:b/>
          <w:bCs/>
          <w:sz w:val="24"/>
          <w:szCs w:val="24"/>
        </w:rPr>
      </w:pPr>
      <w:r w:rsidRPr="00F8033D">
        <w:rPr>
          <w:b/>
          <w:bCs/>
          <w:sz w:val="24"/>
          <w:szCs w:val="24"/>
        </w:rPr>
        <w:t xml:space="preserve">Antwoord van staatssecretaris </w:t>
      </w:r>
      <w:r>
        <w:rPr>
          <w:b/>
          <w:bCs/>
          <w:sz w:val="24"/>
          <w:szCs w:val="24"/>
        </w:rPr>
        <w:t>Aartsen</w:t>
      </w:r>
      <w:r w:rsidRPr="00F8033D">
        <w:rPr>
          <w:b/>
          <w:bCs/>
          <w:sz w:val="24"/>
          <w:szCs w:val="24"/>
        </w:rPr>
        <w:t xml:space="preserve"> (Infrastructuur en Waterstaat)</w:t>
      </w:r>
      <w:r>
        <w:rPr>
          <w:b/>
          <w:bCs/>
          <w:sz w:val="24"/>
          <w:szCs w:val="24"/>
        </w:rPr>
        <w:t xml:space="preserve">, mede namens de </w:t>
      </w:r>
      <w:r w:rsidRPr="00F8033D">
        <w:rPr>
          <w:b/>
          <w:bCs/>
          <w:sz w:val="24"/>
          <w:szCs w:val="24"/>
        </w:rPr>
        <w:t>minister van Klimaat en Groene Groei</w:t>
      </w:r>
      <w:r>
        <w:rPr>
          <w:b/>
          <w:bCs/>
          <w:sz w:val="24"/>
          <w:szCs w:val="24"/>
        </w:rPr>
        <w:t xml:space="preserve"> en de </w:t>
      </w:r>
      <w:r w:rsidRPr="00F8033D">
        <w:rPr>
          <w:rFonts w:ascii="Times New Roman" w:hAnsi="Times New Roman"/>
          <w:b/>
          <w:bCs/>
          <w:sz w:val="24"/>
          <w:szCs w:val="24"/>
        </w:rPr>
        <w:t>minister van Volkshuisvesting en Ruimtelijke Ordening</w:t>
      </w:r>
      <w:r w:rsidRPr="00F8033D">
        <w:rPr>
          <w:b/>
          <w:bCs/>
          <w:sz w:val="24"/>
          <w:szCs w:val="24"/>
        </w:rPr>
        <w:t xml:space="preserve"> (ontvangen</w:t>
      </w:r>
      <w:r>
        <w:rPr>
          <w:b/>
          <w:bCs/>
          <w:sz w:val="24"/>
          <w:szCs w:val="24"/>
        </w:rPr>
        <w:t xml:space="preserve"> 23 september 2025)</w:t>
      </w:r>
    </w:p>
    <w:p w:rsidR="00F8033D" w:rsidP="00F8033D" w:rsidRDefault="00F8033D" w14:paraId="1200F611" w14:textId="77777777">
      <w:pPr>
        <w:rPr>
          <w:b/>
          <w:bCs/>
        </w:rPr>
      </w:pPr>
    </w:p>
    <w:p w:rsidR="00F8033D" w:rsidP="00F8033D" w:rsidRDefault="00F8033D" w14:paraId="2FABDCA0" w14:textId="77777777">
      <w:pPr>
        <w:numPr>
          <w:ilvl w:val="0"/>
          <w:numId w:val="1"/>
        </w:numPr>
        <w:autoSpaceDN w:val="0"/>
        <w:spacing w:after="0" w:line="240" w:lineRule="atLeast"/>
        <w:ind w:left="360"/>
        <w:textAlignment w:val="baseline"/>
      </w:pPr>
      <w:r w:rsidRPr="00301684">
        <w:rPr>
          <w:b/>
          <w:bCs/>
        </w:rPr>
        <w:t>Heeft u kennisgenomen van het rapport “</w:t>
      </w:r>
      <w:proofErr w:type="spellStart"/>
      <w:r w:rsidRPr="00301684">
        <w:rPr>
          <w:b/>
          <w:bCs/>
        </w:rPr>
        <w:t>Wijmond</w:t>
      </w:r>
      <w:proofErr w:type="spellEnd"/>
      <w:r w:rsidRPr="00301684">
        <w:rPr>
          <w:b/>
          <w:bCs/>
        </w:rPr>
        <w:t>. Een business case voor alternatieve invulling van het terrein van Tata Steel IJmuiden”?</w:t>
      </w:r>
      <w:r>
        <w:rPr>
          <w:rStyle w:val="Voetnootmarkering"/>
          <w:b/>
          <w:bCs/>
        </w:rPr>
        <w:footnoteReference w:id="1"/>
      </w:r>
      <w:r w:rsidRPr="00301684">
        <w:rPr>
          <w:b/>
          <w:bCs/>
        </w:rPr>
        <w:br/>
      </w:r>
      <w:r w:rsidRPr="00301684">
        <w:rPr>
          <w:b/>
          <w:bCs/>
        </w:rPr>
        <w:br/>
      </w:r>
      <w:r w:rsidRPr="003D2DDC">
        <w:t>Ja</w:t>
      </w:r>
      <w:r>
        <w:t>, de minister van Klimaat en Groene Groei (KGG) en ik hebben dit rapport voor de zomer ontvangen tijdens een gesprek met omwonenden</w:t>
      </w:r>
      <w:r w:rsidRPr="003D2DDC">
        <w:t>.</w:t>
      </w:r>
      <w:r>
        <w:t xml:space="preserve"> Ook ambtelijk is dit rapport bekend: de ministeries staan in nauw contact met alle betrokkenen, waaronder omwonenden- en milieuorganisaties.</w:t>
      </w:r>
    </w:p>
    <w:p w:rsidRPr="003D2DDC" w:rsidR="00F8033D" w:rsidP="00F8033D" w:rsidRDefault="00F8033D" w14:paraId="6F3BB074" w14:textId="77777777"/>
    <w:p w:rsidR="00F8033D" w:rsidP="00F8033D" w:rsidRDefault="00F8033D" w14:paraId="5FED332C" w14:textId="77777777">
      <w:pPr>
        <w:numPr>
          <w:ilvl w:val="0"/>
          <w:numId w:val="1"/>
        </w:numPr>
        <w:autoSpaceDN w:val="0"/>
        <w:spacing w:after="0" w:line="240" w:lineRule="atLeast"/>
        <w:ind w:left="360"/>
        <w:textAlignment w:val="baseline"/>
      </w:pPr>
      <w:r w:rsidRPr="00301684">
        <w:rPr>
          <w:b/>
          <w:bCs/>
        </w:rPr>
        <w:t>Weet u nog dat verschillende economen ervoor hebben gewaarschuwd dat belastinggeld geven aan het huidige “Groen Staal Plan” grote risico’s met zich meebrengt voor de belastingbetaler en verspilling van belastinggeld zou kunnen betekenen?</w:t>
      </w:r>
      <w:r>
        <w:rPr>
          <w:rStyle w:val="Voetnootmarkering"/>
          <w:b/>
          <w:bCs/>
        </w:rPr>
        <w:footnoteReference w:id="2"/>
      </w:r>
      <w:r w:rsidRPr="00301684">
        <w:rPr>
          <w:b/>
          <w:bCs/>
        </w:rPr>
        <w:t> Welke garanties kunt u bieden dat het plan haalbaar is?</w:t>
      </w:r>
      <w:r w:rsidRPr="00301684">
        <w:rPr>
          <w:b/>
          <w:bCs/>
        </w:rPr>
        <w:br/>
      </w:r>
      <w:r w:rsidRPr="00301684">
        <w:rPr>
          <w:b/>
          <w:bCs/>
        </w:rPr>
        <w:br/>
      </w:r>
      <w:r>
        <w:t>D</w:t>
      </w:r>
      <w:r w:rsidRPr="00022DC9">
        <w:t>it</w:t>
      </w:r>
      <w:r>
        <w:t xml:space="preserve"> signaal</w:t>
      </w:r>
      <w:r w:rsidRPr="00022DC9">
        <w:t xml:space="preserve"> </w:t>
      </w:r>
      <w:r>
        <w:t>is bekend</w:t>
      </w:r>
      <w:r w:rsidRPr="00022DC9">
        <w:t>.</w:t>
      </w:r>
      <w:r>
        <w:t xml:space="preserve"> </w:t>
      </w:r>
      <w:r w:rsidRPr="00022DC9">
        <w:t xml:space="preserve">Het doel van de maatwerkafspraak met Tata Steel is, naast de realisatie van schone en groene staalproductie in de IJmond, </w:t>
      </w:r>
      <w:r>
        <w:t xml:space="preserve">juist </w:t>
      </w:r>
      <w:r w:rsidRPr="00022DC9">
        <w:t>ook om een duurzaam verdienmodel te realiseren. </w:t>
      </w:r>
      <w:r>
        <w:t xml:space="preserve">Er moet zicht zijn op winstgevendheid van de onderneming, voordat een eventuele subsidie toegekend wordt. Het Groen Staal-plan betreft een zeer omvangrijke investering van Tata Steel Nederland (TSN) en het moederbedrijf Tata Steel Limited (TSL). Het bedrijf zal niet investeren zonder zicht op een </w:t>
      </w:r>
      <w:proofErr w:type="spellStart"/>
      <w:r>
        <w:t>langetermijnverdienmodel</w:t>
      </w:r>
      <w:proofErr w:type="spellEnd"/>
      <w:r>
        <w:t>. In dat licht wordt ook verwezen naar uitspraken</w:t>
      </w:r>
      <w:r w:rsidRPr="001F4DCA">
        <w:t xml:space="preserve"> van de bestuursvoorzitter van TSL.</w:t>
      </w:r>
      <w:r>
        <w:rPr>
          <w:rStyle w:val="Voetnootmarkering"/>
        </w:rPr>
        <w:footnoteReference w:id="3"/>
      </w:r>
      <w:r>
        <w:t xml:space="preserve"> </w:t>
      </w:r>
    </w:p>
    <w:p w:rsidR="00F8033D" w:rsidP="00F8033D" w:rsidRDefault="00F8033D" w14:paraId="29D10184" w14:textId="77777777">
      <w:pPr>
        <w:pStyle w:val="Lijstalinea"/>
      </w:pPr>
    </w:p>
    <w:p w:rsidR="00F8033D" w:rsidP="00F8033D" w:rsidRDefault="00F8033D" w14:paraId="5233F952" w14:textId="77777777">
      <w:pPr>
        <w:ind w:left="360"/>
      </w:pPr>
      <w:r>
        <w:t xml:space="preserve">Daarnaast zijn strenge voorwaarden verbonden aan een subsidie die verleend wordt door de overheid. Op basis van de Europese regels voor staatssteun voor verduurzaming geldt dat steun niet ingezet mag worden om een verlieslatend bedrijf overeind te houden. De Europese Commissie toetst hier streng op. Verder biedt de maatwerkafspraak ook de mogelijkheid voor de overheid om afspraken te maken over de beheersing van mogelijke risico’s.    </w:t>
      </w:r>
    </w:p>
    <w:p w:rsidRPr="00301684" w:rsidR="00F8033D" w:rsidP="00F8033D" w:rsidRDefault="00F8033D" w14:paraId="2EF0ACDC" w14:textId="77777777">
      <w:pPr>
        <w:ind w:left="360"/>
      </w:pPr>
    </w:p>
    <w:p w:rsidR="00F8033D" w:rsidP="00F8033D" w:rsidRDefault="00F8033D" w14:paraId="6224473E" w14:textId="77777777">
      <w:pPr>
        <w:numPr>
          <w:ilvl w:val="0"/>
          <w:numId w:val="1"/>
        </w:numPr>
        <w:autoSpaceDN w:val="0"/>
        <w:spacing w:after="0" w:line="240" w:lineRule="atLeast"/>
        <w:ind w:left="360"/>
        <w:textAlignment w:val="baseline"/>
      </w:pPr>
      <w:r w:rsidRPr="00301684">
        <w:rPr>
          <w:b/>
          <w:bCs/>
        </w:rPr>
        <w:lastRenderedPageBreak/>
        <w:t>Aangezien met het huidige plan van Tata Steel we nog decennia afhankelijk blijven van aardgas, vindt u dat de best optie om geld van burgers in te investeren?</w:t>
      </w:r>
      <w:r w:rsidRPr="00301684">
        <w:rPr>
          <w:b/>
          <w:bCs/>
        </w:rPr>
        <w:br/>
      </w:r>
    </w:p>
    <w:p w:rsidR="00F8033D" w:rsidP="00F8033D" w:rsidRDefault="00F8033D" w14:paraId="24CDEEC4" w14:textId="77777777">
      <w:pPr>
        <w:ind w:left="360"/>
      </w:pPr>
      <w:r>
        <w:t>Ja, het huidige plan is nog steeds de betere optie van de onderzochte scenario’s uit het rapport van Wijers en Blom</w:t>
      </w:r>
      <w:r>
        <w:rPr>
          <w:rStyle w:val="Voetnootmarkering"/>
        </w:rPr>
        <w:footnoteReference w:id="4"/>
      </w:r>
      <w:r>
        <w:t xml:space="preserve">. Zoals aangegeven in het antwoord op vraag 2 beoogt het kabinet schone en groene staalproductie die financieel levensvatbaar is. Het kabinet stuurt aan op een goede afweging hierin. De inzet van aardgas is een tussenfase in de transitie naar groen staal. In deze tussenperiode wordt gewerkt aan de beschikbaarheid van voldoende betaalbare, beschikbare en betrouwbare groene, hernieuwbare energie. Door deze noodzakelijke tussenstap neemt de kans toe dat de omvangrijke transitie doorgemaakt zal worden. Het uitsluiten van het gebruik van aardgas zou ertoe kunnen leiden dat de verduurzaming en dus ook de gezondheidswinst voor omwonenden pas veel later of niet wordt gerealiseerd. </w:t>
      </w:r>
    </w:p>
    <w:p w:rsidR="00F8033D" w:rsidP="00F8033D" w:rsidRDefault="00F8033D" w14:paraId="0B4D957F" w14:textId="77777777"/>
    <w:p w:rsidRPr="00301684" w:rsidR="00F8033D" w:rsidP="00F8033D" w:rsidRDefault="00F8033D" w14:paraId="3A6CD6C5" w14:textId="77777777">
      <w:pPr>
        <w:numPr>
          <w:ilvl w:val="0"/>
          <w:numId w:val="1"/>
        </w:numPr>
        <w:autoSpaceDN w:val="0"/>
        <w:spacing w:after="0" w:line="240" w:lineRule="atLeast"/>
        <w:ind w:left="360"/>
        <w:textAlignment w:val="baseline"/>
      </w:pPr>
      <w:r w:rsidRPr="00301684">
        <w:rPr>
          <w:b/>
          <w:bCs/>
        </w:rPr>
        <w:t>Ziet u ook in dat Nederland met het huidige plan van Tata sowieso afhankelijk blijft van verre (niet-Europese) landen voor schadelijk aardgas en ijzererts?</w:t>
      </w:r>
      <w:r w:rsidRPr="00301684">
        <w:rPr>
          <w:b/>
          <w:bCs/>
        </w:rPr>
        <w:br/>
      </w:r>
      <w:r w:rsidRPr="00301684">
        <w:rPr>
          <w:b/>
          <w:bCs/>
        </w:rPr>
        <w:br/>
      </w:r>
      <w:r w:rsidRPr="00FB6F42">
        <w:t xml:space="preserve">TSN importeert op dit moment aardgas en ijzererts vanuit </w:t>
      </w:r>
      <w:r>
        <w:t xml:space="preserve">zowel </w:t>
      </w:r>
      <w:r w:rsidRPr="00FB6F42">
        <w:t xml:space="preserve">Europese </w:t>
      </w:r>
      <w:r>
        <w:t>als</w:t>
      </w:r>
      <w:r w:rsidRPr="00FB6F42">
        <w:t xml:space="preserve"> niet-Europese landen. Het is </w:t>
      </w:r>
      <w:r>
        <w:t xml:space="preserve">ook in de transitie </w:t>
      </w:r>
      <w:r w:rsidRPr="00FB6F42">
        <w:t>een economische</w:t>
      </w:r>
      <w:r>
        <w:t xml:space="preserve"> en strategische</w:t>
      </w:r>
      <w:r w:rsidRPr="00FB6F42">
        <w:t xml:space="preserve"> afweging van het bedrijf zelf om </w:t>
      </w:r>
      <w:r>
        <w:t xml:space="preserve">al dan niet de benodigde ijzererts en </w:t>
      </w:r>
      <w:r w:rsidRPr="00FB6F42">
        <w:t xml:space="preserve">aardgas te importeren </w:t>
      </w:r>
      <w:r>
        <w:t>ten behoeve van</w:t>
      </w:r>
      <w:r w:rsidRPr="00FB6F42">
        <w:t xml:space="preserve"> de staalproductie</w:t>
      </w:r>
      <w:r>
        <w:t>, en zo ja, waarvandaan het bedrijf dat doet.</w:t>
      </w:r>
      <w:r w:rsidRPr="00A52908">
        <w:rPr>
          <w:highlight w:val="yellow"/>
        </w:rPr>
        <w:br/>
      </w:r>
    </w:p>
    <w:p w:rsidRPr="00301684" w:rsidR="00F8033D" w:rsidP="00F8033D" w:rsidRDefault="00F8033D" w14:paraId="7C780ECB" w14:textId="77777777">
      <w:pPr>
        <w:numPr>
          <w:ilvl w:val="0"/>
          <w:numId w:val="1"/>
        </w:numPr>
        <w:autoSpaceDN w:val="0"/>
        <w:spacing w:after="0" w:line="240" w:lineRule="atLeast"/>
        <w:ind w:left="357" w:hanging="357"/>
        <w:textAlignment w:val="baseline"/>
      </w:pPr>
      <w:r w:rsidRPr="00397CC1">
        <w:rPr>
          <w:b/>
          <w:bCs/>
        </w:rPr>
        <w:t xml:space="preserve">Heeft u kennis genomen van het advies van de onafhankelijke Expertgroep Gezondheid IJmond dat voor het goed borgen van gezondheid van omwonenden in de maatwerkafspraken er een garantie moet komen voor een reductie van 90% voor </w:t>
      </w:r>
      <w:proofErr w:type="spellStart"/>
      <w:r w:rsidRPr="00397CC1">
        <w:rPr>
          <w:b/>
          <w:bCs/>
        </w:rPr>
        <w:t>PAK’s</w:t>
      </w:r>
      <w:proofErr w:type="spellEnd"/>
      <w:r w:rsidRPr="00397CC1">
        <w:rPr>
          <w:b/>
          <w:bCs/>
        </w:rPr>
        <w:t>, benzeen en een selectie aan metalen? Klopt het dat dat met het huidige plan waarover het kabinet onderhandelt niet gerealiseerd en gegarandeerd wordt, ondanks oproepen van de Kamer om dat wel te regelen?</w:t>
      </w:r>
      <w:r w:rsidRPr="00397CC1">
        <w:rPr>
          <w:b/>
          <w:bCs/>
        </w:rPr>
        <w:br/>
      </w:r>
      <w:r w:rsidRPr="00397CC1">
        <w:rPr>
          <w:b/>
          <w:bCs/>
        </w:rPr>
        <w:br/>
      </w:r>
      <w:r>
        <w:t>Zoals eerder aan uw Kamer gemeld</w:t>
      </w:r>
      <w:r>
        <w:rPr>
          <w:rStyle w:val="Voetnootmarkering"/>
        </w:rPr>
        <w:footnoteReference w:id="5"/>
      </w:r>
      <w:r>
        <w:t xml:space="preserve"> zal n</w:t>
      </w:r>
      <w:r w:rsidRPr="00397CC1">
        <w:t>aar verwachting sprake zijn van een forse reductie</w:t>
      </w:r>
      <w:r>
        <w:t xml:space="preserve"> van </w:t>
      </w:r>
      <w:proofErr w:type="spellStart"/>
      <w:r>
        <w:t>PAK’s</w:t>
      </w:r>
      <w:proofErr w:type="spellEnd"/>
      <w:r>
        <w:t xml:space="preserve"> en benzeen</w:t>
      </w:r>
      <w:r w:rsidRPr="00397CC1">
        <w:t>, maar waarschijnlijk niet 90%. Er zou dan dus nog een restopgave overblijven.</w:t>
      </w:r>
      <w:r>
        <w:t xml:space="preserve"> Die zou deels worden gerealiseerd na 2030 als gevolg van de verdere verduurzaming van het bedrijf (na het vervangen van de resterende hoogoven en </w:t>
      </w:r>
      <w:proofErr w:type="spellStart"/>
      <w:r>
        <w:t>kooksgasfabriek</w:t>
      </w:r>
      <w:proofErr w:type="spellEnd"/>
      <w:r>
        <w:t>). Het kabinet kan in het openbaar geen verdere mededelingen doen over wat onderdeel is van de onderhandelingen over maatwerkafspraken.</w:t>
      </w:r>
      <w:r>
        <w:br/>
      </w:r>
    </w:p>
    <w:p w:rsidRPr="00615D26" w:rsidR="00F8033D" w:rsidP="00F8033D" w:rsidRDefault="00F8033D" w14:paraId="24DC69AC" w14:textId="77777777">
      <w:pPr>
        <w:numPr>
          <w:ilvl w:val="0"/>
          <w:numId w:val="1"/>
        </w:numPr>
        <w:autoSpaceDN w:val="0"/>
        <w:spacing w:after="0" w:line="240" w:lineRule="atLeast"/>
        <w:ind w:left="360"/>
        <w:textAlignment w:val="baseline"/>
        <w:rPr>
          <w:b/>
          <w:bCs/>
        </w:rPr>
      </w:pPr>
      <w:r w:rsidRPr="00301684">
        <w:rPr>
          <w:b/>
          <w:bCs/>
        </w:rPr>
        <w:t>Wat is uw reactie op het rapport “</w:t>
      </w:r>
      <w:proofErr w:type="spellStart"/>
      <w:r w:rsidRPr="00301684">
        <w:rPr>
          <w:b/>
          <w:bCs/>
        </w:rPr>
        <w:t>Wijmond</w:t>
      </w:r>
      <w:proofErr w:type="spellEnd"/>
      <w:r w:rsidRPr="00301684">
        <w:rPr>
          <w:b/>
          <w:bCs/>
        </w:rPr>
        <w:t xml:space="preserve">. Een business case voor alternatieve invulling van het terrein van Tata Steel IJmuiden”?  Wat vindt u </w:t>
      </w:r>
      <w:r w:rsidRPr="00301684">
        <w:rPr>
          <w:b/>
          <w:bCs/>
        </w:rPr>
        <w:lastRenderedPageBreak/>
        <w:t>van de verschillende bouwstenen in het rapport?</w:t>
      </w:r>
      <w:r w:rsidRPr="00301684">
        <w:rPr>
          <w:b/>
          <w:bCs/>
        </w:rPr>
        <w:br/>
      </w:r>
      <w:r w:rsidRPr="00301684">
        <w:rPr>
          <w:b/>
          <w:bCs/>
        </w:rPr>
        <w:br/>
      </w:r>
      <w:r>
        <w:t xml:space="preserve">Het kabinet heeft met belangstelling kennisgenomen van het rapport. De bouwstenen zijn interessante denkrichtingen die veelal bijdragen aan de maatschappelijke uitdagingen waar het kabinet aan werkt: voldoende betaalbare woningen, ruimte voor Defensie, de energietransitie en natuurherstel. Tegelijkertijd neemt het rapport als vertrekpunt dat TSN op korte termijn zal krimpen of sluiten, terwijl het bedrijf juist inzet op het Groen Staal-plan. Die inzet, met versnelde reductie van de overlast voor omwonenden en de leefomgeving, is ook de inzet van het kabinet voor de onderhandelingen over maatwerkafspraken. </w:t>
      </w:r>
    </w:p>
    <w:p w:rsidR="00F8033D" w:rsidP="00F8033D" w:rsidRDefault="00F8033D" w14:paraId="36CEC2ED" w14:textId="77777777">
      <w:pPr>
        <w:ind w:left="360"/>
        <w:rPr>
          <w:b/>
          <w:bCs/>
        </w:rPr>
      </w:pPr>
    </w:p>
    <w:p w:rsidRPr="00301684" w:rsidR="00F8033D" w:rsidP="00F8033D" w:rsidRDefault="00F8033D" w14:paraId="3518D6F7" w14:textId="77777777">
      <w:pPr>
        <w:ind w:left="360"/>
        <w:rPr>
          <w:b/>
          <w:bCs/>
        </w:rPr>
      </w:pPr>
      <w:r w:rsidRPr="001F4DCA">
        <w:t xml:space="preserve">Overigens </w:t>
      </w:r>
      <w:r>
        <w:t>wil ik nog meegeven</w:t>
      </w:r>
      <w:r w:rsidRPr="001F4DCA">
        <w:t xml:space="preserve"> dat Tata Steel zelf eigenaar is van het terrein. Ook als er geen maatwerkafspraak komt</w:t>
      </w:r>
      <w:r>
        <w:t>,</w:t>
      </w:r>
      <w:r w:rsidRPr="001F4DCA">
        <w:t xml:space="preserve"> is het </w:t>
      </w:r>
      <w:r>
        <w:t xml:space="preserve">primair </w:t>
      </w:r>
      <w:r w:rsidRPr="001F4DCA">
        <w:t xml:space="preserve">aan het bedrijf zelf om </w:t>
      </w:r>
      <w:r>
        <w:t xml:space="preserve">mogelijke </w:t>
      </w:r>
      <w:r w:rsidRPr="001F4DCA">
        <w:t xml:space="preserve">alternatieve invulling </w:t>
      </w:r>
      <w:r>
        <w:t>v</w:t>
      </w:r>
      <w:r w:rsidRPr="001F4DCA">
        <w:t xml:space="preserve">an het terrein te </w:t>
      </w:r>
      <w:r>
        <w:t>wegen</w:t>
      </w:r>
      <w:r w:rsidRPr="001F4DCA">
        <w:t>.</w:t>
      </w:r>
      <w:r>
        <w:br/>
      </w:r>
    </w:p>
    <w:p w:rsidRPr="00301684" w:rsidR="00F8033D" w:rsidP="00F8033D" w:rsidRDefault="00F8033D" w14:paraId="14FB858B" w14:textId="77777777">
      <w:pPr>
        <w:numPr>
          <w:ilvl w:val="0"/>
          <w:numId w:val="1"/>
        </w:numPr>
        <w:autoSpaceDN w:val="0"/>
        <w:spacing w:after="0" w:line="240" w:lineRule="atLeast"/>
        <w:ind w:left="360"/>
        <w:textAlignment w:val="baseline"/>
      </w:pPr>
      <w:r w:rsidRPr="00301684">
        <w:rPr>
          <w:b/>
          <w:bCs/>
        </w:rPr>
        <w:t>Kunt u per scenario grondig onderbouwd toelichten welke potentie u daarin ziet?</w:t>
      </w:r>
      <w:r w:rsidRPr="00301684">
        <w:rPr>
          <w:b/>
          <w:bCs/>
        </w:rPr>
        <w:br/>
      </w:r>
      <w:r w:rsidRPr="00301684">
        <w:rPr>
          <w:b/>
          <w:bCs/>
        </w:rPr>
        <w:br/>
      </w:r>
      <w:r>
        <w:t>In een eerder stadium zijn diverse scenario’s door Wijers en Blom onderzocht en door het kabinet gewogen</w:t>
      </w:r>
      <w:r>
        <w:rPr>
          <w:rStyle w:val="Voetnootmarkering"/>
        </w:rPr>
        <w:footnoteReference w:id="6"/>
      </w:r>
      <w:r>
        <w:t>. De uitkomst van die weging is dat het kabinet inzet op maatwerkafspraken die de verduurzaming van TSN mogelijk helpen maken, met versnelde reductie van de overlast voor omwonenden en de leefomgeving. Daarom is het niet opportuun om nu nieuw onderzoek te doen naar de potentie van deze alternatieve denkrichtingen.</w:t>
      </w:r>
      <w:r>
        <w:br/>
      </w:r>
      <w:r>
        <w:br/>
        <w:t xml:space="preserve">In het rapport komen veel aspecten aan de orde, maar nader onderzoek zou nodig zijn om te kunnen spreken van echte </w:t>
      </w:r>
      <w:r>
        <w:rPr>
          <w:i/>
          <w:iCs/>
        </w:rPr>
        <w:t>business cases</w:t>
      </w:r>
      <w:r>
        <w:t xml:space="preserve"> of een volwaardige maatschappelijke kosten-batenanalyse. De scenario’s zijn interessant maar rusten ook op een aantal cruciale aannames, zoals over de bereidheid van TSN om op korte termijn te krimpen of te sluiten, en over mogelijke kosten van bodemsanering (zie ook het antwoord op vraag 10). Deze aannames zijn voor rekening van de auteur van het rapport.</w:t>
      </w:r>
      <w:r>
        <w:br/>
      </w:r>
    </w:p>
    <w:p w:rsidRPr="00301684" w:rsidR="00F8033D" w:rsidP="00F8033D" w:rsidRDefault="00F8033D" w14:paraId="103EE7BC" w14:textId="77777777">
      <w:pPr>
        <w:numPr>
          <w:ilvl w:val="0"/>
          <w:numId w:val="1"/>
        </w:numPr>
        <w:autoSpaceDN w:val="0"/>
        <w:spacing w:after="0" w:line="240" w:lineRule="atLeast"/>
        <w:ind w:left="360"/>
        <w:textAlignment w:val="baseline"/>
      </w:pPr>
      <w:r w:rsidRPr="00301684">
        <w:rPr>
          <w:b/>
          <w:bCs/>
        </w:rPr>
        <w:t>In hoeverre neemt u de bevindingen uit dit rapport mee in de lopende onderhandelingen met Tata Steel over de maatwerkafspraken?</w:t>
      </w:r>
      <w:r w:rsidRPr="00301684">
        <w:rPr>
          <w:b/>
          <w:bCs/>
        </w:rPr>
        <w:br/>
      </w:r>
      <w:r w:rsidRPr="00301684">
        <w:rPr>
          <w:b/>
          <w:bCs/>
        </w:rPr>
        <w:br/>
      </w:r>
      <w:r>
        <w:t>Zoals vermeld in het antwoord op vraag 6 bevat het rapport ideeën voor een hypothetisch scenario waarin TSN op korte termijn zou krimpen of sluiten. Dat is echter niet de inzet van de onderhandelingen over maatwerkafspraken.</w:t>
      </w:r>
      <w:r>
        <w:br/>
      </w:r>
    </w:p>
    <w:p w:rsidR="00F8033D" w:rsidP="00F8033D" w:rsidRDefault="00F8033D" w14:paraId="584CE0A7" w14:textId="77777777">
      <w:pPr>
        <w:numPr>
          <w:ilvl w:val="0"/>
          <w:numId w:val="1"/>
        </w:numPr>
        <w:autoSpaceDN w:val="0"/>
        <w:spacing w:after="0" w:line="240" w:lineRule="atLeast"/>
        <w:ind w:left="360"/>
        <w:textAlignment w:val="baseline"/>
      </w:pPr>
      <w:r w:rsidRPr="796C5150">
        <w:rPr>
          <w:b/>
          <w:bCs/>
        </w:rPr>
        <w:t xml:space="preserve">Heeft u kennis van genomen dat het </w:t>
      </w:r>
      <w:proofErr w:type="spellStart"/>
      <w:r w:rsidRPr="796C5150">
        <w:rPr>
          <w:b/>
          <w:bCs/>
        </w:rPr>
        <w:t>Wijmond</w:t>
      </w:r>
      <w:proofErr w:type="spellEnd"/>
      <w:r w:rsidRPr="796C5150">
        <w:rPr>
          <w:b/>
          <w:bCs/>
        </w:rPr>
        <w:t xml:space="preserve">-rapport de financiële situatie van Tata Steel, de juridische procedures en de marktvooruitzichten als factoren benoemt die een onsuccesvolle transitie en mogelijke sluiting van de </w:t>
      </w:r>
      <w:r w:rsidRPr="796C5150">
        <w:rPr>
          <w:b/>
          <w:bCs/>
        </w:rPr>
        <w:lastRenderedPageBreak/>
        <w:t>fabriek tot gevolg kunnen hebben? Deelt u deze conclusie en zijn er, naast het Groen Staalplan, ook alternatieve plannen voorbereid voor het geval Tata Steel de deuren sluit?</w:t>
      </w:r>
      <w:r>
        <w:br/>
      </w:r>
      <w:r>
        <w:br/>
        <w:t xml:space="preserve">Ja, de analyse over deze punten in het </w:t>
      </w:r>
      <w:proofErr w:type="spellStart"/>
      <w:r>
        <w:t>Wijmond</w:t>
      </w:r>
      <w:proofErr w:type="spellEnd"/>
      <w:r>
        <w:t>-rapport is bekend. Zoals ook aangegeven in de beantwoording van vraag 2 hebben het kabinet en het bedrijf zelf als doel om de transitie naar schone en groene staalproductie in de IJmond te realiseren. Ik deel in zoverre de conclusie dat deze transitie essentieel is voor het toekomstperspectief van het bedrijf in Nederland. De overheid en het bedrijf zijn juist om die reden intensief in gesprek om deze transitie daadwerkelijk mogelijk te maken. Het rapport van Wijers en Blom gaat ook in op alternatieve plannen voor het Groen Staal-plan. De sluitingsroute werd als ongunstig beoordeeld, met zeer hoge financiële en uitvoeringsrisico’s. Het kabinet kiest, mede gelet op de economische en strategische waarde, voor behoud van staalproductie in de IJmond. Om die reden wordt de sluitingsroute niet verder uitgewerkt.</w:t>
      </w:r>
    </w:p>
    <w:p w:rsidRPr="00301684" w:rsidR="00F8033D" w:rsidP="00F8033D" w:rsidRDefault="00F8033D" w14:paraId="185339D7" w14:textId="77777777"/>
    <w:p w:rsidRPr="00301684" w:rsidR="00F8033D" w:rsidP="00F8033D" w:rsidRDefault="00F8033D" w14:paraId="4BDEB868" w14:textId="77777777">
      <w:pPr>
        <w:numPr>
          <w:ilvl w:val="0"/>
          <w:numId w:val="1"/>
        </w:numPr>
        <w:autoSpaceDN w:val="0"/>
        <w:spacing w:after="0" w:line="240" w:lineRule="atLeast"/>
        <w:ind w:left="360"/>
        <w:textAlignment w:val="baseline"/>
      </w:pPr>
      <w:r w:rsidRPr="00301684">
        <w:rPr>
          <w:b/>
          <w:bCs/>
        </w:rPr>
        <w:t>Heeft u er ke</w:t>
      </w:r>
      <w:r>
        <w:rPr>
          <w:b/>
          <w:bCs/>
        </w:rPr>
        <w:t>n</w:t>
      </w:r>
      <w:r w:rsidRPr="00301684">
        <w:rPr>
          <w:b/>
          <w:bCs/>
        </w:rPr>
        <w:t>nis van genomen dat volgens de studie de kosten voor de sloop en sanering van het terrein naar schatting 2 tot 4 miljard euro bedragen, wat aanzienlijk lager is dan de 12 miljard euro die eerder in de media is genoemd?  Erkent u deze inschatting?</w:t>
      </w:r>
      <w:r w:rsidRPr="00301684">
        <w:rPr>
          <w:b/>
          <w:bCs/>
        </w:rPr>
        <w:br/>
      </w:r>
      <w:r w:rsidRPr="00301684">
        <w:rPr>
          <w:b/>
          <w:bCs/>
        </w:rPr>
        <w:br/>
      </w:r>
      <w:r>
        <w:t>Het rapport noemt een bandbreedte van 1,7 miljard tot 7,3 miljard euro; daarbinnen schat de auteur dat de kosten 2 tot 4 miljard zouden bedragen (p. 81). Uit het rapport blijkt niet duidelijk hoe deze berekening en inschatting tot stand zijn gekomen. De berekening en inschatting zijn voor rekening van de auteur van het rapport.</w:t>
      </w:r>
      <w:r>
        <w:br/>
      </w:r>
    </w:p>
    <w:p w:rsidRPr="00301684" w:rsidR="00F8033D" w:rsidP="00F8033D" w:rsidRDefault="00F8033D" w14:paraId="3A555CAD" w14:textId="77777777">
      <w:pPr>
        <w:numPr>
          <w:ilvl w:val="0"/>
          <w:numId w:val="1"/>
        </w:numPr>
        <w:autoSpaceDN w:val="0"/>
        <w:spacing w:after="0" w:line="240" w:lineRule="atLeast"/>
        <w:ind w:left="360"/>
        <w:textAlignment w:val="baseline"/>
      </w:pPr>
      <w:r w:rsidRPr="00301684">
        <w:rPr>
          <w:b/>
          <w:bCs/>
        </w:rPr>
        <w:t>Kent u de motie van de leden Kosti</w:t>
      </w:r>
      <w:r w:rsidRPr="00C35E81">
        <w:rPr>
          <w:b/>
          <w:bCs/>
        </w:rPr>
        <w:t>ć</w:t>
      </w:r>
      <w:r w:rsidRPr="00301684">
        <w:rPr>
          <w:b/>
          <w:bCs/>
        </w:rPr>
        <w:t xml:space="preserve"> en Soepboer, waarbij het kabinet de opdracht kreeg om sterker te borgen dat vervuilers zelf de kosten van de schade die ze met vervuiling veroorzaken gaan betalen, en niet de belastingbetaler?</w:t>
      </w:r>
      <w:r>
        <w:rPr>
          <w:rStyle w:val="Voetnootmarkering"/>
          <w:b/>
          <w:bCs/>
        </w:rPr>
        <w:footnoteReference w:id="7"/>
      </w:r>
      <w:r w:rsidRPr="00301684">
        <w:rPr>
          <w:b/>
          <w:bCs/>
        </w:rPr>
        <w:br/>
      </w:r>
      <w:r w:rsidRPr="00301684">
        <w:rPr>
          <w:b/>
          <w:bCs/>
        </w:rPr>
        <w:br/>
      </w:r>
      <w:r>
        <w:t>Ja. Zoals eerder in reactie op de motie aangegeven</w:t>
      </w:r>
      <w:r>
        <w:rPr>
          <w:rStyle w:val="Voetnootmarkering"/>
        </w:rPr>
        <w:footnoteReference w:id="8"/>
      </w:r>
      <w:r>
        <w:t xml:space="preserve"> </w:t>
      </w:r>
      <w:r w:rsidRPr="00023891">
        <w:t>is het principe “de vervuiler betaalt” voldoende geborgd in de regelgeving.</w:t>
      </w:r>
      <w:r>
        <w:br/>
      </w:r>
    </w:p>
    <w:p w:rsidRPr="00417AD2" w:rsidR="00F8033D" w:rsidP="00F8033D" w:rsidRDefault="00F8033D" w14:paraId="77D12C17" w14:textId="77777777">
      <w:pPr>
        <w:numPr>
          <w:ilvl w:val="0"/>
          <w:numId w:val="1"/>
        </w:numPr>
        <w:autoSpaceDN w:val="0"/>
        <w:spacing w:after="0" w:line="240" w:lineRule="atLeast"/>
        <w:ind w:left="360"/>
        <w:textAlignment w:val="baseline"/>
      </w:pPr>
      <w:r w:rsidRPr="00301684">
        <w:rPr>
          <w:b/>
          <w:bCs/>
        </w:rPr>
        <w:t>Erkent u dat Tata Steel aansprakelijk is voor de bodemvervuiling op het terrein en dus zelf moet betalen voor de bodemsanering? Op welke manier gaat u ervoor zorgen dat Tata Steel gaat betalen voor de enorme vervuiling die ze hebben veroorzaakt, in plaats van de gewone burger?</w:t>
      </w:r>
      <w:r w:rsidRPr="00301684">
        <w:rPr>
          <w:b/>
          <w:bCs/>
        </w:rPr>
        <w:br/>
      </w:r>
      <w:r w:rsidRPr="00301684">
        <w:rPr>
          <w:b/>
          <w:bCs/>
        </w:rPr>
        <w:br/>
      </w:r>
      <w:r>
        <w:t xml:space="preserve">Het klopt dat ieder bedrijf aansprakelijk is voor de bodemvervuiling die het veroorzaakt. In de eerdere brief over de bodemvervuiling op het TSN-terrein wordt uitgebreid ingegaan op het verschil tussen historische vervuiling en </w:t>
      </w:r>
      <w:r>
        <w:lastRenderedPageBreak/>
        <w:t>vervuiling door TSN</w:t>
      </w:r>
      <w:r>
        <w:rPr>
          <w:rStyle w:val="Voetnootmarkering"/>
        </w:rPr>
        <w:footnoteReference w:id="9"/>
      </w:r>
      <w:r>
        <w:t xml:space="preserve">. Het </w:t>
      </w:r>
      <w:r w:rsidRPr="00E90176">
        <w:t xml:space="preserve">kabinet </w:t>
      </w:r>
      <w:r>
        <w:t xml:space="preserve">zet in </w:t>
      </w:r>
      <w:r w:rsidRPr="00E90176">
        <w:t xml:space="preserve">op maatwerkafspraken die </w:t>
      </w:r>
      <w:r>
        <w:t>de verduurzaming</w:t>
      </w:r>
      <w:r w:rsidRPr="00E90176">
        <w:t xml:space="preserve"> </w:t>
      </w:r>
      <w:r>
        <w:t xml:space="preserve">en het schoner maken </w:t>
      </w:r>
      <w:r w:rsidRPr="00E90176">
        <w:t xml:space="preserve">van </w:t>
      </w:r>
      <w:r>
        <w:t xml:space="preserve">de staalproductie van </w:t>
      </w:r>
      <w:r w:rsidRPr="00E90176">
        <w:t>TSN mogelijk helpen maken</w:t>
      </w:r>
      <w:r>
        <w:t>, met versnelde reductie van de overlast voor omwonenden en de leefomgeving</w:t>
      </w:r>
      <w:r w:rsidRPr="00E90176">
        <w:t>.</w:t>
      </w:r>
      <w:r>
        <w:t xml:space="preserve"> Toekomstige bedrijfsactiviteiten zullen moeten voldoen aan de relevante wet- en regelgeving, zoals vergund door het bevoegd gezag. Dat geldt ook voor eventuele eisen aan de bodemkwaliteit op </w:t>
      </w:r>
      <w:r w:rsidRPr="00417AD2">
        <w:t>het terrein.</w:t>
      </w:r>
      <w:r w:rsidRPr="00417AD2">
        <w:br/>
      </w:r>
    </w:p>
    <w:p w:rsidRPr="00417AD2" w:rsidR="00F8033D" w:rsidP="00F8033D" w:rsidRDefault="00F8033D" w14:paraId="2E9566FE" w14:textId="77777777">
      <w:pPr>
        <w:numPr>
          <w:ilvl w:val="0"/>
          <w:numId w:val="1"/>
        </w:numPr>
        <w:autoSpaceDN w:val="0"/>
        <w:spacing w:after="0" w:line="240" w:lineRule="atLeast"/>
        <w:ind w:left="360"/>
        <w:textAlignment w:val="baseline"/>
      </w:pPr>
      <w:r w:rsidRPr="00417AD2">
        <w:rPr>
          <w:b/>
          <w:bCs/>
        </w:rPr>
        <w:t>Heeft u er kennis van genomen dat het rapport stelt dat het scenario 'Stad in de duinen', met de bouw van 30.000 tot 40.000 woningen, inkomsten kan genereren van 4 tot 5 miljard euro die kunnen helpen bij het dekken van saneringskosten. Kunt u toelichten hoe de overheid dit potentieel zou kunnen benutten?</w:t>
      </w:r>
      <w:r w:rsidRPr="00417AD2">
        <w:rPr>
          <w:b/>
          <w:bCs/>
        </w:rPr>
        <w:br/>
      </w:r>
      <w:r w:rsidRPr="00417AD2">
        <w:rPr>
          <w:b/>
          <w:bCs/>
        </w:rPr>
        <w:br/>
      </w:r>
      <w:r w:rsidRPr="00417AD2">
        <w:t xml:space="preserve">Het rapport biedt </w:t>
      </w:r>
      <w:r>
        <w:t>interessante</w:t>
      </w:r>
      <w:r w:rsidRPr="00417AD2">
        <w:t xml:space="preserve"> denkrichtingen voor de situatie </w:t>
      </w:r>
      <w:r>
        <w:t>waarin TSN</w:t>
      </w:r>
      <w:r w:rsidRPr="00417AD2">
        <w:t xml:space="preserve"> </w:t>
      </w:r>
      <w:r>
        <w:t>op korte termijn zou krimpen of sluiten</w:t>
      </w:r>
      <w:r w:rsidRPr="00417AD2">
        <w:t xml:space="preserve">. </w:t>
      </w:r>
      <w:r>
        <w:t xml:space="preserve">In dat hypothetische geval </w:t>
      </w:r>
      <w:r w:rsidRPr="00417AD2">
        <w:t xml:space="preserve">kunnen de geschetste scenario's bijdragen aan de huidige uitdagingen </w:t>
      </w:r>
      <w:r>
        <w:t>rond</w:t>
      </w:r>
      <w:r w:rsidRPr="00417AD2">
        <w:t xml:space="preserve"> </w:t>
      </w:r>
      <w:r>
        <w:t>de kwaliteit van de leefomgeving</w:t>
      </w:r>
      <w:r w:rsidRPr="00417AD2">
        <w:t xml:space="preserve">, schaarste aan woonruimte en druk op werklocaties in het Noordzeekanaalgebied. </w:t>
      </w:r>
      <w:r>
        <w:t>Het gaat echter om hypothetische scenario’s die niet aan de orde zijn en die deels gestoeld zijn op belangrijke aannames, zoals ook aangegeven in de antwoorden op vragen 6, 7, 8 en 9</w:t>
      </w:r>
      <w:r w:rsidRPr="00417AD2">
        <w:t>. Daar komt bij dat er in het gehele Noordzeekanaalgebied sprake is van een schaarste aan ruimte voor economi</w:t>
      </w:r>
      <w:r>
        <w:t>sche activiteiten</w:t>
      </w:r>
      <w:r w:rsidRPr="00417AD2">
        <w:t xml:space="preserve"> en het uitgangspunt is om bestaande ruimte voor </w:t>
      </w:r>
      <w:r>
        <w:t xml:space="preserve">de </w:t>
      </w:r>
      <w:r w:rsidRPr="00417AD2">
        <w:t>economie te behouden</w:t>
      </w:r>
      <w:r>
        <w:rPr>
          <w:rStyle w:val="Voetnootmarkering"/>
        </w:rPr>
        <w:footnoteReference w:id="10"/>
      </w:r>
      <w:r w:rsidRPr="00417AD2">
        <w:t>.</w:t>
      </w:r>
    </w:p>
    <w:p w:rsidRPr="009C480F" w:rsidR="00F8033D" w:rsidP="00F8033D" w:rsidRDefault="00F8033D" w14:paraId="349CE2D5" w14:textId="77777777">
      <w:pPr>
        <w:ind w:left="360"/>
      </w:pPr>
    </w:p>
    <w:p w:rsidRPr="009C480F" w:rsidR="00F8033D" w:rsidP="00F8033D" w:rsidRDefault="00F8033D" w14:paraId="01B6E6F1" w14:textId="77777777">
      <w:pPr>
        <w:numPr>
          <w:ilvl w:val="0"/>
          <w:numId w:val="1"/>
        </w:numPr>
        <w:autoSpaceDN w:val="0"/>
        <w:spacing w:after="0" w:line="240" w:lineRule="atLeast"/>
        <w:ind w:left="360"/>
        <w:textAlignment w:val="baseline"/>
      </w:pPr>
      <w:r w:rsidRPr="009C480F">
        <w:rPr>
          <w:b/>
          <w:bCs/>
        </w:rPr>
        <w:t xml:space="preserve">Kunt u toelichten hoe u kijkt naar de potentiële bijdrage van het </w:t>
      </w:r>
      <w:proofErr w:type="spellStart"/>
      <w:r w:rsidRPr="009C480F">
        <w:rPr>
          <w:b/>
          <w:bCs/>
        </w:rPr>
        <w:t>Wijmondplan</w:t>
      </w:r>
      <w:proofErr w:type="spellEnd"/>
      <w:r w:rsidRPr="009C480F">
        <w:rPr>
          <w:b/>
          <w:bCs/>
        </w:rPr>
        <w:t xml:space="preserve"> aan de oplossing van de wooncrisis?</w:t>
      </w:r>
      <w:r w:rsidRPr="009C480F">
        <w:rPr>
          <w:b/>
          <w:bCs/>
        </w:rPr>
        <w:br/>
      </w:r>
      <w:r w:rsidRPr="009C480F">
        <w:rPr>
          <w:b/>
          <w:bCs/>
        </w:rPr>
        <w:br/>
      </w:r>
      <w:r>
        <w:t>Ik wil nogmaals benadrukken dat TSN de eigenaar is van het terrein. Ook als er geen maatwerkafspraak komt, is het primair aan het bedrijf zelf om mogelijk alternatieve invulling van het terrein te wegen.</w:t>
      </w:r>
      <w:r>
        <w:br/>
      </w:r>
      <w:r>
        <w:br/>
      </w:r>
      <w:r w:rsidRPr="009C480F">
        <w:t xml:space="preserve">Op zichzelf staand zouden 30.000 tot 40.000 extra woningen in positieve zin bijdragen aan het woningtekort. </w:t>
      </w:r>
      <w:r>
        <w:t>I</w:t>
      </w:r>
      <w:r w:rsidRPr="009C480F">
        <w:t>n de woondeal van de M</w:t>
      </w:r>
      <w:r>
        <w:t xml:space="preserve">etropoolregio </w:t>
      </w:r>
      <w:r w:rsidRPr="009C480F">
        <w:t>A</w:t>
      </w:r>
      <w:r>
        <w:t>msterdam</w:t>
      </w:r>
      <w:r w:rsidRPr="009C480F">
        <w:t xml:space="preserve"> </w:t>
      </w:r>
      <w:r>
        <w:t xml:space="preserve">zijn echter </w:t>
      </w:r>
      <w:r w:rsidRPr="009C480F">
        <w:t>voldoende locaties afgesproken waarmee de woningbouwambitie van de regio kan worden ingevuld t</w:t>
      </w:r>
      <w:r>
        <w:t>ot en met</w:t>
      </w:r>
      <w:r w:rsidRPr="009C480F">
        <w:t xml:space="preserve"> 2030. Het benutten van de locatie van </w:t>
      </w:r>
      <w:r>
        <w:t>TSN</w:t>
      </w:r>
      <w:r w:rsidRPr="009C480F">
        <w:t xml:space="preserve"> kent</w:t>
      </w:r>
      <w:r>
        <w:t>,</w:t>
      </w:r>
      <w:r w:rsidRPr="009C480F">
        <w:t xml:space="preserve"> </w:t>
      </w:r>
      <w:r>
        <w:t xml:space="preserve">zoals in het </w:t>
      </w:r>
      <w:proofErr w:type="spellStart"/>
      <w:r w:rsidRPr="009C480F">
        <w:rPr>
          <w:i/>
          <w:iCs/>
        </w:rPr>
        <w:t>Wijmond</w:t>
      </w:r>
      <w:proofErr w:type="spellEnd"/>
      <w:r>
        <w:t>-</w:t>
      </w:r>
      <w:r w:rsidRPr="009C480F">
        <w:t>rapport</w:t>
      </w:r>
      <w:r>
        <w:t xml:space="preserve"> ook aan de orde komt, </w:t>
      </w:r>
      <w:r w:rsidRPr="009C480F">
        <w:t xml:space="preserve">financiële en </w:t>
      </w:r>
      <w:r>
        <w:t>uitvoering</w:t>
      </w:r>
      <w:r w:rsidRPr="009C480F">
        <w:t>srisico’s</w:t>
      </w:r>
      <w:r>
        <w:t>, onder meer</w:t>
      </w:r>
      <w:r w:rsidRPr="009C480F">
        <w:t xml:space="preserve"> vanwege de bodemverontreiniging. Deze locatie zou </w:t>
      </w:r>
      <w:r>
        <w:t xml:space="preserve">bovendien </w:t>
      </w:r>
      <w:r w:rsidRPr="009C480F">
        <w:t>pas op de lange termijn tot ontwikkeling kunnen komen en is daarmee geen oplossing voor de wooncrisis op de korte termijn.</w:t>
      </w:r>
      <w:r>
        <w:t xml:space="preserve"> Tot slot is de potentiële bijdrage zoals gezegd hypothetisch van aard en deels gestoeld op een aantal belangrijke aannames, zoals ook aangegeven in de antwoorden op vragen 6, 7, 8, 9 en 13.</w:t>
      </w:r>
      <w:r w:rsidRPr="009C480F">
        <w:br/>
      </w:r>
    </w:p>
    <w:p w:rsidRPr="00301684" w:rsidR="00F8033D" w:rsidP="00F8033D" w:rsidRDefault="00F8033D" w14:paraId="60C64BB1" w14:textId="77777777">
      <w:pPr>
        <w:numPr>
          <w:ilvl w:val="0"/>
          <w:numId w:val="1"/>
        </w:numPr>
        <w:autoSpaceDN w:val="0"/>
        <w:spacing w:after="0" w:line="240" w:lineRule="atLeast"/>
        <w:ind w:left="360"/>
        <w:textAlignment w:val="baseline"/>
      </w:pPr>
      <w:r w:rsidRPr="00301684">
        <w:rPr>
          <w:b/>
          <w:bCs/>
        </w:rPr>
        <w:lastRenderedPageBreak/>
        <w:t>Heeft u er kennis van genomen dat het scenario 'Natuur- en innovatiegebied' in het rapport aangeduid wordt als de meest maatschappelijk rendabele optie vanwege de baten van natuur, meer werkgelegenheid en lagere zorgkosten? Wat is uw onderbouwde visie op het prioriteren van maatschappelijke baten?</w:t>
      </w:r>
      <w:r w:rsidRPr="00301684">
        <w:rPr>
          <w:b/>
          <w:bCs/>
        </w:rPr>
        <w:br/>
      </w:r>
      <w:r w:rsidRPr="00301684">
        <w:rPr>
          <w:b/>
          <w:bCs/>
        </w:rPr>
        <w:br/>
      </w:r>
      <w:r>
        <w:t>Het kabinet heeft met belangstelling kennisgenomen van deze denkrichting in het rapport.</w:t>
      </w:r>
      <w:r w:rsidRPr="009C480F">
        <w:t xml:space="preserve"> De aanname dat bedrijven die elders in Nederland gevestigd zijn naar dit gebied willen verhuizen</w:t>
      </w:r>
      <w:r>
        <w:t>,</w:t>
      </w:r>
      <w:r w:rsidRPr="009C480F">
        <w:t xml:space="preserve"> lijkt echter te optimistisch. Verschillende steden </w:t>
      </w:r>
      <w:r>
        <w:t>zijn</w:t>
      </w:r>
      <w:r w:rsidRPr="009C480F">
        <w:t xml:space="preserve"> innovatiedistricten en campussen</w:t>
      </w:r>
      <w:r>
        <w:t xml:space="preserve"> aan</w:t>
      </w:r>
      <w:r w:rsidRPr="009C480F">
        <w:t xml:space="preserve"> het opzetten. Daarbij blijkt het verleiden van bedrijven om te verplaatsen een uitdaging. Ook dient voorkomen te worden dat een nieuw in te richten innovatiedistrict gaat concurreren met bestaande en in ontwikkeling zijnde gebieden binnen dezelfde regio.</w:t>
      </w:r>
      <w:r>
        <w:br/>
      </w:r>
    </w:p>
    <w:p w:rsidR="00F8033D" w:rsidP="00F8033D" w:rsidRDefault="00F8033D" w14:paraId="3252C296" w14:textId="77777777">
      <w:pPr>
        <w:numPr>
          <w:ilvl w:val="0"/>
          <w:numId w:val="1"/>
        </w:numPr>
        <w:autoSpaceDN w:val="0"/>
        <w:spacing w:after="0" w:line="240" w:lineRule="atLeast"/>
        <w:ind w:left="360"/>
        <w:textAlignment w:val="baseline"/>
      </w:pPr>
      <w:r w:rsidRPr="00301684">
        <w:rPr>
          <w:b/>
          <w:bCs/>
        </w:rPr>
        <w:t>Bent u het eens met de conclusie van de studie dat dat het Groen Staalplan de minst aantrekkelijke optie is wat betreft maatschappelijke baten? Welke andere scenario's worden meegenomen in de besluitvorming?</w:t>
      </w:r>
      <w:r w:rsidRPr="00301684">
        <w:rPr>
          <w:b/>
          <w:bCs/>
        </w:rPr>
        <w:br/>
      </w:r>
      <w:r w:rsidRPr="00301684">
        <w:rPr>
          <w:b/>
          <w:bCs/>
        </w:rPr>
        <w:br/>
      </w:r>
      <w:r w:rsidRPr="00CF6122">
        <w:rPr>
          <w:rStyle w:val="Verwijzingopmerking"/>
          <w:sz w:val="18"/>
          <w:szCs w:val="18"/>
        </w:rPr>
        <w:t>Het kabinet deelt deze conclusie niet</w:t>
      </w:r>
      <w:r w:rsidRPr="00CF6122">
        <w:t>.</w:t>
      </w:r>
      <w:r>
        <w:t xml:space="preserve"> Zoals ook aangegeven in de beantwoording van vragen 6, 7, 8 en 9 zet het kabinet, op basis van eerdere onderzoeken en besluitvorming</w:t>
      </w:r>
      <w:r>
        <w:rPr>
          <w:rStyle w:val="Voetnootmarkering"/>
        </w:rPr>
        <w:footnoteReference w:id="11"/>
      </w:r>
      <w:r>
        <w:t xml:space="preserve">, in op het Groen Staal-plan. </w:t>
      </w:r>
      <w:r w:rsidRPr="001F4DCA">
        <w:t xml:space="preserve">Deze route </w:t>
      </w:r>
      <w:r>
        <w:t xml:space="preserve">wordt nader uitgewerkt en </w:t>
      </w:r>
      <w:r w:rsidRPr="001F4DCA">
        <w:t>maakt het mogelijk om schoon en groen staal te produceren in de IJmond, waardoor de economische en strategische waarde daarvan wordt behouden voor Nederland en Europa</w:t>
      </w:r>
      <w:r>
        <w:t>.</w:t>
      </w:r>
    </w:p>
    <w:p w:rsidRPr="00301684" w:rsidR="00F8033D" w:rsidP="00F8033D" w:rsidRDefault="00F8033D" w14:paraId="2BFFB395" w14:textId="77777777"/>
    <w:p w:rsidR="00F8033D" w:rsidP="00F8033D" w:rsidRDefault="00F8033D" w14:paraId="0B9932B9" w14:textId="77777777">
      <w:pPr>
        <w:numPr>
          <w:ilvl w:val="0"/>
          <w:numId w:val="1"/>
        </w:numPr>
        <w:autoSpaceDN w:val="0"/>
        <w:spacing w:after="0" w:line="240" w:lineRule="atLeast"/>
        <w:ind w:left="360"/>
        <w:textAlignment w:val="baseline"/>
      </w:pPr>
      <w:r w:rsidRPr="00301684">
        <w:rPr>
          <w:b/>
          <w:bCs/>
        </w:rPr>
        <w:t>Bent u bereid te stoppen met de onderhandelingen met Tata Steel, gebaseerd op het achterhaalde, kostbare en risicovolle (voor milieu, gezondheid en belastingbetaler) Groen Staal Plan? Zo nee, waarom gokt u met geld van belastingbetalers?</w:t>
      </w:r>
      <w:r w:rsidRPr="00301684">
        <w:rPr>
          <w:b/>
          <w:bCs/>
        </w:rPr>
        <w:br/>
      </w:r>
      <w:r w:rsidRPr="00301684">
        <w:rPr>
          <w:b/>
          <w:bCs/>
        </w:rPr>
        <w:br/>
      </w:r>
      <w:r w:rsidRPr="004C5653">
        <w:t xml:space="preserve">Nee, </w:t>
      </w:r>
      <w:r>
        <w:t xml:space="preserve">het kabinet is niet </w:t>
      </w:r>
      <w:r w:rsidRPr="004C5653">
        <w:t xml:space="preserve">bereid om de onderhandelingen te stoppen. Het kabinet zet </w:t>
      </w:r>
      <w:r>
        <w:t>juist</w:t>
      </w:r>
      <w:r w:rsidRPr="004C5653">
        <w:t xml:space="preserve"> in op een </w:t>
      </w:r>
      <w:r>
        <w:t xml:space="preserve">verantwoorde en </w:t>
      </w:r>
      <w:r w:rsidRPr="004C5653">
        <w:t xml:space="preserve">zorgvuldige </w:t>
      </w:r>
      <w:r>
        <w:t>besteding van</w:t>
      </w:r>
      <w:r w:rsidRPr="004C5653">
        <w:t xml:space="preserve"> belastinggeld</w:t>
      </w:r>
      <w:r>
        <w:t>, zoals ook aangegeven in de beantwoording van vragen 2 en 3. Deze inzet moet juist leiden tot versnelde reductie van overlast voor omwonenden en de leefomgeving, zoals ook aangegeven in de beantwoording van vraag 6.</w:t>
      </w:r>
    </w:p>
    <w:p w:rsidRPr="004C5653" w:rsidR="00F8033D" w:rsidP="00F8033D" w:rsidRDefault="00F8033D" w14:paraId="0F3BA3A6" w14:textId="77777777">
      <w:pPr>
        <w:ind w:left="360"/>
      </w:pPr>
      <w:r>
        <w:t xml:space="preserve"> </w:t>
      </w:r>
    </w:p>
    <w:p w:rsidRPr="00301684" w:rsidR="00F8033D" w:rsidP="00F8033D" w:rsidRDefault="00F8033D" w14:paraId="7E01D2DF" w14:textId="77777777">
      <w:pPr>
        <w:numPr>
          <w:ilvl w:val="0"/>
          <w:numId w:val="1"/>
        </w:numPr>
        <w:autoSpaceDN w:val="0"/>
        <w:spacing w:after="0" w:line="240" w:lineRule="atLeast"/>
        <w:ind w:left="360"/>
        <w:textAlignment w:val="baseline"/>
      </w:pPr>
      <w:r w:rsidRPr="00301684">
        <w:rPr>
          <w:b/>
          <w:bCs/>
        </w:rPr>
        <w:t>Kunt u de vragen zo snel mogelijk en één voor één beantwoorden?</w:t>
      </w:r>
      <w:r w:rsidRPr="00301684">
        <w:rPr>
          <w:b/>
          <w:bCs/>
        </w:rPr>
        <w:br/>
      </w:r>
      <w:r w:rsidRPr="00301684">
        <w:rPr>
          <w:b/>
          <w:bCs/>
        </w:rPr>
        <w:br/>
      </w:r>
      <w:r w:rsidRPr="00301684">
        <w:t>Ja.</w:t>
      </w:r>
    </w:p>
    <w:p w:rsidRPr="00301684" w:rsidR="00F8033D" w:rsidP="00F8033D" w:rsidRDefault="00F8033D" w14:paraId="27039E5D" w14:textId="77777777">
      <w:pPr>
        <w:rPr>
          <w:b/>
          <w:bCs/>
        </w:rPr>
      </w:pPr>
    </w:p>
    <w:p w:rsidR="008B7370" w:rsidRDefault="008B7370" w14:paraId="50DF183F" w14:textId="77777777"/>
    <w:sectPr w:rsidR="008B7370" w:rsidSect="00F8033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6CAC" w14:textId="77777777" w:rsidR="00F8033D" w:rsidRDefault="00F8033D" w:rsidP="00F8033D">
      <w:pPr>
        <w:spacing w:after="0" w:line="240" w:lineRule="auto"/>
      </w:pPr>
      <w:r>
        <w:separator/>
      </w:r>
    </w:p>
  </w:endnote>
  <w:endnote w:type="continuationSeparator" w:id="0">
    <w:p w14:paraId="24B7512C" w14:textId="77777777" w:rsidR="00F8033D" w:rsidRDefault="00F8033D" w:rsidP="00F8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AA26" w14:textId="77777777" w:rsidR="00F8033D" w:rsidRPr="00F8033D" w:rsidRDefault="00F8033D" w:rsidP="00F803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EAC1E" w14:textId="77777777" w:rsidR="00F8033D" w:rsidRPr="00F8033D" w:rsidRDefault="00F8033D" w:rsidP="00F803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825A" w14:textId="77777777" w:rsidR="00F8033D" w:rsidRPr="00F8033D" w:rsidRDefault="00F8033D" w:rsidP="00F803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CC25F" w14:textId="77777777" w:rsidR="00F8033D" w:rsidRDefault="00F8033D" w:rsidP="00F8033D">
      <w:pPr>
        <w:spacing w:after="0" w:line="240" w:lineRule="auto"/>
      </w:pPr>
      <w:r>
        <w:separator/>
      </w:r>
    </w:p>
  </w:footnote>
  <w:footnote w:type="continuationSeparator" w:id="0">
    <w:p w14:paraId="631EA79F" w14:textId="77777777" w:rsidR="00F8033D" w:rsidRDefault="00F8033D" w:rsidP="00F8033D">
      <w:pPr>
        <w:spacing w:after="0" w:line="240" w:lineRule="auto"/>
      </w:pPr>
      <w:r>
        <w:continuationSeparator/>
      </w:r>
    </w:p>
  </w:footnote>
  <w:footnote w:id="1">
    <w:p w14:paraId="314F0BB5" w14:textId="77777777" w:rsidR="00F8033D" w:rsidRPr="00DE2D48" w:rsidRDefault="00F8033D" w:rsidP="00F8033D">
      <w:pPr>
        <w:pStyle w:val="Voetnoottekst"/>
        <w:rPr>
          <w:sz w:val="14"/>
          <w:szCs w:val="14"/>
        </w:rPr>
      </w:pPr>
      <w:r w:rsidRPr="00DE2D48">
        <w:rPr>
          <w:rStyle w:val="Voetnootmarkering"/>
          <w:sz w:val="14"/>
          <w:szCs w:val="14"/>
        </w:rPr>
        <w:footnoteRef/>
      </w:r>
      <w:r w:rsidRPr="00DE2D48">
        <w:rPr>
          <w:sz w:val="14"/>
          <w:szCs w:val="14"/>
        </w:rPr>
        <w:t xml:space="preserve"> </w:t>
      </w:r>
      <w:proofErr w:type="spellStart"/>
      <w:r w:rsidRPr="00DE2D48">
        <w:rPr>
          <w:sz w:val="14"/>
          <w:szCs w:val="14"/>
        </w:rPr>
        <w:t>Wijmond</w:t>
      </w:r>
      <w:proofErr w:type="spellEnd"/>
      <w:r w:rsidRPr="00DE2D48">
        <w:rPr>
          <w:sz w:val="14"/>
          <w:szCs w:val="14"/>
        </w:rPr>
        <w:t xml:space="preserve"> – Van staal naar mens centraal</w:t>
      </w:r>
    </w:p>
  </w:footnote>
  <w:footnote w:id="2">
    <w:p w14:paraId="4080DE5E" w14:textId="77777777" w:rsidR="00F8033D" w:rsidRPr="00DE2D48" w:rsidRDefault="00F8033D" w:rsidP="00F8033D">
      <w:pPr>
        <w:pStyle w:val="Voetnoottekst"/>
        <w:rPr>
          <w:sz w:val="18"/>
          <w:szCs w:val="18"/>
        </w:rPr>
      </w:pPr>
      <w:r w:rsidRPr="00DE2D48">
        <w:rPr>
          <w:rStyle w:val="Voetnootmarkering"/>
          <w:sz w:val="14"/>
          <w:szCs w:val="14"/>
        </w:rPr>
        <w:footnoteRef/>
      </w:r>
      <w:r w:rsidRPr="00DE2D48">
        <w:rPr>
          <w:sz w:val="14"/>
          <w:szCs w:val="14"/>
        </w:rPr>
        <w:t xml:space="preserve"> NRC, 30 januari 2025, Economen in Tweede Kamer: pas op met staatssteunplan Tata Steel</w:t>
      </w:r>
    </w:p>
  </w:footnote>
  <w:footnote w:id="3">
    <w:p w14:paraId="2ADF9E28" w14:textId="77777777" w:rsidR="00F8033D" w:rsidRPr="00C768D6" w:rsidRDefault="00F8033D" w:rsidP="00F8033D">
      <w:pPr>
        <w:pStyle w:val="Voetnoottekst"/>
        <w:rPr>
          <w:sz w:val="18"/>
          <w:szCs w:val="18"/>
          <w:lang w:val="es-ES"/>
        </w:rPr>
      </w:pPr>
      <w:r w:rsidRPr="00DE2D48">
        <w:rPr>
          <w:rStyle w:val="Voetnootmarkering"/>
          <w:sz w:val="14"/>
          <w:szCs w:val="14"/>
        </w:rPr>
        <w:footnoteRef/>
      </w:r>
      <w:r w:rsidRPr="00C768D6">
        <w:rPr>
          <w:sz w:val="14"/>
          <w:szCs w:val="14"/>
          <w:lang w:val="es-ES"/>
        </w:rPr>
        <w:t xml:space="preserve"> </w:t>
      </w:r>
      <w:hyperlink r:id="rId1" w:history="1">
        <w:r w:rsidRPr="00C768D6">
          <w:rPr>
            <w:rStyle w:val="Hyperlink"/>
            <w:sz w:val="14"/>
            <w:szCs w:val="14"/>
            <w:lang w:val="es-ES"/>
          </w:rPr>
          <w:t>https://nos.nl/artikel/2577092-tata-steel-topman-we-komen-steeds-dichter-bij-een-akkoord-met-het-kabinet</w:t>
        </w:r>
      </w:hyperlink>
      <w:r w:rsidRPr="00C768D6">
        <w:rPr>
          <w:sz w:val="14"/>
          <w:szCs w:val="14"/>
          <w:lang w:val="es-ES"/>
        </w:rPr>
        <w:t xml:space="preserve"> (NOS, 31 </w:t>
      </w:r>
      <w:proofErr w:type="spellStart"/>
      <w:r w:rsidRPr="00C768D6">
        <w:rPr>
          <w:sz w:val="14"/>
          <w:szCs w:val="14"/>
          <w:lang w:val="es-ES"/>
        </w:rPr>
        <w:t>juli</w:t>
      </w:r>
      <w:proofErr w:type="spellEnd"/>
      <w:r w:rsidRPr="00C768D6">
        <w:rPr>
          <w:sz w:val="14"/>
          <w:szCs w:val="14"/>
          <w:lang w:val="es-ES"/>
        </w:rPr>
        <w:t xml:space="preserve"> 2025).</w:t>
      </w:r>
    </w:p>
  </w:footnote>
  <w:footnote w:id="4">
    <w:p w14:paraId="5FC32E7C" w14:textId="77777777" w:rsidR="00F8033D" w:rsidRPr="008734BA" w:rsidRDefault="00F8033D" w:rsidP="00F8033D">
      <w:pPr>
        <w:pStyle w:val="Voetnoottekst"/>
        <w:rPr>
          <w:sz w:val="16"/>
          <w:szCs w:val="16"/>
        </w:rPr>
      </w:pPr>
      <w:r w:rsidRPr="00DE2D48">
        <w:rPr>
          <w:rStyle w:val="Voetnootmarkering"/>
          <w:sz w:val="14"/>
          <w:szCs w:val="14"/>
        </w:rPr>
        <w:footnoteRef/>
      </w:r>
      <w:r w:rsidRPr="00DE2D48">
        <w:rPr>
          <w:sz w:val="14"/>
          <w:szCs w:val="14"/>
        </w:rPr>
        <w:t xml:space="preserve"> Kamerstuk 32813, nr. 1369.</w:t>
      </w:r>
    </w:p>
  </w:footnote>
  <w:footnote w:id="5">
    <w:p w14:paraId="5DDB2F99" w14:textId="77777777" w:rsidR="00F8033D" w:rsidRPr="000E6896" w:rsidRDefault="00F8033D" w:rsidP="00F8033D">
      <w:pPr>
        <w:pStyle w:val="Voetnoottekst"/>
        <w:rPr>
          <w:sz w:val="14"/>
          <w:szCs w:val="14"/>
        </w:rPr>
      </w:pPr>
      <w:r w:rsidRPr="000E6896">
        <w:rPr>
          <w:rStyle w:val="Voetnootmarkering"/>
          <w:sz w:val="14"/>
          <w:szCs w:val="14"/>
        </w:rPr>
        <w:footnoteRef/>
      </w:r>
      <w:r w:rsidRPr="000E6896">
        <w:rPr>
          <w:sz w:val="14"/>
          <w:szCs w:val="14"/>
        </w:rPr>
        <w:t xml:space="preserve"> Kamerstuk 28089, nr. 331.</w:t>
      </w:r>
    </w:p>
  </w:footnote>
  <w:footnote w:id="6">
    <w:p w14:paraId="3CBDF7A5" w14:textId="77777777" w:rsidR="00F8033D" w:rsidRPr="00281FED" w:rsidRDefault="00F8033D" w:rsidP="00F8033D">
      <w:pPr>
        <w:pStyle w:val="Voetnoottekst"/>
        <w:rPr>
          <w:sz w:val="16"/>
          <w:szCs w:val="16"/>
        </w:rPr>
      </w:pPr>
      <w:r w:rsidRPr="000E6896">
        <w:rPr>
          <w:rStyle w:val="Voetnootmarkering"/>
          <w:sz w:val="14"/>
          <w:szCs w:val="14"/>
        </w:rPr>
        <w:footnoteRef/>
      </w:r>
      <w:r w:rsidRPr="000E6896">
        <w:rPr>
          <w:sz w:val="14"/>
          <w:szCs w:val="14"/>
        </w:rPr>
        <w:t xml:space="preserve"> Zie o.a. Kamerstuk 32813, nr. 1369; Kamerstuk 29826, nr. 209.</w:t>
      </w:r>
    </w:p>
  </w:footnote>
  <w:footnote w:id="7">
    <w:p w14:paraId="5ED24078" w14:textId="77777777" w:rsidR="00F8033D" w:rsidRPr="003D2DDC" w:rsidRDefault="00F8033D" w:rsidP="00F8033D">
      <w:pPr>
        <w:pStyle w:val="Voetnoottekst"/>
        <w:rPr>
          <w:sz w:val="16"/>
          <w:szCs w:val="16"/>
        </w:rPr>
      </w:pPr>
      <w:r w:rsidRPr="000E6896">
        <w:rPr>
          <w:rStyle w:val="Voetnootmarkering"/>
          <w:sz w:val="14"/>
          <w:szCs w:val="14"/>
        </w:rPr>
        <w:footnoteRef/>
      </w:r>
      <w:r w:rsidRPr="000E6896">
        <w:rPr>
          <w:sz w:val="14"/>
          <w:szCs w:val="14"/>
        </w:rPr>
        <w:t xml:space="preserve"> Kamerstuk 27625, nr. 694.</w:t>
      </w:r>
    </w:p>
  </w:footnote>
  <w:footnote w:id="8">
    <w:p w14:paraId="43001908" w14:textId="77777777" w:rsidR="00F8033D" w:rsidRPr="00023891" w:rsidRDefault="00F8033D" w:rsidP="00F8033D">
      <w:pPr>
        <w:pStyle w:val="Voetnoottekst"/>
        <w:rPr>
          <w:sz w:val="16"/>
          <w:szCs w:val="16"/>
        </w:rPr>
      </w:pPr>
      <w:r w:rsidRPr="000E6896">
        <w:rPr>
          <w:rStyle w:val="Voetnootmarkering"/>
          <w:sz w:val="14"/>
          <w:szCs w:val="14"/>
        </w:rPr>
        <w:footnoteRef/>
      </w:r>
      <w:r w:rsidRPr="000E6896">
        <w:rPr>
          <w:sz w:val="14"/>
          <w:szCs w:val="14"/>
        </w:rPr>
        <w:t xml:space="preserve"> Kamerstuk 30015, nr. 127.</w:t>
      </w:r>
    </w:p>
  </w:footnote>
  <w:footnote w:id="9">
    <w:p w14:paraId="75CD0EC9" w14:textId="77777777" w:rsidR="00F8033D" w:rsidRPr="00AB5D61" w:rsidRDefault="00F8033D" w:rsidP="00F8033D">
      <w:pPr>
        <w:pStyle w:val="Voetnoottekst"/>
        <w:rPr>
          <w:sz w:val="14"/>
          <w:szCs w:val="14"/>
        </w:rPr>
      </w:pPr>
      <w:r w:rsidRPr="00AB5D61">
        <w:rPr>
          <w:rStyle w:val="Voetnootmarkering"/>
          <w:sz w:val="14"/>
          <w:szCs w:val="14"/>
        </w:rPr>
        <w:footnoteRef/>
      </w:r>
      <w:r w:rsidRPr="00AB5D61">
        <w:rPr>
          <w:sz w:val="14"/>
          <w:szCs w:val="14"/>
        </w:rPr>
        <w:t xml:space="preserve"> </w:t>
      </w:r>
      <w:r>
        <w:rPr>
          <w:sz w:val="14"/>
          <w:szCs w:val="14"/>
        </w:rPr>
        <w:t xml:space="preserve">Kamerstuk </w:t>
      </w:r>
      <w:r w:rsidRPr="00AB5D61">
        <w:rPr>
          <w:sz w:val="14"/>
          <w:szCs w:val="14"/>
        </w:rPr>
        <w:t>2025Z02703.</w:t>
      </w:r>
    </w:p>
  </w:footnote>
  <w:footnote w:id="10">
    <w:p w14:paraId="56BD2EC7" w14:textId="77777777" w:rsidR="00F8033D" w:rsidRPr="00616C7C" w:rsidRDefault="00F8033D" w:rsidP="00F8033D">
      <w:pPr>
        <w:pStyle w:val="Voetnoottekst"/>
        <w:rPr>
          <w:sz w:val="14"/>
          <w:szCs w:val="14"/>
        </w:rPr>
      </w:pPr>
      <w:r w:rsidRPr="00616C7C">
        <w:rPr>
          <w:rStyle w:val="Voetnootmarkering"/>
          <w:sz w:val="14"/>
          <w:szCs w:val="14"/>
        </w:rPr>
        <w:footnoteRef/>
      </w:r>
      <w:r w:rsidRPr="00616C7C">
        <w:rPr>
          <w:sz w:val="14"/>
          <w:szCs w:val="14"/>
        </w:rPr>
        <w:t xml:space="preserve"> Kamerstuk 34682, nr. 229.</w:t>
      </w:r>
    </w:p>
  </w:footnote>
  <w:footnote w:id="11">
    <w:p w14:paraId="32B86894" w14:textId="77777777" w:rsidR="00F8033D" w:rsidRPr="008734BA" w:rsidRDefault="00F8033D" w:rsidP="00F8033D">
      <w:pPr>
        <w:pStyle w:val="Voetnoottekst"/>
        <w:rPr>
          <w:sz w:val="16"/>
          <w:szCs w:val="16"/>
        </w:rPr>
      </w:pPr>
      <w:r w:rsidRPr="000E6896">
        <w:rPr>
          <w:rStyle w:val="Voetnootmarkering"/>
          <w:sz w:val="14"/>
          <w:szCs w:val="14"/>
        </w:rPr>
        <w:footnoteRef/>
      </w:r>
      <w:r w:rsidRPr="000E6896">
        <w:rPr>
          <w:sz w:val="14"/>
          <w:szCs w:val="14"/>
        </w:rPr>
        <w:t xml:space="preserve"> Kamerstuk 29826, nr. 209.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5051" w14:textId="77777777" w:rsidR="00F8033D" w:rsidRPr="00F8033D" w:rsidRDefault="00F8033D" w:rsidP="00F803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74F8" w14:textId="77777777" w:rsidR="00F8033D" w:rsidRPr="00F8033D" w:rsidRDefault="00F8033D" w:rsidP="00F803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983E" w14:textId="77777777" w:rsidR="00F8033D" w:rsidRPr="00F8033D" w:rsidRDefault="00F8033D" w:rsidP="00F803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6F32"/>
    <w:multiLevelType w:val="hybridMultilevel"/>
    <w:tmpl w:val="7276AFAA"/>
    <w:lvl w:ilvl="0" w:tplc="8D36CD62">
      <w:start w:val="1"/>
      <w:numFmt w:val="decimal"/>
      <w:lvlText w:val="%1."/>
      <w:lvlJc w:val="left"/>
      <w:pPr>
        <w:ind w:left="720" w:hanging="360"/>
      </w:pPr>
      <w:rPr>
        <w:b/>
        <w:bCs/>
      </w:rPr>
    </w:lvl>
    <w:lvl w:ilvl="1" w:tplc="D11220A2">
      <w:start w:val="1"/>
      <w:numFmt w:val="lowerLetter"/>
      <w:lvlText w:val="%2."/>
      <w:lvlJc w:val="left"/>
      <w:pPr>
        <w:ind w:left="1440" w:hanging="360"/>
      </w:pPr>
    </w:lvl>
    <w:lvl w:ilvl="2" w:tplc="60F293E0">
      <w:start w:val="1"/>
      <w:numFmt w:val="lowerRoman"/>
      <w:lvlText w:val="%3."/>
      <w:lvlJc w:val="right"/>
      <w:pPr>
        <w:ind w:left="2160" w:hanging="180"/>
      </w:pPr>
    </w:lvl>
    <w:lvl w:ilvl="3" w:tplc="82C8C844">
      <w:start w:val="1"/>
      <w:numFmt w:val="decimal"/>
      <w:lvlText w:val="%4."/>
      <w:lvlJc w:val="left"/>
      <w:pPr>
        <w:ind w:left="2880" w:hanging="360"/>
      </w:pPr>
    </w:lvl>
    <w:lvl w:ilvl="4" w:tplc="6504EA78">
      <w:start w:val="1"/>
      <w:numFmt w:val="lowerLetter"/>
      <w:lvlText w:val="%5."/>
      <w:lvlJc w:val="left"/>
      <w:pPr>
        <w:ind w:left="3600" w:hanging="360"/>
      </w:pPr>
    </w:lvl>
    <w:lvl w:ilvl="5" w:tplc="A68608E0">
      <w:start w:val="1"/>
      <w:numFmt w:val="lowerRoman"/>
      <w:lvlText w:val="%6."/>
      <w:lvlJc w:val="right"/>
      <w:pPr>
        <w:ind w:left="4320" w:hanging="180"/>
      </w:pPr>
    </w:lvl>
    <w:lvl w:ilvl="6" w:tplc="EBDA9A58">
      <w:start w:val="1"/>
      <w:numFmt w:val="decimal"/>
      <w:lvlText w:val="%7."/>
      <w:lvlJc w:val="left"/>
      <w:pPr>
        <w:ind w:left="5040" w:hanging="360"/>
      </w:pPr>
    </w:lvl>
    <w:lvl w:ilvl="7" w:tplc="B5B09EC6">
      <w:start w:val="1"/>
      <w:numFmt w:val="lowerLetter"/>
      <w:lvlText w:val="%8."/>
      <w:lvlJc w:val="left"/>
      <w:pPr>
        <w:ind w:left="5760" w:hanging="360"/>
      </w:pPr>
    </w:lvl>
    <w:lvl w:ilvl="8" w:tplc="A00A1C3E">
      <w:start w:val="1"/>
      <w:numFmt w:val="lowerRoman"/>
      <w:lvlText w:val="%9."/>
      <w:lvlJc w:val="right"/>
      <w:pPr>
        <w:ind w:left="6480" w:hanging="180"/>
      </w:pPr>
    </w:lvl>
  </w:abstractNum>
  <w:num w:numId="1" w16cid:durableId="15037395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3D"/>
    <w:rsid w:val="008B7370"/>
    <w:rsid w:val="00F1585D"/>
    <w:rsid w:val="00F80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44CB7"/>
  <w15:chartTrackingRefBased/>
  <w15:docId w15:val="{DA0D3104-9276-46FC-A7A2-66EBFA76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3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03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033D"/>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033D"/>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033D"/>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0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33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033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033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033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033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0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33D"/>
    <w:rPr>
      <w:rFonts w:eastAsiaTheme="majorEastAsia" w:cstheme="majorBidi"/>
      <w:color w:val="272727" w:themeColor="text1" w:themeTint="D8"/>
    </w:rPr>
  </w:style>
  <w:style w:type="paragraph" w:styleId="Titel">
    <w:name w:val="Title"/>
    <w:basedOn w:val="Standaard"/>
    <w:next w:val="Standaard"/>
    <w:link w:val="TitelChar"/>
    <w:uiPriority w:val="10"/>
    <w:qFormat/>
    <w:rsid w:val="00F80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33D"/>
    <w:rPr>
      <w:i/>
      <w:iCs/>
      <w:color w:val="404040" w:themeColor="text1" w:themeTint="BF"/>
    </w:rPr>
  </w:style>
  <w:style w:type="paragraph" w:styleId="Lijstalinea">
    <w:name w:val="List Paragraph"/>
    <w:basedOn w:val="Standaard"/>
    <w:uiPriority w:val="34"/>
    <w:qFormat/>
    <w:rsid w:val="00F8033D"/>
    <w:pPr>
      <w:ind w:left="720"/>
      <w:contextualSpacing/>
    </w:pPr>
  </w:style>
  <w:style w:type="character" w:styleId="Intensievebenadrukking">
    <w:name w:val="Intense Emphasis"/>
    <w:basedOn w:val="Standaardalinea-lettertype"/>
    <w:uiPriority w:val="21"/>
    <w:qFormat/>
    <w:rsid w:val="00F8033D"/>
    <w:rPr>
      <w:i/>
      <w:iCs/>
      <w:color w:val="2F5496" w:themeColor="accent1" w:themeShade="BF"/>
    </w:rPr>
  </w:style>
  <w:style w:type="paragraph" w:styleId="Duidelijkcitaat">
    <w:name w:val="Intense Quote"/>
    <w:basedOn w:val="Standaard"/>
    <w:next w:val="Standaard"/>
    <w:link w:val="DuidelijkcitaatChar"/>
    <w:uiPriority w:val="30"/>
    <w:qFormat/>
    <w:rsid w:val="00F80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033D"/>
    <w:rPr>
      <w:i/>
      <w:iCs/>
      <w:color w:val="2F5496" w:themeColor="accent1" w:themeShade="BF"/>
    </w:rPr>
  </w:style>
  <w:style w:type="character" w:styleId="Intensieveverwijzing">
    <w:name w:val="Intense Reference"/>
    <w:basedOn w:val="Standaardalinea-lettertype"/>
    <w:uiPriority w:val="32"/>
    <w:qFormat/>
    <w:rsid w:val="00F8033D"/>
    <w:rPr>
      <w:b/>
      <w:bCs/>
      <w:smallCaps/>
      <w:color w:val="2F5496" w:themeColor="accent1" w:themeShade="BF"/>
      <w:spacing w:val="5"/>
    </w:rPr>
  </w:style>
  <w:style w:type="character" w:styleId="Hyperlink">
    <w:name w:val="Hyperlink"/>
    <w:basedOn w:val="Standaardalinea-lettertype"/>
    <w:uiPriority w:val="99"/>
    <w:unhideWhenUsed/>
    <w:rsid w:val="00F8033D"/>
    <w:rPr>
      <w:color w:val="0563C1" w:themeColor="hyperlink"/>
      <w:u w:val="single"/>
    </w:rPr>
  </w:style>
  <w:style w:type="paragraph" w:styleId="Voettekst">
    <w:name w:val="footer"/>
    <w:basedOn w:val="Standaard"/>
    <w:link w:val="VoettekstChar"/>
    <w:uiPriority w:val="99"/>
    <w:unhideWhenUsed/>
    <w:rsid w:val="00F8033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033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8033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8033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8033D"/>
    <w:rPr>
      <w:vertAlign w:val="superscript"/>
    </w:rPr>
  </w:style>
  <w:style w:type="character" w:styleId="Verwijzingopmerking">
    <w:name w:val="annotation reference"/>
    <w:basedOn w:val="Standaardalinea-lettertype"/>
    <w:uiPriority w:val="99"/>
    <w:semiHidden/>
    <w:unhideWhenUsed/>
    <w:rsid w:val="00F8033D"/>
    <w:rPr>
      <w:sz w:val="16"/>
      <w:szCs w:val="16"/>
    </w:rPr>
  </w:style>
  <w:style w:type="paragraph" w:styleId="Koptekst">
    <w:name w:val="header"/>
    <w:basedOn w:val="Standaard"/>
    <w:link w:val="KoptekstChar"/>
    <w:uiPriority w:val="99"/>
    <w:unhideWhenUsed/>
    <w:rsid w:val="00F803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0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77092-tata-steel-topman-we-komen-steeds-dichter-bij-een-akkoord-met-het-kabine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2179</ap:Words>
  <ap:Characters>11986</ap:Characters>
  <ap:DocSecurity>0</ap:DocSecurity>
  <ap:Lines>99</ap:Lines>
  <ap:Paragraphs>28</ap:Paragraphs>
  <ap:ScaleCrop>false</ap:ScaleCrop>
  <ap:LinksUpToDate>false</ap:LinksUpToDate>
  <ap:CharactersWithSpaces>14137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2025-09-23T15:18:00.0000000Z</dcterms:created>
  <dcterms:modified xsi:type="dcterms:W3CDTF">2025-09-23T15:19:00.0000000Z</dcterms:modified>
  <version/>
  <category/>
</coreProperties>
</file>