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029" w:rsidP="00E70029" w:rsidRDefault="00E70029" w14:paraId="01EDA04E" w14:textId="165F5E8B">
      <w:r>
        <w:t>AH 116</w:t>
      </w:r>
    </w:p>
    <w:p w:rsidR="00E70029" w:rsidP="00E70029" w:rsidRDefault="00E70029" w14:paraId="0BF8D7E6" w14:textId="58451445">
      <w:r>
        <w:t>2025Z14999</w:t>
      </w:r>
    </w:p>
    <w:p w:rsidRPr="00E70029" w:rsidR="00E70029" w:rsidP="00E70029" w:rsidRDefault="00E70029" w14:paraId="1F6906B0" w14:textId="21A012E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september 2025)</w:t>
      </w:r>
    </w:p>
    <w:p w:rsidR="00E70029" w:rsidP="00E70029" w:rsidRDefault="00E70029" w14:paraId="245B917A" w14:textId="77777777"/>
    <w:p w:rsidRPr="00200A4A" w:rsidR="00E70029" w:rsidP="00E70029" w:rsidRDefault="00E70029" w14:paraId="6615EF75" w14:textId="0ECF0422">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2970</w:t>
      </w:r>
    </w:p>
    <w:p w:rsidRPr="00200A4A" w:rsidR="00E70029" w:rsidP="00E70029" w:rsidRDefault="00E70029" w14:paraId="142B76C7" w14:textId="77777777">
      <w:pPr>
        <w:rPr>
          <w:b/>
          <w:bCs/>
        </w:rPr>
      </w:pPr>
      <w:r w:rsidRPr="00200A4A">
        <w:rPr>
          <w:b/>
          <w:bCs/>
        </w:rPr>
        <w:t>Vraag 1</w:t>
      </w:r>
    </w:p>
    <w:p w:rsidRPr="00200A4A" w:rsidR="00E70029" w:rsidP="00E70029" w:rsidRDefault="00E70029" w14:paraId="62786ABD" w14:textId="77777777">
      <w:pPr>
        <w:rPr>
          <w:b/>
          <w:bCs/>
        </w:rPr>
      </w:pPr>
      <w:r w:rsidRPr="00200A4A">
        <w:rPr>
          <w:b/>
          <w:bCs/>
        </w:rPr>
        <w:t xml:space="preserve">Bent u bekend met het artikel ‘Moordenaar krijgt na jaren cel en tbs baan in zorgkliniek: ’Hoe kan zo iemand werken met kwetsbare personen?’? </w:t>
      </w:r>
      <w:r w:rsidRPr="00200A4A">
        <w:rPr>
          <w:b/>
          <w:bCs/>
        </w:rPr>
        <w:br/>
      </w:r>
    </w:p>
    <w:p w:rsidRPr="00200A4A" w:rsidR="00E70029" w:rsidP="00E70029" w:rsidRDefault="00E70029" w14:paraId="40A3B937" w14:textId="77777777">
      <w:pPr>
        <w:rPr>
          <w:b/>
          <w:bCs/>
        </w:rPr>
      </w:pPr>
      <w:r w:rsidRPr="00200A4A">
        <w:rPr>
          <w:b/>
          <w:bCs/>
        </w:rPr>
        <w:t>Antwoord op vraag 1</w:t>
      </w:r>
    </w:p>
    <w:p w:rsidRPr="00200A4A" w:rsidR="00E70029" w:rsidP="00E70029" w:rsidRDefault="00E70029" w14:paraId="640543AD" w14:textId="77777777">
      <w:r w:rsidRPr="00200A4A">
        <w:t xml:space="preserve">Ja. </w:t>
      </w:r>
    </w:p>
    <w:p w:rsidRPr="00200A4A" w:rsidR="00E70029" w:rsidP="00E70029" w:rsidRDefault="00E70029" w14:paraId="390235BD" w14:textId="77777777">
      <w:pPr>
        <w:rPr>
          <w:b/>
          <w:bCs/>
        </w:rPr>
      </w:pPr>
    </w:p>
    <w:p w:rsidRPr="00200A4A" w:rsidR="00E70029" w:rsidP="00E70029" w:rsidRDefault="00E70029" w14:paraId="24D47119" w14:textId="77777777">
      <w:pPr>
        <w:rPr>
          <w:b/>
          <w:bCs/>
        </w:rPr>
      </w:pPr>
      <w:r w:rsidRPr="00200A4A">
        <w:rPr>
          <w:b/>
          <w:bCs/>
        </w:rPr>
        <w:t>Vraag 2</w:t>
      </w:r>
    </w:p>
    <w:p w:rsidRPr="00200A4A" w:rsidR="00E70029" w:rsidP="00E70029" w:rsidRDefault="00E70029" w14:paraId="050392F8" w14:textId="77777777">
      <w:pPr>
        <w:rPr>
          <w:b/>
          <w:bCs/>
        </w:rPr>
      </w:pPr>
      <w:r w:rsidRPr="00200A4A">
        <w:rPr>
          <w:b/>
          <w:bCs/>
        </w:rPr>
        <w:t>Op welke manier is het mogelijk dat een persoon met een ernstig geweldsverleden een Verklaring Omtrent het Gedrag (VOG) heeft kunnen verkrijgen voor een functie in de zorg?</w:t>
      </w:r>
      <w:r w:rsidRPr="00200A4A">
        <w:rPr>
          <w:b/>
          <w:bCs/>
        </w:rPr>
        <w:br/>
      </w:r>
    </w:p>
    <w:p w:rsidRPr="00200A4A" w:rsidR="00E70029" w:rsidP="00E70029" w:rsidRDefault="00E70029" w14:paraId="7529E11F" w14:textId="77777777">
      <w:pPr>
        <w:rPr>
          <w:b/>
          <w:bCs/>
        </w:rPr>
      </w:pPr>
      <w:r w:rsidRPr="00200A4A">
        <w:rPr>
          <w:b/>
          <w:bCs/>
        </w:rPr>
        <w:t>Vraag 3</w:t>
      </w:r>
    </w:p>
    <w:p w:rsidRPr="00200A4A" w:rsidR="00E70029" w:rsidP="00E70029" w:rsidRDefault="00E70029" w14:paraId="62AE68D5" w14:textId="77777777">
      <w:pPr>
        <w:rPr>
          <w:b/>
          <w:bCs/>
        </w:rPr>
      </w:pPr>
      <w:r w:rsidRPr="00200A4A">
        <w:rPr>
          <w:b/>
          <w:bCs/>
        </w:rPr>
        <w:t>Is bij het afgeven van de VOG rekening gehouden met het feit dat het hier een moord betrof, gepleegd met 40 messteken, in de aanwezigheid van een kind?</w:t>
      </w:r>
      <w:r w:rsidRPr="00200A4A">
        <w:rPr>
          <w:b/>
          <w:bCs/>
        </w:rPr>
        <w:br/>
      </w:r>
    </w:p>
    <w:p w:rsidRPr="00200A4A" w:rsidR="00E70029" w:rsidP="00E70029" w:rsidRDefault="00E70029" w14:paraId="57F895E9" w14:textId="77777777">
      <w:pPr>
        <w:rPr>
          <w:b/>
          <w:bCs/>
        </w:rPr>
      </w:pPr>
      <w:r w:rsidRPr="00200A4A">
        <w:rPr>
          <w:b/>
          <w:bCs/>
        </w:rPr>
        <w:t>Antwoord op vragen 2 en 3</w:t>
      </w:r>
    </w:p>
    <w:p w:rsidRPr="00200A4A" w:rsidR="00E70029" w:rsidP="00E70029" w:rsidRDefault="00E70029" w14:paraId="769BE003" w14:textId="77777777">
      <w:r w:rsidRPr="00200A4A">
        <w:t>Het leven van nabestaanden is blijvend veranderd door het leed dat hen is aangedaan. Tegelijkertijd is het van belang dat veroordeelden, nadat zij hun straf hebben uitgezeten en/of zijn behandeld, kunnen terugkeren in de samenleving en aan het werk gaan als dit op een veilige manier kan.</w:t>
      </w:r>
    </w:p>
    <w:p w:rsidRPr="00200A4A" w:rsidR="00E70029" w:rsidP="00E70029" w:rsidRDefault="00E70029" w14:paraId="54EDC129" w14:textId="77777777"/>
    <w:p w:rsidRPr="00200A4A" w:rsidR="00E70029" w:rsidP="00E70029" w:rsidRDefault="00E70029" w14:paraId="4018154A" w14:textId="77777777">
      <w:r w:rsidRPr="00200A4A">
        <w:t xml:space="preserve">Vanwege de bescherming van de persoonlijke levenssfeer van betrokkenen kan ik niet ingaan op individuele casussen. In het algemeen kan ik aangeven dat bij iedere </w:t>
      </w:r>
      <w:r w:rsidRPr="00200A4A">
        <w:lastRenderedPageBreak/>
        <w:t>VOG-beoordeling een belangenafweging plaatsvindt. Met de VOG komen meerdere belangrijke maatschappelijke doelen samen:</w:t>
      </w:r>
      <w:r w:rsidRPr="00200A4A">
        <w:rPr>
          <w:rStyle w:val="Voetnootmarkering"/>
        </w:rPr>
        <w:footnoteReference w:id="1"/>
      </w:r>
      <w:r w:rsidRPr="00200A4A">
        <w:t xml:space="preserve"> </w:t>
      </w:r>
    </w:p>
    <w:p w:rsidRPr="00200A4A" w:rsidR="00E70029" w:rsidP="00E70029" w:rsidRDefault="00E70029" w14:paraId="76F59816" w14:textId="77777777">
      <w:pPr>
        <w:pStyle w:val="Lijstalinea"/>
        <w:numPr>
          <w:ilvl w:val="0"/>
          <w:numId w:val="1"/>
        </w:numPr>
        <w:autoSpaceDN w:val="0"/>
        <w:spacing w:after="0" w:line="240" w:lineRule="atLeast"/>
        <w:textAlignment w:val="baseline"/>
      </w:pPr>
      <w:r w:rsidRPr="00200A4A">
        <w:t xml:space="preserve">De samenleving wordt beschermd tegen strafbaar handelen in de rol waarvoor de VOG wordt aangevraagd. </w:t>
      </w:r>
    </w:p>
    <w:p w:rsidRPr="00200A4A" w:rsidR="00E70029" w:rsidP="00E70029" w:rsidRDefault="00E70029" w14:paraId="46D88CE3" w14:textId="77777777">
      <w:pPr>
        <w:pStyle w:val="Lijstalinea"/>
        <w:numPr>
          <w:ilvl w:val="0"/>
          <w:numId w:val="1"/>
        </w:numPr>
        <w:autoSpaceDN w:val="0"/>
        <w:spacing w:after="0" w:line="240" w:lineRule="atLeast"/>
        <w:textAlignment w:val="baseline"/>
      </w:pPr>
      <w:r w:rsidRPr="00200A4A">
        <w:t xml:space="preserve">De veroordeelde kan na gestraft te zijn weer deelnemen aan de maatschappij – waar dit passend wordt geacht. </w:t>
      </w:r>
    </w:p>
    <w:p w:rsidRPr="00200A4A" w:rsidR="00E70029" w:rsidP="00E70029" w:rsidRDefault="00E70029" w14:paraId="7CA1B4E8" w14:textId="77777777">
      <w:pPr>
        <w:pStyle w:val="Lijstalinea"/>
        <w:numPr>
          <w:ilvl w:val="0"/>
          <w:numId w:val="1"/>
        </w:numPr>
        <w:autoSpaceDN w:val="0"/>
        <w:spacing w:after="0" w:line="240" w:lineRule="atLeast"/>
        <w:textAlignment w:val="baseline"/>
      </w:pPr>
      <w:r w:rsidRPr="00200A4A">
        <w:t>De inbreuk op de persoonlijke levenssfeer van de aanvrager wordt zoveel als mogelijk beperkt.</w:t>
      </w:r>
    </w:p>
    <w:p w:rsidRPr="00200A4A" w:rsidR="00E70029" w:rsidP="00E70029" w:rsidRDefault="00E70029" w14:paraId="62A61D51" w14:textId="77777777"/>
    <w:p w:rsidRPr="00200A4A" w:rsidR="00E70029" w:rsidP="00E70029" w:rsidRDefault="00E70029" w14:paraId="19BFA224" w14:textId="77777777">
      <w:bookmarkStart w:name="_Hlk205453059" w:id="0"/>
      <w:r w:rsidRPr="00200A4A">
        <w:t xml:space="preserve">Aan ernstige geweldsdelicten kent Justis veel gewicht toe vanuit het belang van de bescherming van de maatschappij tegen de risico’s die uitgaan van een dergelijk delictverleden. Bij elke VOG-aanvraag waarbij justitiële gegevens aanwezig zijn beoordeelt de screeningsautoriteit Justis de relatie tussen dat justitieel gegeven en de functie die de aanvrager gaat vervullen. Die relatie bepaalt of dat gegeven, gelet op het risico voor de samenleving, een belemmering vormt voor een behoorlijke uitoefening van de functie. </w:t>
      </w:r>
      <w:bookmarkStart w:name="_Hlk208851675" w:id="1"/>
      <w:r w:rsidRPr="00200A4A">
        <w:t xml:space="preserve">Vervolgens worden ook de omstandigheden van het geval betrokken in de beoordeling. De VOG blijft een afweging tussen de verschillende maatschappelijke doelen die het instrument nastreeft. </w:t>
      </w:r>
      <w:bookmarkEnd w:id="0"/>
      <w:bookmarkEnd w:id="1"/>
    </w:p>
    <w:p w:rsidRPr="00200A4A" w:rsidR="00E70029" w:rsidP="00E70029" w:rsidRDefault="00E70029" w14:paraId="67BC0043" w14:textId="77777777"/>
    <w:p w:rsidRPr="00200A4A" w:rsidR="00E70029" w:rsidP="00E70029" w:rsidRDefault="00E70029" w14:paraId="32630B98" w14:textId="77777777">
      <w:pPr>
        <w:rPr>
          <w:b/>
          <w:bCs/>
        </w:rPr>
      </w:pPr>
      <w:r w:rsidRPr="00200A4A">
        <w:rPr>
          <w:b/>
          <w:bCs/>
        </w:rPr>
        <w:t>Vraag 4</w:t>
      </w:r>
    </w:p>
    <w:p w:rsidRPr="00200A4A" w:rsidR="00E70029" w:rsidP="00E70029" w:rsidRDefault="00E70029" w14:paraId="1CC0865C" w14:textId="77777777">
      <w:pPr>
        <w:rPr>
          <w:b/>
          <w:bCs/>
        </w:rPr>
      </w:pPr>
      <w:r w:rsidRPr="00200A4A">
        <w:rPr>
          <w:b/>
          <w:bCs/>
        </w:rPr>
        <w:t>Acht u het verantwoord dat personen met een dergelijk verleden werkzaam zijn binnen instellingen voor geestelijke gezondheidszorg waar zij in contact komen met kwetsbare cliënten?</w:t>
      </w:r>
      <w:r w:rsidRPr="00200A4A">
        <w:rPr>
          <w:b/>
          <w:bCs/>
        </w:rPr>
        <w:br/>
      </w:r>
    </w:p>
    <w:p w:rsidRPr="00200A4A" w:rsidR="00E70029" w:rsidP="00E70029" w:rsidRDefault="00E70029" w14:paraId="20EF3D7B" w14:textId="77777777">
      <w:r w:rsidRPr="00200A4A">
        <w:rPr>
          <w:b/>
          <w:bCs/>
        </w:rPr>
        <w:t>Antwoord op vraag 4</w:t>
      </w:r>
    </w:p>
    <w:p w:rsidRPr="00200A4A" w:rsidR="00E70029" w:rsidP="00E70029" w:rsidRDefault="00E70029" w14:paraId="15166B28" w14:textId="77777777">
      <w:r w:rsidRPr="00200A4A">
        <w:t>De inzet van ervaringsdeskundigen binnen zorginstellingen kan verantwoord zijn en passen binnen een professioneel zorgkader. Voorwaarde daarbij is dat aan de eisen van een veilig behandelklimaat wordt voldaan.</w:t>
      </w:r>
    </w:p>
    <w:p w:rsidRPr="00200A4A" w:rsidR="00E70029" w:rsidP="00E70029" w:rsidRDefault="00E70029" w14:paraId="18199E59" w14:textId="77777777"/>
    <w:p w:rsidRPr="00200A4A" w:rsidR="00E70029" w:rsidP="00E70029" w:rsidRDefault="00E70029" w14:paraId="29DC7461" w14:textId="77777777">
      <w:r w:rsidRPr="00200A4A">
        <w:t xml:space="preserve">Om in een zorginstelling te kunnen werken dient eenieder conform de richtlijnen in ieder geval in het bezit van een Verklaring Omtrent het Gedrag (VOG) te zijn. Daarbij komt dat screening onderdeel is van een breder integriteitsbeleid. </w:t>
      </w:r>
    </w:p>
    <w:p w:rsidRPr="00200A4A" w:rsidR="00E70029" w:rsidP="00E70029" w:rsidRDefault="00E70029" w14:paraId="096981FC" w14:textId="77777777">
      <w:r w:rsidRPr="00200A4A">
        <w:t xml:space="preserve">Zowel in de geestelijke gezondheidszorg als in de forensische zorg wordt het belang van de inzet van ervaringsdeskundigen onderschreven door veldpartijen en de </w:t>
      </w:r>
      <w:r w:rsidRPr="00200A4A">
        <w:lastRenderedPageBreak/>
        <w:t>verantwoordelijke ministeries. Ervaringsdeskundigen in de forensische zorg zijn daartoe opgeleide personen met een verleden van delictgedrag samenhangend met een stoornis of een ander relevant herstelverhaal. Ervaringsdeskundigen kunnen een brugfunctie vervullen tussen patiënten of cliënten en professionals en zij kunnen daarin beide perspectieven belichten vanuit hun ervaring en opleiding. Voor de forensische zorg geldt dat de inzet van ervaringsdeskundigen is opgenomen in het Kwaliteitskader forensische zorg 2022–2028.</w:t>
      </w:r>
      <w:r w:rsidRPr="00200A4A">
        <w:rPr>
          <w:rStyle w:val="Voetnootmarkering"/>
        </w:rPr>
        <w:footnoteReference w:id="2"/>
      </w:r>
      <w:r w:rsidRPr="00200A4A">
        <w:t xml:space="preserve"> </w:t>
      </w:r>
    </w:p>
    <w:p w:rsidRPr="00200A4A" w:rsidR="00E70029" w:rsidP="00E70029" w:rsidRDefault="00E70029" w14:paraId="2FAC64BC" w14:textId="77777777"/>
    <w:p w:rsidRPr="00200A4A" w:rsidR="00E70029" w:rsidP="00E70029" w:rsidRDefault="00E70029" w14:paraId="03A13F04" w14:textId="77777777"/>
    <w:p w:rsidRPr="00200A4A" w:rsidR="00E70029" w:rsidP="00E70029" w:rsidRDefault="00E70029" w14:paraId="5BFB3134" w14:textId="77777777">
      <w:pPr>
        <w:rPr>
          <w:b/>
          <w:bCs/>
        </w:rPr>
      </w:pPr>
      <w:r w:rsidRPr="00200A4A">
        <w:rPr>
          <w:b/>
          <w:bCs/>
        </w:rPr>
        <w:t>Vraag 5</w:t>
      </w:r>
    </w:p>
    <w:p w:rsidRPr="00200A4A" w:rsidR="00E70029" w:rsidP="00E70029" w:rsidRDefault="00E70029" w14:paraId="4E9B6CEF" w14:textId="77777777">
      <w:pPr>
        <w:rPr>
          <w:b/>
          <w:bCs/>
        </w:rPr>
      </w:pPr>
      <w:r w:rsidRPr="00200A4A">
        <w:rPr>
          <w:b/>
          <w:bCs/>
        </w:rPr>
        <w:t>Klopt het dat in een vergelijkbare zaak, waarbij een ex-tbs’er met een levensdelict werkzaam wilde zijn als ervaringsdeskundige in een tbs-kliniek en in een adviesraad, in 2022 geen VOG werd afgegeven?</w:t>
      </w:r>
      <w:r w:rsidRPr="00200A4A">
        <w:rPr>
          <w:b/>
          <w:bCs/>
        </w:rPr>
        <w:br/>
      </w:r>
    </w:p>
    <w:p w:rsidRPr="00200A4A" w:rsidR="00E70029" w:rsidP="00E70029" w:rsidRDefault="00E70029" w14:paraId="3BAEECE2" w14:textId="77777777">
      <w:pPr>
        <w:rPr>
          <w:b/>
          <w:bCs/>
        </w:rPr>
      </w:pPr>
      <w:r w:rsidRPr="00200A4A">
        <w:rPr>
          <w:b/>
          <w:bCs/>
        </w:rPr>
        <w:t>Vraag 6</w:t>
      </w:r>
    </w:p>
    <w:p w:rsidRPr="00200A4A" w:rsidR="00E70029" w:rsidP="00E70029" w:rsidRDefault="00E70029" w14:paraId="40C26EB2" w14:textId="77777777">
      <w:pPr>
        <w:rPr>
          <w:b/>
          <w:bCs/>
        </w:rPr>
      </w:pPr>
      <w:r w:rsidRPr="00200A4A">
        <w:rPr>
          <w:b/>
          <w:bCs/>
        </w:rPr>
        <w:t>Hoe verklaart u het verschil tussen deze casus en de situatie bij GGNet, waarin een soortgelijk delict wel leidde tot het verkrijgen van een VOG?</w:t>
      </w:r>
    </w:p>
    <w:p w:rsidRPr="00200A4A" w:rsidR="00E70029" w:rsidP="00E70029" w:rsidRDefault="00E70029" w14:paraId="7E1D7F46" w14:textId="77777777"/>
    <w:p w:rsidRPr="00200A4A" w:rsidR="00E70029" w:rsidP="00E70029" w:rsidRDefault="00E70029" w14:paraId="4CA88DC0" w14:textId="77777777">
      <w:pPr>
        <w:rPr>
          <w:b/>
          <w:bCs/>
        </w:rPr>
      </w:pPr>
      <w:r w:rsidRPr="00200A4A">
        <w:rPr>
          <w:b/>
          <w:bCs/>
        </w:rPr>
        <w:t>Antwoord op vragen 5 en 6</w:t>
      </w:r>
    </w:p>
    <w:p w:rsidRPr="00200A4A" w:rsidR="00E70029" w:rsidP="00E70029" w:rsidRDefault="00E70029" w14:paraId="7952D92F" w14:textId="77777777">
      <w:r w:rsidRPr="00200A4A">
        <w:t xml:space="preserve">Het klopt dat in een andere zaak geen VOG is afgegeven. Vanwege de bescherming van de persoonlijke levenssfeer van betrokkenen kan ik niet ingaan op  de beoordeling in individuele casussen. De beoordeling van VOG-aanvragen wordt altijd gedaan op basis van de omstandigheden van het geval, zoals de afdoening van de strafzaak, het tijdsverloop en de hoeveelheid antecedenten. </w:t>
      </w:r>
    </w:p>
    <w:p w:rsidRPr="00200A4A" w:rsidR="00E70029" w:rsidP="00E70029" w:rsidRDefault="00E70029" w14:paraId="7A62E97D" w14:textId="77777777"/>
    <w:p w:rsidRPr="00200A4A" w:rsidR="00E70029" w:rsidP="00E70029" w:rsidRDefault="00E70029" w14:paraId="3FA465B5" w14:textId="77777777">
      <w:pPr>
        <w:rPr>
          <w:b/>
          <w:bCs/>
        </w:rPr>
      </w:pPr>
      <w:r w:rsidRPr="00200A4A">
        <w:rPr>
          <w:b/>
          <w:bCs/>
        </w:rPr>
        <w:t>Vraag 7</w:t>
      </w:r>
    </w:p>
    <w:p w:rsidRPr="00200A4A" w:rsidR="00E70029" w:rsidP="00E70029" w:rsidRDefault="00E70029" w14:paraId="20DEAFFD" w14:textId="77777777">
      <w:pPr>
        <w:rPr>
          <w:b/>
          <w:bCs/>
        </w:rPr>
      </w:pPr>
      <w:r w:rsidRPr="00200A4A">
        <w:rPr>
          <w:b/>
          <w:bCs/>
        </w:rPr>
        <w:t>Deelt u de mening dat mensen met een dergelijk strafverleden nooit met kwetsbare personen mogen werken? Zo nee, waarom niet? Zo ja, welke maatregelen bent u bereid om te nemen?</w:t>
      </w:r>
      <w:r w:rsidRPr="00200A4A">
        <w:rPr>
          <w:b/>
          <w:bCs/>
        </w:rPr>
        <w:br/>
      </w:r>
    </w:p>
    <w:p w:rsidRPr="00200A4A" w:rsidR="00E70029" w:rsidP="00E70029" w:rsidRDefault="00E70029" w14:paraId="1A125195" w14:textId="77777777">
      <w:r w:rsidRPr="00200A4A">
        <w:rPr>
          <w:b/>
          <w:bCs/>
        </w:rPr>
        <w:t>Antwoord op vraag 7</w:t>
      </w:r>
    </w:p>
    <w:p w:rsidR="00E70029" w:rsidP="00E70029" w:rsidRDefault="00E70029" w14:paraId="4BD07E58" w14:textId="77777777">
      <w:bookmarkStart w:name="_Hlk207705165" w:id="2"/>
      <w:r w:rsidRPr="00200A4A">
        <w:lastRenderedPageBreak/>
        <w:t>Het is van belang dat veroordeelden, nadat zij hun straf hebben uitgezeten en/of zijn behandeld, kunnen terugkeren in de samenleving en aan het werk gaan als dit op een veilige manier kan. Daarom wordt met de VOG beoordeeld wat het risico is van recidive in de betreffende functie. Daarbij worden bij VOG-aanvragen voor functies waarin in een omgeving met kwetsbaren wordt gewerkt, relevante delicten zwaarder meegewogen. Justis dient daarbij altijd te bezien of een weigering proportioneel en evenredig is.</w:t>
      </w:r>
      <w:r>
        <w:t xml:space="preserve"> </w:t>
      </w:r>
      <w:bookmarkEnd w:id="2"/>
    </w:p>
    <w:p w:rsidR="00411FCE" w:rsidRDefault="00411FCE" w14:paraId="188BDF2C" w14:textId="77777777"/>
    <w:sectPr w:rsidR="00411FCE" w:rsidSect="00E7002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C2DB" w14:textId="77777777" w:rsidR="00E70029" w:rsidRDefault="00E70029" w:rsidP="00E70029">
      <w:pPr>
        <w:spacing w:after="0" w:line="240" w:lineRule="auto"/>
      </w:pPr>
      <w:r>
        <w:separator/>
      </w:r>
    </w:p>
  </w:endnote>
  <w:endnote w:type="continuationSeparator" w:id="0">
    <w:p w14:paraId="295038D9" w14:textId="77777777" w:rsidR="00E70029" w:rsidRDefault="00E70029" w:rsidP="00E7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578B" w14:textId="77777777" w:rsidR="00E70029" w:rsidRPr="00E70029" w:rsidRDefault="00E70029" w:rsidP="00E700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C4F7" w14:textId="77777777" w:rsidR="00E70029" w:rsidRPr="00E70029" w:rsidRDefault="00E70029" w:rsidP="00E700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0D6" w14:textId="77777777" w:rsidR="00E70029" w:rsidRPr="00E70029" w:rsidRDefault="00E70029" w:rsidP="00E700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6DB9" w14:textId="77777777" w:rsidR="00E70029" w:rsidRDefault="00E70029" w:rsidP="00E70029">
      <w:pPr>
        <w:spacing w:after="0" w:line="240" w:lineRule="auto"/>
      </w:pPr>
      <w:r>
        <w:separator/>
      </w:r>
    </w:p>
  </w:footnote>
  <w:footnote w:type="continuationSeparator" w:id="0">
    <w:p w14:paraId="57E93BA8" w14:textId="77777777" w:rsidR="00E70029" w:rsidRDefault="00E70029" w:rsidP="00E70029">
      <w:pPr>
        <w:spacing w:after="0" w:line="240" w:lineRule="auto"/>
      </w:pPr>
      <w:r>
        <w:continuationSeparator/>
      </w:r>
    </w:p>
  </w:footnote>
  <w:footnote w:id="1">
    <w:p w14:paraId="71B5E9B2" w14:textId="77777777" w:rsidR="00E70029" w:rsidRPr="00F4129F" w:rsidRDefault="00E70029" w:rsidP="00E70029">
      <w:pPr>
        <w:pStyle w:val="Voetnoottekst"/>
        <w:rPr>
          <w:sz w:val="16"/>
          <w:szCs w:val="16"/>
        </w:rPr>
      </w:pPr>
      <w:r w:rsidRPr="00F4129F">
        <w:rPr>
          <w:rStyle w:val="Voetnootmarkering"/>
          <w:sz w:val="16"/>
          <w:szCs w:val="16"/>
        </w:rPr>
        <w:footnoteRef/>
      </w:r>
      <w:r w:rsidRPr="00F4129F">
        <w:rPr>
          <w:sz w:val="16"/>
          <w:szCs w:val="16"/>
        </w:rPr>
        <w:t xml:space="preserve"> Kamerstukken </w:t>
      </w:r>
      <w:r>
        <w:rPr>
          <w:sz w:val="16"/>
          <w:szCs w:val="16"/>
        </w:rPr>
        <w:t>II</w:t>
      </w:r>
      <w:r w:rsidRPr="00F4129F">
        <w:rPr>
          <w:sz w:val="16"/>
          <w:szCs w:val="16"/>
        </w:rPr>
        <w:t xml:space="preserve"> 2024/25, 36</w:t>
      </w:r>
      <w:r>
        <w:rPr>
          <w:sz w:val="16"/>
          <w:szCs w:val="16"/>
        </w:rPr>
        <w:t xml:space="preserve"> </w:t>
      </w:r>
      <w:r w:rsidRPr="00F4129F">
        <w:rPr>
          <w:sz w:val="16"/>
          <w:szCs w:val="16"/>
        </w:rPr>
        <w:t>600</w:t>
      </w:r>
      <w:r>
        <w:rPr>
          <w:sz w:val="16"/>
          <w:szCs w:val="16"/>
        </w:rPr>
        <w:t xml:space="preserve"> VI</w:t>
      </w:r>
      <w:r w:rsidRPr="00F4129F">
        <w:rPr>
          <w:sz w:val="16"/>
          <w:szCs w:val="16"/>
        </w:rPr>
        <w:t>, nr. 160</w:t>
      </w:r>
      <w:r>
        <w:rPr>
          <w:sz w:val="16"/>
          <w:szCs w:val="16"/>
        </w:rPr>
        <w:t>, p. 10</w:t>
      </w:r>
      <w:r w:rsidRPr="00F4129F">
        <w:rPr>
          <w:sz w:val="16"/>
          <w:szCs w:val="16"/>
        </w:rPr>
        <w:t xml:space="preserve">. </w:t>
      </w:r>
    </w:p>
  </w:footnote>
  <w:footnote w:id="2">
    <w:p w14:paraId="6AD3414E" w14:textId="77777777" w:rsidR="00E70029" w:rsidRPr="001E48C9" w:rsidRDefault="00E70029" w:rsidP="00E70029">
      <w:pPr>
        <w:pStyle w:val="Voetnoottekst"/>
        <w:rPr>
          <w:sz w:val="16"/>
          <w:szCs w:val="16"/>
        </w:rPr>
      </w:pPr>
      <w:r w:rsidRPr="001E48C9">
        <w:rPr>
          <w:rStyle w:val="Voetnootmarkering"/>
          <w:sz w:val="16"/>
          <w:szCs w:val="16"/>
        </w:rPr>
        <w:footnoteRef/>
      </w:r>
      <w:r w:rsidRPr="001E48C9">
        <w:rPr>
          <w:sz w:val="16"/>
          <w:szCs w:val="16"/>
        </w:rPr>
        <w:t xml:space="preserve"> </w:t>
      </w:r>
      <w:hyperlink r:id="rId1" w:history="1">
        <w:r w:rsidRPr="001E48C9">
          <w:rPr>
            <w:rStyle w:val="Hyperlink"/>
            <w:sz w:val="16"/>
            <w:szCs w:val="16"/>
          </w:rPr>
          <w:t>Kwaliteitskader Forensische Zorg 2022-2028 | Publicatie | Forensische zorg</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6433" w14:textId="77777777" w:rsidR="00E70029" w:rsidRPr="00E70029" w:rsidRDefault="00E70029" w:rsidP="00E700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A4C6" w14:textId="77777777" w:rsidR="00E70029" w:rsidRPr="00E70029" w:rsidRDefault="00E70029" w:rsidP="00E700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972D" w14:textId="77777777" w:rsidR="00E70029" w:rsidRPr="00E70029" w:rsidRDefault="00E70029" w:rsidP="00E700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F14"/>
    <w:multiLevelType w:val="hybridMultilevel"/>
    <w:tmpl w:val="D9DC5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61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29"/>
    <w:rsid w:val="00411FCE"/>
    <w:rsid w:val="007E372A"/>
    <w:rsid w:val="00E70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F21D"/>
  <w15:chartTrackingRefBased/>
  <w15:docId w15:val="{B75B2A5B-6B68-4024-8EFF-6B7E2AB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0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0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00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00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00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00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00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00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00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00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00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00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00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00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00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00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00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0029"/>
    <w:rPr>
      <w:rFonts w:eastAsiaTheme="majorEastAsia" w:cstheme="majorBidi"/>
      <w:color w:val="272727" w:themeColor="text1" w:themeTint="D8"/>
    </w:rPr>
  </w:style>
  <w:style w:type="paragraph" w:styleId="Titel">
    <w:name w:val="Title"/>
    <w:basedOn w:val="Standaard"/>
    <w:next w:val="Standaard"/>
    <w:link w:val="TitelChar"/>
    <w:uiPriority w:val="10"/>
    <w:qFormat/>
    <w:rsid w:val="00E70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00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00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00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00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0029"/>
    <w:rPr>
      <w:i/>
      <w:iCs/>
      <w:color w:val="404040" w:themeColor="text1" w:themeTint="BF"/>
    </w:rPr>
  </w:style>
  <w:style w:type="paragraph" w:styleId="Lijstalinea">
    <w:name w:val="List Paragraph"/>
    <w:basedOn w:val="Standaard"/>
    <w:uiPriority w:val="34"/>
    <w:qFormat/>
    <w:rsid w:val="00E70029"/>
    <w:pPr>
      <w:ind w:left="720"/>
      <w:contextualSpacing/>
    </w:pPr>
  </w:style>
  <w:style w:type="character" w:styleId="Intensievebenadrukking">
    <w:name w:val="Intense Emphasis"/>
    <w:basedOn w:val="Standaardalinea-lettertype"/>
    <w:uiPriority w:val="21"/>
    <w:qFormat/>
    <w:rsid w:val="00E70029"/>
    <w:rPr>
      <w:i/>
      <w:iCs/>
      <w:color w:val="2F5496" w:themeColor="accent1" w:themeShade="BF"/>
    </w:rPr>
  </w:style>
  <w:style w:type="paragraph" w:styleId="Duidelijkcitaat">
    <w:name w:val="Intense Quote"/>
    <w:basedOn w:val="Standaard"/>
    <w:next w:val="Standaard"/>
    <w:link w:val="DuidelijkcitaatChar"/>
    <w:uiPriority w:val="30"/>
    <w:qFormat/>
    <w:rsid w:val="00E70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0029"/>
    <w:rPr>
      <w:i/>
      <w:iCs/>
      <w:color w:val="2F5496" w:themeColor="accent1" w:themeShade="BF"/>
    </w:rPr>
  </w:style>
  <w:style w:type="character" w:styleId="Intensieveverwijzing">
    <w:name w:val="Intense Reference"/>
    <w:basedOn w:val="Standaardalinea-lettertype"/>
    <w:uiPriority w:val="32"/>
    <w:qFormat/>
    <w:rsid w:val="00E70029"/>
    <w:rPr>
      <w:b/>
      <w:bCs/>
      <w:smallCaps/>
      <w:color w:val="2F5496" w:themeColor="accent1" w:themeShade="BF"/>
      <w:spacing w:val="5"/>
    </w:rPr>
  </w:style>
  <w:style w:type="character" w:styleId="Hyperlink">
    <w:name w:val="Hyperlink"/>
    <w:basedOn w:val="Standaardalinea-lettertype"/>
    <w:uiPriority w:val="99"/>
    <w:unhideWhenUsed/>
    <w:rsid w:val="00E70029"/>
    <w:rPr>
      <w:color w:val="0563C1" w:themeColor="hyperlink"/>
      <w:u w:val="single"/>
    </w:rPr>
  </w:style>
  <w:style w:type="paragraph" w:styleId="Voetnoottekst">
    <w:name w:val="footnote text"/>
    <w:basedOn w:val="Standaard"/>
    <w:link w:val="VoetnoottekstChar"/>
    <w:uiPriority w:val="99"/>
    <w:semiHidden/>
    <w:unhideWhenUsed/>
    <w:rsid w:val="00E700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00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0029"/>
    <w:rPr>
      <w:vertAlign w:val="superscript"/>
    </w:rPr>
  </w:style>
  <w:style w:type="paragraph" w:styleId="Koptekst">
    <w:name w:val="header"/>
    <w:basedOn w:val="Standaard"/>
    <w:link w:val="KoptekstChar"/>
    <w:uiPriority w:val="99"/>
    <w:unhideWhenUsed/>
    <w:rsid w:val="00E700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029"/>
  </w:style>
  <w:style w:type="paragraph" w:styleId="Voettekst">
    <w:name w:val="footer"/>
    <w:basedOn w:val="Standaard"/>
    <w:link w:val="VoettekstChar"/>
    <w:uiPriority w:val="99"/>
    <w:unhideWhenUsed/>
    <w:rsid w:val="00E700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orensischezorg.nl/documenten/publicaties/2022/10/01/kwaliteitskader-forensisch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791</ap:Words>
  <ap:Characters>4354</ap:Characters>
  <ap:DocSecurity>0</ap:DocSecurity>
  <ap:Lines>36</ap:Lines>
  <ap:Paragraphs>10</ap:Paragraphs>
  <ap:ScaleCrop>false</ap:ScaleCrop>
  <ap:LinksUpToDate>false</ap:LinksUpToDate>
  <ap:CharactersWithSpaces>5135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2025-09-23T20:16:00.0000000Z</dcterms:created>
  <dcterms:modified xsi:type="dcterms:W3CDTF">2025-09-23T20:17:00.0000000Z</dcterms:modified>
  <version/>
  <category/>
</coreProperties>
</file>