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C31808C" w14:textId="77777777">
        <w:tc>
          <w:tcPr>
            <w:tcW w:w="6379" w:type="dxa"/>
            <w:gridSpan w:val="2"/>
            <w:tcBorders>
              <w:top w:val="nil"/>
              <w:left w:val="nil"/>
              <w:bottom w:val="nil"/>
              <w:right w:val="nil"/>
            </w:tcBorders>
            <w:vAlign w:val="center"/>
          </w:tcPr>
          <w:p w:rsidR="004330ED" w:rsidP="00EA1CE4" w:rsidRDefault="004330ED" w14:paraId="2525F13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BA4CBF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96F9266" w14:textId="77777777">
        <w:trPr>
          <w:cantSplit/>
        </w:trPr>
        <w:tc>
          <w:tcPr>
            <w:tcW w:w="10348" w:type="dxa"/>
            <w:gridSpan w:val="3"/>
            <w:tcBorders>
              <w:top w:val="single" w:color="auto" w:sz="4" w:space="0"/>
              <w:left w:val="nil"/>
              <w:bottom w:val="nil"/>
              <w:right w:val="nil"/>
            </w:tcBorders>
          </w:tcPr>
          <w:p w:rsidR="004330ED" w:rsidP="004A1E29" w:rsidRDefault="004330ED" w14:paraId="521D4F14" w14:textId="29B1AD90">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CE1E2D">
              <w:rPr>
                <w:rFonts w:ascii="Times New Roman" w:hAnsi="Times New Roman"/>
                <w:b w:val="0"/>
              </w:rPr>
              <w:t>5</w:t>
            </w:r>
            <w:r w:rsidRPr="00E908D7" w:rsidR="00E908D7">
              <w:rPr>
                <w:rFonts w:ascii="Times New Roman" w:hAnsi="Times New Roman"/>
                <w:b w:val="0"/>
              </w:rPr>
              <w:t>-202</w:t>
            </w:r>
            <w:r w:rsidR="00CE1E2D">
              <w:rPr>
                <w:rFonts w:ascii="Times New Roman" w:hAnsi="Times New Roman"/>
                <w:b w:val="0"/>
              </w:rPr>
              <w:t>6</w:t>
            </w:r>
          </w:p>
        </w:tc>
      </w:tr>
      <w:tr w:rsidR="004330ED" w:rsidTr="00EA1CE4" w14:paraId="17193BE4" w14:textId="77777777">
        <w:trPr>
          <w:cantSplit/>
        </w:trPr>
        <w:tc>
          <w:tcPr>
            <w:tcW w:w="10348" w:type="dxa"/>
            <w:gridSpan w:val="3"/>
            <w:tcBorders>
              <w:top w:val="nil"/>
              <w:left w:val="nil"/>
              <w:bottom w:val="nil"/>
              <w:right w:val="nil"/>
            </w:tcBorders>
          </w:tcPr>
          <w:p w:rsidR="004330ED" w:rsidP="00BF623B" w:rsidRDefault="004330ED" w14:paraId="58502E9E" w14:textId="77777777">
            <w:pPr>
              <w:pStyle w:val="Amendement"/>
              <w:tabs>
                <w:tab w:val="clear" w:pos="3310"/>
                <w:tab w:val="clear" w:pos="3600"/>
              </w:tabs>
              <w:rPr>
                <w:rFonts w:ascii="Times New Roman" w:hAnsi="Times New Roman"/>
                <w:b w:val="0"/>
              </w:rPr>
            </w:pPr>
          </w:p>
        </w:tc>
      </w:tr>
      <w:tr w:rsidR="004330ED" w:rsidTr="00EA1CE4" w14:paraId="3B6B38BD" w14:textId="77777777">
        <w:trPr>
          <w:cantSplit/>
        </w:trPr>
        <w:tc>
          <w:tcPr>
            <w:tcW w:w="10348" w:type="dxa"/>
            <w:gridSpan w:val="3"/>
            <w:tcBorders>
              <w:top w:val="nil"/>
              <w:left w:val="nil"/>
              <w:bottom w:val="single" w:color="auto" w:sz="4" w:space="0"/>
              <w:right w:val="nil"/>
            </w:tcBorders>
          </w:tcPr>
          <w:p w:rsidR="004330ED" w:rsidP="00BF623B" w:rsidRDefault="004330ED" w14:paraId="3E1B6129" w14:textId="77777777">
            <w:pPr>
              <w:pStyle w:val="Amendement"/>
              <w:tabs>
                <w:tab w:val="clear" w:pos="3310"/>
                <w:tab w:val="clear" w:pos="3600"/>
              </w:tabs>
              <w:rPr>
                <w:rFonts w:ascii="Times New Roman" w:hAnsi="Times New Roman"/>
              </w:rPr>
            </w:pPr>
          </w:p>
        </w:tc>
      </w:tr>
      <w:tr w:rsidR="004330ED" w:rsidTr="00EA1CE4" w14:paraId="4DF7BE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B6C722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A63B3DC" w14:textId="77777777">
            <w:pPr>
              <w:suppressAutoHyphens/>
              <w:ind w:left="-70"/>
              <w:rPr>
                <w:b/>
              </w:rPr>
            </w:pPr>
          </w:p>
        </w:tc>
      </w:tr>
      <w:tr w:rsidR="003C21AC" w:rsidTr="00EA1CE4" w14:paraId="374297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552F6" w14:paraId="3447106C" w14:textId="4C06EF30">
            <w:pPr>
              <w:pStyle w:val="Amendement"/>
              <w:tabs>
                <w:tab w:val="clear" w:pos="3310"/>
                <w:tab w:val="clear" w:pos="3600"/>
              </w:tabs>
              <w:rPr>
                <w:rFonts w:ascii="Times New Roman" w:hAnsi="Times New Roman"/>
              </w:rPr>
            </w:pPr>
            <w:r>
              <w:rPr>
                <w:rFonts w:ascii="Times New Roman" w:hAnsi="Times New Roman"/>
              </w:rPr>
              <w:t>36 463</w:t>
            </w:r>
          </w:p>
        </w:tc>
        <w:tc>
          <w:tcPr>
            <w:tcW w:w="7371" w:type="dxa"/>
            <w:gridSpan w:val="2"/>
          </w:tcPr>
          <w:p w:rsidRPr="001552F6" w:rsidR="003C21AC" w:rsidP="001552F6" w:rsidRDefault="001552F6" w14:paraId="254DDDCC" w14:textId="33DE1DAA">
            <w:pPr>
              <w:rPr>
                <w:b/>
                <w:bCs/>
                <w:szCs w:val="24"/>
              </w:rPr>
            </w:pPr>
            <w:r w:rsidRPr="001552F6">
              <w:rPr>
                <w:b/>
                <w:bCs/>
                <w:szCs w:val="24"/>
                <w:shd w:val="clear" w:color="auto" w:fill="FFFFFF"/>
              </w:rPr>
              <w:t>Wijziging van het Wetboek van Strafrecht en het Wetboek van Strafvordering en enige andere wetten in verband met verdere versterking van de strafrechtelijke aanpak van ondermijnende criminaliteit (versterking strafrechtelijke aanpak ondermijnende criminaliteit II)</w:t>
            </w:r>
          </w:p>
        </w:tc>
      </w:tr>
      <w:tr w:rsidR="003C21AC" w:rsidTr="00EA1CE4" w14:paraId="7CAE2C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0B812E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0BA0DC0" w14:textId="77777777">
            <w:pPr>
              <w:pStyle w:val="Amendement"/>
              <w:tabs>
                <w:tab w:val="clear" w:pos="3310"/>
                <w:tab w:val="clear" w:pos="3600"/>
              </w:tabs>
              <w:ind w:left="-70"/>
              <w:rPr>
                <w:rFonts w:ascii="Times New Roman" w:hAnsi="Times New Roman"/>
              </w:rPr>
            </w:pPr>
          </w:p>
        </w:tc>
      </w:tr>
      <w:tr w:rsidR="003C21AC" w:rsidTr="00EA1CE4" w14:paraId="7E68F3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0EC56B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5C70072" w14:textId="77777777">
            <w:pPr>
              <w:pStyle w:val="Amendement"/>
              <w:tabs>
                <w:tab w:val="clear" w:pos="3310"/>
                <w:tab w:val="clear" w:pos="3600"/>
              </w:tabs>
              <w:ind w:left="-70"/>
              <w:rPr>
                <w:rFonts w:ascii="Times New Roman" w:hAnsi="Times New Roman"/>
              </w:rPr>
            </w:pPr>
          </w:p>
        </w:tc>
      </w:tr>
      <w:tr w:rsidR="003C21AC" w:rsidTr="00EA1CE4" w14:paraId="2FEE8A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B41FBB1" w14:textId="2917ED63">
            <w:pPr>
              <w:pStyle w:val="Amendement"/>
              <w:tabs>
                <w:tab w:val="clear" w:pos="3310"/>
                <w:tab w:val="clear" w:pos="3600"/>
              </w:tabs>
              <w:rPr>
                <w:rFonts w:ascii="Times New Roman" w:hAnsi="Times New Roman"/>
              </w:rPr>
            </w:pPr>
            <w:r w:rsidRPr="00C035D4">
              <w:rPr>
                <w:rFonts w:ascii="Times New Roman" w:hAnsi="Times New Roman"/>
              </w:rPr>
              <w:t xml:space="preserve">Nr. </w:t>
            </w:r>
            <w:r w:rsidR="00BD4991">
              <w:rPr>
                <w:rFonts w:ascii="Times New Roman" w:hAnsi="Times New Roman"/>
                <w:caps/>
              </w:rPr>
              <w:t>12</w:t>
            </w:r>
          </w:p>
        </w:tc>
        <w:tc>
          <w:tcPr>
            <w:tcW w:w="7371" w:type="dxa"/>
            <w:gridSpan w:val="2"/>
          </w:tcPr>
          <w:p w:rsidRPr="00C035D4" w:rsidR="003C21AC" w:rsidP="006E0971" w:rsidRDefault="003C21AC" w14:paraId="4D617C68" w14:textId="03E2C26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1552F6">
              <w:rPr>
                <w:rFonts w:ascii="Times New Roman" w:hAnsi="Times New Roman"/>
                <w:caps/>
              </w:rPr>
              <w:t>Michon-Derkzen</w:t>
            </w:r>
          </w:p>
        </w:tc>
      </w:tr>
      <w:tr w:rsidR="003C21AC" w:rsidTr="00EA1CE4" w14:paraId="6AFF54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D341B7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30ED49E" w14:textId="0A689F9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434B5">
              <w:rPr>
                <w:rFonts w:ascii="Times New Roman" w:hAnsi="Times New Roman"/>
                <w:b w:val="0"/>
              </w:rPr>
              <w:t>23 september 2025</w:t>
            </w:r>
          </w:p>
        </w:tc>
      </w:tr>
      <w:tr w:rsidR="00B01BA6" w:rsidTr="00EA1CE4" w14:paraId="60DC21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06C5277"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6A48702" w14:textId="77777777">
            <w:pPr>
              <w:pStyle w:val="Amendement"/>
              <w:tabs>
                <w:tab w:val="clear" w:pos="3310"/>
                <w:tab w:val="clear" w:pos="3600"/>
              </w:tabs>
              <w:ind w:left="-70"/>
              <w:rPr>
                <w:rFonts w:ascii="Times New Roman" w:hAnsi="Times New Roman"/>
                <w:b w:val="0"/>
              </w:rPr>
            </w:pPr>
          </w:p>
        </w:tc>
      </w:tr>
      <w:tr w:rsidRPr="00EA69AC" w:rsidR="00B01BA6" w:rsidTr="00EA1CE4" w14:paraId="6D41EE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7F0D5AB" w14:textId="77777777">
            <w:pPr>
              <w:ind w:firstLine="284"/>
            </w:pPr>
            <w:r w:rsidRPr="00EA69AC">
              <w:t>De ondergetekende stelt het volgende amendement voor:</w:t>
            </w:r>
          </w:p>
        </w:tc>
      </w:tr>
    </w:tbl>
    <w:p w:rsidRPr="00EA69AC" w:rsidR="004330ED" w:rsidP="00D774B3" w:rsidRDefault="004330ED" w14:paraId="156DDF2E" w14:textId="77777777"/>
    <w:p w:rsidRPr="00EA69AC" w:rsidR="004330ED" w:rsidP="00EA1CE4" w:rsidRDefault="004330ED" w14:paraId="33179F16" w14:textId="77777777">
      <w:r w:rsidRPr="00EA69AC">
        <w:t>I</w:t>
      </w:r>
    </w:p>
    <w:p w:rsidRPr="00EA69AC" w:rsidR="005B1DCC" w:rsidP="00BF623B" w:rsidRDefault="005B1DCC" w14:paraId="2C3ECB63" w14:textId="77777777"/>
    <w:p w:rsidR="001552F6" w:rsidP="001552F6" w:rsidRDefault="001552F6" w14:paraId="482FBEA8" w14:textId="27B6C4B3">
      <w:pPr>
        <w:ind w:firstLine="284"/>
      </w:pPr>
      <w:r>
        <w:t>Na artikel I, onderdeel B, word</w:t>
      </w:r>
      <w:r w:rsidR="00C525DE">
        <w:t>t</w:t>
      </w:r>
      <w:r w:rsidR="00295B1F">
        <w:t xml:space="preserve"> </w:t>
      </w:r>
      <w:r w:rsidR="00C525DE">
        <w:t xml:space="preserve">een </w:t>
      </w:r>
      <w:r>
        <w:t>onderde</w:t>
      </w:r>
      <w:r w:rsidR="00C525DE">
        <w:t>el</w:t>
      </w:r>
      <w:r>
        <w:t xml:space="preserve"> ingevoegd, luidende:</w:t>
      </w:r>
    </w:p>
    <w:p w:rsidR="00295B1F" w:rsidP="00EA1CE4" w:rsidRDefault="00295B1F" w14:paraId="24729B0D" w14:textId="77777777"/>
    <w:p w:rsidR="00295B1F" w:rsidP="00EA1CE4" w:rsidRDefault="00295B1F" w14:paraId="58953928" w14:textId="7EE04BE2">
      <w:r>
        <w:t>B</w:t>
      </w:r>
      <w:r w:rsidR="00C525DE">
        <w:t>a</w:t>
      </w:r>
    </w:p>
    <w:p w:rsidR="00295B1F" w:rsidP="00EA1CE4" w:rsidRDefault="00295B1F" w14:paraId="03E8474F" w14:textId="77777777"/>
    <w:p w:rsidR="00295B1F" w:rsidP="00295B1F" w:rsidRDefault="00295B1F" w14:paraId="3939A53B" w14:textId="40555FFE">
      <w:pPr>
        <w:ind w:firstLine="284"/>
      </w:pPr>
      <w:r>
        <w:t>In artikel 132, eerste lid, wordt “</w:t>
      </w:r>
      <w:r w:rsidRPr="00295B1F">
        <w:t>vierde categorie</w:t>
      </w:r>
      <w:r>
        <w:t>” vervangen door “vijfde categorie”.</w:t>
      </w:r>
    </w:p>
    <w:p w:rsidR="00295B1F" w:rsidP="00EA1CE4" w:rsidRDefault="00295B1F" w14:paraId="1E419127" w14:textId="77777777"/>
    <w:p w:rsidR="00295B1F" w:rsidP="00EA1CE4" w:rsidRDefault="00295B1F" w14:paraId="288FEF83" w14:textId="31409612">
      <w:r>
        <w:t>II</w:t>
      </w:r>
    </w:p>
    <w:p w:rsidR="00295B1F" w:rsidP="00EA1CE4" w:rsidRDefault="00295B1F" w14:paraId="025084AC" w14:textId="77777777"/>
    <w:p w:rsidR="00DC2075" w:rsidP="00DC2075" w:rsidRDefault="00DC2075" w14:paraId="240D072B" w14:textId="278F2509">
      <w:pPr>
        <w:ind w:firstLine="284"/>
      </w:pPr>
      <w:r>
        <w:t>Na artikel I, onderdeel H, worden vijf onderdelen ingevoegd, luidende:</w:t>
      </w:r>
    </w:p>
    <w:p w:rsidR="00DC2075" w:rsidP="00EA1CE4" w:rsidRDefault="00DC2075" w14:paraId="4F7F2F95" w14:textId="22D8CF0B"/>
    <w:p w:rsidR="00DC2075" w:rsidP="00EA1CE4" w:rsidRDefault="00DC2075" w14:paraId="0DF6AB5F" w14:textId="1A979AA3">
      <w:r>
        <w:t>Ha</w:t>
      </w:r>
    </w:p>
    <w:p w:rsidR="00DC2075" w:rsidP="00EA1CE4" w:rsidRDefault="00DC2075" w14:paraId="31094059" w14:textId="77777777"/>
    <w:p w:rsidR="00DC2075" w:rsidP="00DC2075" w:rsidRDefault="00DC2075" w14:paraId="639D568C" w14:textId="260E35C4">
      <w:pPr>
        <w:ind w:firstLine="284"/>
      </w:pPr>
      <w:r>
        <w:t>In artikel 198, eerste lid, wordt “</w:t>
      </w:r>
      <w:r w:rsidRPr="00295B1F">
        <w:t>vierde categorie</w:t>
      </w:r>
      <w:r>
        <w:t>” vervangen door “vijfde categorie”.</w:t>
      </w:r>
    </w:p>
    <w:p w:rsidR="00DC2075" w:rsidP="00DC2075" w:rsidRDefault="00DC2075" w14:paraId="71415086" w14:textId="77777777"/>
    <w:p w:rsidR="00DC2075" w:rsidP="00DC2075" w:rsidRDefault="00DC2075" w14:paraId="2F52942A" w14:textId="504A5C09">
      <w:proofErr w:type="spellStart"/>
      <w:r>
        <w:t>Hb</w:t>
      </w:r>
      <w:proofErr w:type="spellEnd"/>
    </w:p>
    <w:p w:rsidR="00DC2075" w:rsidP="00EA1CE4" w:rsidRDefault="00DC2075" w14:paraId="58FA185D" w14:textId="77777777"/>
    <w:p w:rsidR="00DC2075" w:rsidP="00DC2075" w:rsidRDefault="00DC2075" w14:paraId="2224124C" w14:textId="0F875587">
      <w:pPr>
        <w:ind w:firstLine="284"/>
      </w:pPr>
      <w:r>
        <w:t>In artikel 207, eerste lid, wordt “</w:t>
      </w:r>
      <w:r w:rsidRPr="00295B1F">
        <w:t>vierde categorie</w:t>
      </w:r>
      <w:r>
        <w:t>” vervangen door “vijfde categorie”.</w:t>
      </w:r>
    </w:p>
    <w:p w:rsidR="00DC2075" w:rsidP="00EA1CE4" w:rsidRDefault="00DC2075" w14:paraId="1E46EDF8" w14:textId="77777777"/>
    <w:p w:rsidR="00DC2075" w:rsidP="00EA1CE4" w:rsidRDefault="00DC2075" w14:paraId="54AA639A" w14:textId="6D9B2C52">
      <w:r>
        <w:t>Hc</w:t>
      </w:r>
    </w:p>
    <w:p w:rsidR="00DC2075" w:rsidP="00EA1CE4" w:rsidRDefault="00DC2075" w14:paraId="1DDD9512" w14:textId="77777777"/>
    <w:p w:rsidR="00DC2075" w:rsidP="00DC2075" w:rsidRDefault="00DC2075" w14:paraId="716ADD1C" w14:textId="305CC44F">
      <w:pPr>
        <w:ind w:firstLine="284"/>
      </w:pPr>
      <w:r>
        <w:t>In artikel 272, eerste lid, wordt “</w:t>
      </w:r>
      <w:r w:rsidRPr="00295B1F">
        <w:t>vierde categorie</w:t>
      </w:r>
      <w:r>
        <w:t>” vervangen door “vijfde categorie”.</w:t>
      </w:r>
    </w:p>
    <w:p w:rsidR="00DC2075" w:rsidP="00EA1CE4" w:rsidRDefault="00DC2075" w14:paraId="1DA4C5C3" w14:textId="77777777"/>
    <w:p w:rsidR="00DC2075" w:rsidP="00EA1CE4" w:rsidRDefault="00DC2075" w14:paraId="785B12D7" w14:textId="6036493E">
      <w:proofErr w:type="spellStart"/>
      <w:r>
        <w:t>Hd</w:t>
      </w:r>
      <w:proofErr w:type="spellEnd"/>
    </w:p>
    <w:p w:rsidR="00DC2075" w:rsidP="00EA1CE4" w:rsidRDefault="00DC2075" w14:paraId="6B9055C6" w14:textId="77777777"/>
    <w:p w:rsidR="00601E04" w:rsidP="00601E04" w:rsidRDefault="00601E04" w14:paraId="3A5DD4B4" w14:textId="797CFF44">
      <w:pPr>
        <w:ind w:firstLine="284"/>
      </w:pPr>
      <w:r>
        <w:t xml:space="preserve">In artikel 285, eerste </w:t>
      </w:r>
      <w:r w:rsidR="00A30598">
        <w:t xml:space="preserve">en tweede </w:t>
      </w:r>
      <w:r>
        <w:t>lid, wordt “</w:t>
      </w:r>
      <w:r w:rsidRPr="00295B1F">
        <w:t>vierde categorie</w:t>
      </w:r>
      <w:r>
        <w:t xml:space="preserve">” </w:t>
      </w:r>
      <w:r w:rsidR="00E51F78">
        <w:t xml:space="preserve">telkens </w:t>
      </w:r>
      <w:r>
        <w:t>vervangen door “vijfde categorie”.</w:t>
      </w:r>
    </w:p>
    <w:p w:rsidR="00601E04" w:rsidP="00EA1CE4" w:rsidRDefault="00601E04" w14:paraId="6C880CBE" w14:textId="77777777"/>
    <w:p w:rsidR="00601E04" w:rsidP="00EA1CE4" w:rsidRDefault="00601E04" w14:paraId="59D650A5" w14:textId="4A5F20AA">
      <w:r>
        <w:t>He</w:t>
      </w:r>
    </w:p>
    <w:p w:rsidR="00601E04" w:rsidP="00EA1CE4" w:rsidRDefault="00601E04" w14:paraId="256A8082" w14:textId="77777777"/>
    <w:p w:rsidR="00601E04" w:rsidP="00601E04" w:rsidRDefault="00601E04" w14:paraId="2FA63B22" w14:textId="17375402">
      <w:pPr>
        <w:ind w:firstLine="284"/>
      </w:pPr>
      <w:r>
        <w:t>In artikel 285d, eerste lid, wordt “</w:t>
      </w:r>
      <w:r w:rsidRPr="00295B1F">
        <w:t>vierde categorie</w:t>
      </w:r>
      <w:r>
        <w:t>” vervangen door “vijfde categorie”.</w:t>
      </w:r>
    </w:p>
    <w:p w:rsidR="00601E04" w:rsidP="00EA1CE4" w:rsidRDefault="00601E04" w14:paraId="1B373C98" w14:textId="77777777"/>
    <w:p w:rsidR="00601E04" w:rsidP="00EA1CE4" w:rsidRDefault="00601E04" w14:paraId="24B14DC3" w14:textId="2F3262F6">
      <w:r>
        <w:t>III</w:t>
      </w:r>
    </w:p>
    <w:p w:rsidR="00601E04" w:rsidP="00EA1CE4" w:rsidRDefault="00601E04" w14:paraId="399C4DEE" w14:textId="77777777"/>
    <w:p w:rsidR="00601E04" w:rsidP="00CC3266" w:rsidRDefault="00CC3266" w14:paraId="425D8A98" w14:textId="637CDFA2">
      <w:pPr>
        <w:ind w:firstLine="284"/>
      </w:pPr>
      <w:r>
        <w:lastRenderedPageBreak/>
        <w:t>Aan artikel I</w:t>
      </w:r>
      <w:r w:rsidR="00051B6D">
        <w:t xml:space="preserve"> </w:t>
      </w:r>
      <w:r>
        <w:t>worden twee onderdelen toegevoegd, luidende:</w:t>
      </w:r>
    </w:p>
    <w:p w:rsidR="00CC3266" w:rsidP="00EA1CE4" w:rsidRDefault="00CC3266" w14:paraId="5BEA2D69" w14:textId="77777777"/>
    <w:p w:rsidR="00CC3266" w:rsidP="00EA1CE4" w:rsidRDefault="00CC3266" w14:paraId="589FF37A" w14:textId="53D88F32">
      <w:r>
        <w:t>K</w:t>
      </w:r>
    </w:p>
    <w:p w:rsidR="00CC3266" w:rsidP="00EA1CE4" w:rsidRDefault="00CC3266" w14:paraId="65D8E8FA" w14:textId="77777777"/>
    <w:p w:rsidR="00CC3266" w:rsidP="00CC3266" w:rsidRDefault="00CC3266" w14:paraId="45E3DA37" w14:textId="73ECC6DB">
      <w:pPr>
        <w:ind w:firstLine="284"/>
      </w:pPr>
      <w:r>
        <w:t>In artikel 420bis.1 wordt “</w:t>
      </w:r>
      <w:r w:rsidRPr="00295B1F">
        <w:t>vierde categorie</w:t>
      </w:r>
      <w:r>
        <w:t>” vervangen door “vijfde categorie”.</w:t>
      </w:r>
    </w:p>
    <w:p w:rsidR="00CC3266" w:rsidP="00EA1CE4" w:rsidRDefault="00CC3266" w14:paraId="06526EA0" w14:textId="77777777"/>
    <w:p w:rsidR="00CC3266" w:rsidP="00EA1CE4" w:rsidRDefault="00CC3266" w14:paraId="1EEB59E1" w14:textId="30D8C035">
      <w:r>
        <w:t>L</w:t>
      </w:r>
    </w:p>
    <w:p w:rsidR="00CC3266" w:rsidP="00EA1CE4" w:rsidRDefault="00CC3266" w14:paraId="31059920" w14:textId="77777777"/>
    <w:p w:rsidR="00CC3266" w:rsidP="00CC3266" w:rsidRDefault="00CC3266" w14:paraId="3ED03C43" w14:textId="3372E872">
      <w:pPr>
        <w:ind w:firstLine="284"/>
      </w:pPr>
      <w:r>
        <w:t>In artikel 420quater</w:t>
      </w:r>
      <w:r w:rsidR="0060204A">
        <w:t xml:space="preserve">.1 </w:t>
      </w:r>
      <w:r>
        <w:t>wordt “</w:t>
      </w:r>
      <w:r w:rsidRPr="00295B1F">
        <w:t>vierde categorie</w:t>
      </w:r>
      <w:r>
        <w:t>” vervangen door “vijfde categorie”.</w:t>
      </w:r>
    </w:p>
    <w:p w:rsidRPr="00CC3266" w:rsidR="00CC3266" w:rsidP="00EA1CE4" w:rsidRDefault="00CC3266" w14:paraId="07F314AD" w14:textId="4A737872">
      <w:r>
        <w:tab/>
      </w:r>
    </w:p>
    <w:p w:rsidRPr="00EA69AC" w:rsidR="003C21AC" w:rsidP="00EA1CE4" w:rsidRDefault="003C21AC" w14:paraId="2CB61013" w14:textId="2942EFB7">
      <w:pPr>
        <w:rPr>
          <w:b/>
        </w:rPr>
      </w:pPr>
      <w:r w:rsidRPr="00EA69AC">
        <w:rPr>
          <w:b/>
        </w:rPr>
        <w:t>Toelichting</w:t>
      </w:r>
    </w:p>
    <w:p w:rsidRPr="00EA69AC" w:rsidR="003C21AC" w:rsidP="00BF623B" w:rsidRDefault="003C21AC" w14:paraId="5F938536" w14:textId="77777777"/>
    <w:p w:rsidR="00AC10AA" w:rsidP="00BF623B" w:rsidRDefault="003F390C" w14:paraId="6E93E484" w14:textId="60F3A44C">
      <w:r>
        <w:t xml:space="preserve">In het wetsvoorstel wordt de boetecategorie van een tweetal delicten al verhoogd van de vierde naar de vijfde categorie. Het gaat daar </w:t>
      </w:r>
      <w:r w:rsidR="006E0B0B">
        <w:t xml:space="preserve">kortgezegd </w:t>
      </w:r>
      <w:r>
        <w:t xml:space="preserve">om gekwalificeerde diefstal </w:t>
      </w:r>
      <w:r w:rsidR="006E0B0B">
        <w:t>(artikel 311</w:t>
      </w:r>
      <w:r w:rsidR="004846CB">
        <w:t xml:space="preserve">, eerste lid, </w:t>
      </w:r>
      <w:r w:rsidR="00747EB5">
        <w:t>Wetboek van Strafrecht</w:t>
      </w:r>
      <w:r w:rsidR="006E0B0B">
        <w:t xml:space="preserve">) </w:t>
      </w:r>
      <w:r>
        <w:t xml:space="preserve">en </w:t>
      </w:r>
      <w:r w:rsidR="006E0B0B">
        <w:t>handel in softdrugs (artikel 11, tweede lid</w:t>
      </w:r>
      <w:r w:rsidR="008E4B50">
        <w:t>,</w:t>
      </w:r>
      <w:r w:rsidR="006E0B0B">
        <w:t xml:space="preserve"> van de Opiumwet). </w:t>
      </w:r>
      <w:r w:rsidR="00945DC4">
        <w:t xml:space="preserve">De indiener constateert dat dit niet de enige twee delicten zijn die verband houden met de </w:t>
      </w:r>
      <w:r w:rsidR="00AC10AA">
        <w:t xml:space="preserve">georganiseerde criminaliteit </w:t>
      </w:r>
      <w:r w:rsidR="00945DC4">
        <w:t xml:space="preserve">en </w:t>
      </w:r>
      <w:r w:rsidR="00AC10AA">
        <w:t xml:space="preserve">stelt voor de boetecategorieën </w:t>
      </w:r>
      <w:r w:rsidR="00761F29">
        <w:t>te verhogen bij</w:t>
      </w:r>
      <w:r w:rsidR="00AC10AA">
        <w:t xml:space="preserve"> een aantal </w:t>
      </w:r>
      <w:r w:rsidR="00761F29">
        <w:t xml:space="preserve">delicten </w:t>
      </w:r>
      <w:r w:rsidR="00AC10AA">
        <w:t>die verband houden met georganiseerde criminaliteit</w:t>
      </w:r>
      <w:r w:rsidR="00761F29">
        <w:t xml:space="preserve">. </w:t>
      </w:r>
    </w:p>
    <w:p w:rsidR="00761F29" w:rsidP="00BF623B" w:rsidRDefault="00761F29" w14:paraId="03EA6946" w14:textId="77777777"/>
    <w:p w:rsidR="00D613E3" w:rsidP="00BF623B" w:rsidRDefault="00003BED" w14:paraId="1571D595" w14:textId="0E16240C">
      <w:r>
        <w:t xml:space="preserve">Het amendement biedt de rechter meer ruimte om een passende en afschrikwekkende geldboete op te leggen die beter aansluit bij de vaak aanzienlijke financiële belangen die zijn gemoeid met ondermijnende criminaliteit en de zware impact van deze misdrijven op de samenleving. Deze verhoging draagt aldus bij aan het doel van het wetsvoorstel om de strafrechtelijke aanpak van ondermijning verder te versterken, waarbij de rechter zoals altijd ruimte heeft om rekening te houden met de financiële draagkracht en andere persoonlijke omstandigheden van de dader. </w:t>
      </w:r>
    </w:p>
    <w:p w:rsidRPr="00EA69AC" w:rsidR="00D613E3" w:rsidP="00BF623B" w:rsidRDefault="00D613E3" w14:paraId="756375A9" w14:textId="77777777"/>
    <w:p w:rsidRPr="00EA69AC" w:rsidR="00B4708A" w:rsidP="00EA1CE4" w:rsidRDefault="001552F6" w14:paraId="09A39002" w14:textId="0AA66E82">
      <w:r>
        <w:t>Michon-</w:t>
      </w:r>
      <w:proofErr w:type="spellStart"/>
      <w:r>
        <w:t>Derkzen</w:t>
      </w:r>
      <w:proofErr w:type="spellEnd"/>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55724" w14:textId="77777777" w:rsidR="001552F6" w:rsidRDefault="001552F6">
      <w:pPr>
        <w:spacing w:line="20" w:lineRule="exact"/>
      </w:pPr>
    </w:p>
  </w:endnote>
  <w:endnote w:type="continuationSeparator" w:id="0">
    <w:p w14:paraId="1F00AE49" w14:textId="77777777" w:rsidR="001552F6" w:rsidRDefault="001552F6">
      <w:pPr>
        <w:pStyle w:val="Amendement"/>
      </w:pPr>
      <w:r>
        <w:rPr>
          <w:b w:val="0"/>
        </w:rPr>
        <w:t xml:space="preserve"> </w:t>
      </w:r>
    </w:p>
  </w:endnote>
  <w:endnote w:type="continuationNotice" w:id="1">
    <w:p w14:paraId="1F4D398F" w14:textId="77777777" w:rsidR="001552F6" w:rsidRDefault="001552F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226D1" w14:textId="77777777" w:rsidR="001552F6" w:rsidRDefault="001552F6">
      <w:pPr>
        <w:pStyle w:val="Amendement"/>
      </w:pPr>
      <w:r>
        <w:rPr>
          <w:b w:val="0"/>
        </w:rPr>
        <w:separator/>
      </w:r>
    </w:p>
  </w:footnote>
  <w:footnote w:type="continuationSeparator" w:id="0">
    <w:p w14:paraId="3067D375" w14:textId="77777777" w:rsidR="001552F6" w:rsidRDefault="001552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2F6"/>
    <w:rsid w:val="000027C1"/>
    <w:rsid w:val="00003BED"/>
    <w:rsid w:val="00051B6D"/>
    <w:rsid w:val="0007471A"/>
    <w:rsid w:val="000D17BF"/>
    <w:rsid w:val="000D77ED"/>
    <w:rsid w:val="00122565"/>
    <w:rsid w:val="001424EE"/>
    <w:rsid w:val="001552F6"/>
    <w:rsid w:val="00157CAF"/>
    <w:rsid w:val="001656EE"/>
    <w:rsid w:val="0016653D"/>
    <w:rsid w:val="001D56AF"/>
    <w:rsid w:val="001E0E21"/>
    <w:rsid w:val="001E70AE"/>
    <w:rsid w:val="00212E0A"/>
    <w:rsid w:val="002153B0"/>
    <w:rsid w:val="0021777F"/>
    <w:rsid w:val="00221BBF"/>
    <w:rsid w:val="00241DD0"/>
    <w:rsid w:val="00252CDE"/>
    <w:rsid w:val="00295B1F"/>
    <w:rsid w:val="002A0713"/>
    <w:rsid w:val="002E085D"/>
    <w:rsid w:val="00366724"/>
    <w:rsid w:val="003C21AC"/>
    <w:rsid w:val="003C5218"/>
    <w:rsid w:val="003C7876"/>
    <w:rsid w:val="003E2308"/>
    <w:rsid w:val="003E2F98"/>
    <w:rsid w:val="003F390C"/>
    <w:rsid w:val="0042574B"/>
    <w:rsid w:val="004330ED"/>
    <w:rsid w:val="00481C91"/>
    <w:rsid w:val="004846CB"/>
    <w:rsid w:val="004911E3"/>
    <w:rsid w:val="00497D57"/>
    <w:rsid w:val="004A1E29"/>
    <w:rsid w:val="004A7DD4"/>
    <w:rsid w:val="004B0EAF"/>
    <w:rsid w:val="004B50D8"/>
    <w:rsid w:val="004B5B90"/>
    <w:rsid w:val="00501109"/>
    <w:rsid w:val="005703C9"/>
    <w:rsid w:val="00597703"/>
    <w:rsid w:val="005A6097"/>
    <w:rsid w:val="005B1DCC"/>
    <w:rsid w:val="005B686A"/>
    <w:rsid w:val="005B7323"/>
    <w:rsid w:val="005C25B9"/>
    <w:rsid w:val="005F5708"/>
    <w:rsid w:val="00601E04"/>
    <w:rsid w:val="0060204A"/>
    <w:rsid w:val="006267E6"/>
    <w:rsid w:val="0065397D"/>
    <w:rsid w:val="006558D2"/>
    <w:rsid w:val="00672D25"/>
    <w:rsid w:val="006738BC"/>
    <w:rsid w:val="006D3E69"/>
    <w:rsid w:val="006E0971"/>
    <w:rsid w:val="006E0B0B"/>
    <w:rsid w:val="00725DCC"/>
    <w:rsid w:val="00747EB5"/>
    <w:rsid w:val="00761F29"/>
    <w:rsid w:val="007709F6"/>
    <w:rsid w:val="00783215"/>
    <w:rsid w:val="007965FC"/>
    <w:rsid w:val="007D2608"/>
    <w:rsid w:val="008164E5"/>
    <w:rsid w:val="00830081"/>
    <w:rsid w:val="008467D7"/>
    <w:rsid w:val="00852541"/>
    <w:rsid w:val="00865D47"/>
    <w:rsid w:val="008838F1"/>
    <w:rsid w:val="0088452C"/>
    <w:rsid w:val="008D7DCB"/>
    <w:rsid w:val="008E4B50"/>
    <w:rsid w:val="009055DB"/>
    <w:rsid w:val="00905ECB"/>
    <w:rsid w:val="009268C2"/>
    <w:rsid w:val="00945DC4"/>
    <w:rsid w:val="009568D0"/>
    <w:rsid w:val="0096165D"/>
    <w:rsid w:val="00993E91"/>
    <w:rsid w:val="009963CC"/>
    <w:rsid w:val="009A409F"/>
    <w:rsid w:val="009B5845"/>
    <w:rsid w:val="009C0C1F"/>
    <w:rsid w:val="00A10505"/>
    <w:rsid w:val="00A1288B"/>
    <w:rsid w:val="00A30598"/>
    <w:rsid w:val="00A443ED"/>
    <w:rsid w:val="00A53203"/>
    <w:rsid w:val="00A772EB"/>
    <w:rsid w:val="00AA3754"/>
    <w:rsid w:val="00AC10AA"/>
    <w:rsid w:val="00AE20B2"/>
    <w:rsid w:val="00B01BA6"/>
    <w:rsid w:val="00B075E6"/>
    <w:rsid w:val="00B435C6"/>
    <w:rsid w:val="00B4708A"/>
    <w:rsid w:val="00B6662C"/>
    <w:rsid w:val="00BD4991"/>
    <w:rsid w:val="00BF623B"/>
    <w:rsid w:val="00C035D4"/>
    <w:rsid w:val="00C434B5"/>
    <w:rsid w:val="00C525DE"/>
    <w:rsid w:val="00C679BF"/>
    <w:rsid w:val="00C81BBD"/>
    <w:rsid w:val="00CC3266"/>
    <w:rsid w:val="00CD3132"/>
    <w:rsid w:val="00CE1E2D"/>
    <w:rsid w:val="00CE27CD"/>
    <w:rsid w:val="00CF03CE"/>
    <w:rsid w:val="00D02E8B"/>
    <w:rsid w:val="00D134F3"/>
    <w:rsid w:val="00D47D01"/>
    <w:rsid w:val="00D51283"/>
    <w:rsid w:val="00D56B6B"/>
    <w:rsid w:val="00D613E3"/>
    <w:rsid w:val="00D774B3"/>
    <w:rsid w:val="00DC2075"/>
    <w:rsid w:val="00DD35A5"/>
    <w:rsid w:val="00DE2948"/>
    <w:rsid w:val="00DF68BE"/>
    <w:rsid w:val="00DF712A"/>
    <w:rsid w:val="00E05D0E"/>
    <w:rsid w:val="00E1080C"/>
    <w:rsid w:val="00E24F85"/>
    <w:rsid w:val="00E25DF4"/>
    <w:rsid w:val="00E3485D"/>
    <w:rsid w:val="00E51F78"/>
    <w:rsid w:val="00E6619B"/>
    <w:rsid w:val="00E908D7"/>
    <w:rsid w:val="00EA1CE4"/>
    <w:rsid w:val="00EA69AC"/>
    <w:rsid w:val="00EB40A1"/>
    <w:rsid w:val="00EC3112"/>
    <w:rsid w:val="00ED5E57"/>
    <w:rsid w:val="00EE1BD8"/>
    <w:rsid w:val="00FA5BBE"/>
    <w:rsid w:val="00FF32C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8AE50"/>
  <w15:docId w15:val="{CDB36D6E-40CF-4795-858E-00C7A2AC8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DC2075"/>
    <w:rPr>
      <w:sz w:val="16"/>
      <w:szCs w:val="16"/>
    </w:rPr>
  </w:style>
  <w:style w:type="paragraph" w:styleId="Tekstopmerking">
    <w:name w:val="annotation text"/>
    <w:basedOn w:val="Standaard"/>
    <w:link w:val="TekstopmerkingChar"/>
    <w:unhideWhenUsed/>
    <w:rsid w:val="00DC2075"/>
    <w:rPr>
      <w:sz w:val="20"/>
    </w:rPr>
  </w:style>
  <w:style w:type="character" w:customStyle="1" w:styleId="TekstopmerkingChar">
    <w:name w:val="Tekst opmerking Char"/>
    <w:basedOn w:val="Standaardalinea-lettertype"/>
    <w:link w:val="Tekstopmerking"/>
    <w:rsid w:val="00DC2075"/>
  </w:style>
  <w:style w:type="paragraph" w:styleId="Onderwerpvanopmerking">
    <w:name w:val="annotation subject"/>
    <w:basedOn w:val="Tekstopmerking"/>
    <w:next w:val="Tekstopmerking"/>
    <w:link w:val="OnderwerpvanopmerkingChar"/>
    <w:semiHidden/>
    <w:unhideWhenUsed/>
    <w:rsid w:val="00DC2075"/>
    <w:rPr>
      <w:b/>
      <w:bCs/>
    </w:rPr>
  </w:style>
  <w:style w:type="character" w:customStyle="1" w:styleId="OnderwerpvanopmerkingChar">
    <w:name w:val="Onderwerp van opmerking Char"/>
    <w:basedOn w:val="TekstopmerkingChar"/>
    <w:link w:val="Onderwerpvanopmerking"/>
    <w:semiHidden/>
    <w:rsid w:val="00DC2075"/>
    <w:rPr>
      <w:b/>
      <w:bCs/>
    </w:rPr>
  </w:style>
  <w:style w:type="paragraph" w:styleId="Revisie">
    <w:name w:val="Revision"/>
    <w:hidden/>
    <w:uiPriority w:val="99"/>
    <w:semiHidden/>
    <w:rsid w:val="00AE20B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414551">
      <w:bodyDiv w:val="1"/>
      <w:marLeft w:val="0"/>
      <w:marRight w:val="0"/>
      <w:marTop w:val="0"/>
      <w:marBottom w:val="0"/>
      <w:divBdr>
        <w:top w:val="none" w:sz="0" w:space="0" w:color="auto"/>
        <w:left w:val="none" w:sz="0" w:space="0" w:color="auto"/>
        <w:bottom w:val="none" w:sz="0" w:space="0" w:color="auto"/>
        <w:right w:val="none" w:sz="0" w:space="0" w:color="auto"/>
      </w:divBdr>
    </w:div>
    <w:div w:id="108352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358</ap:Words>
  <ap:Characters>2208</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2561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2025-09-23T15:54:00.0000000Z</dcterms:created>
  <dcterms:modified xsi:type="dcterms:W3CDTF">2025-09-25T10:12:00.0000000Z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