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6416" w:rsidR="00A7794E" w:rsidP="00A7794E" w:rsidRDefault="00A7794E" w14:paraId="69E41623" w14:textId="77777777">
      <w:pPr>
        <w:spacing w:line="240" w:lineRule="exact"/>
        <w:textAlignment w:val="auto"/>
      </w:pPr>
      <w:r w:rsidRPr="000D6416">
        <w:t>Geachte voorzitter,</w:t>
      </w:r>
    </w:p>
    <w:p w:rsidRPr="000D6416" w:rsidR="00A7794E" w:rsidP="00A7794E" w:rsidRDefault="00A7794E" w14:paraId="6E321C2C" w14:textId="77777777">
      <w:pPr>
        <w:textAlignment w:val="auto"/>
      </w:pPr>
    </w:p>
    <w:p w:rsidRPr="000D6416" w:rsidR="00A7794E" w:rsidP="00A7794E" w:rsidRDefault="00A7794E" w14:paraId="136FAD90" w14:textId="77777777">
      <w:pPr>
        <w:textAlignment w:val="auto"/>
      </w:pPr>
      <w:proofErr w:type="spellStart"/>
      <w:r w:rsidRPr="000D6416">
        <w:t>TenneT</w:t>
      </w:r>
      <w:proofErr w:type="spellEnd"/>
      <w:r w:rsidRPr="000D6416">
        <w:t xml:space="preserve"> Duitsland, dochter van staatsdeelneming </w:t>
      </w:r>
      <w:proofErr w:type="spellStart"/>
      <w:r w:rsidRPr="000D6416">
        <w:t>TenneT</w:t>
      </w:r>
      <w:proofErr w:type="spellEnd"/>
      <w:r w:rsidRPr="000D6416">
        <w:t xml:space="preserve"> Holding (hierna:</w:t>
      </w:r>
    </w:p>
    <w:p w:rsidRPr="000D6416" w:rsidR="00A7794E" w:rsidP="00A7794E" w:rsidRDefault="00A7794E" w14:paraId="3E621E3E" w14:textId="77777777">
      <w:pPr>
        <w:textAlignment w:val="auto"/>
      </w:pPr>
      <w:proofErr w:type="spellStart"/>
      <w:r w:rsidRPr="000D6416">
        <w:t>TenneT</w:t>
      </w:r>
      <w:proofErr w:type="spellEnd"/>
      <w:r w:rsidRPr="000D6416">
        <w:t>), beheert een groot deel van het Duitse elektriciteitsnet op land en op</w:t>
      </w:r>
    </w:p>
    <w:p w:rsidRPr="000D6416" w:rsidR="00A7794E" w:rsidP="00A7794E" w:rsidRDefault="00A7794E" w14:paraId="552EFB73" w14:textId="77777777">
      <w:pPr>
        <w:textAlignment w:val="auto"/>
      </w:pPr>
      <w:proofErr w:type="gramStart"/>
      <w:r w:rsidRPr="000D6416">
        <w:t>zee</w:t>
      </w:r>
      <w:proofErr w:type="gramEnd"/>
      <w:r w:rsidRPr="000D6416">
        <w:t xml:space="preserve">. Als gevolg van een omvangrijke investeringsagenda </w:t>
      </w:r>
      <w:r w:rsidR="004B6DC5">
        <w:t>vanwege</w:t>
      </w:r>
      <w:r w:rsidRPr="000D6416" w:rsidR="004B6DC5">
        <w:t xml:space="preserve"> </w:t>
      </w:r>
      <w:r w:rsidRPr="000D6416">
        <w:t xml:space="preserve">de energietransitie heeft </w:t>
      </w:r>
      <w:proofErr w:type="spellStart"/>
      <w:r w:rsidRPr="000D6416">
        <w:t>TenneT</w:t>
      </w:r>
      <w:proofErr w:type="spellEnd"/>
      <w:r w:rsidRPr="000D6416">
        <w:t xml:space="preserve"> Duitsland een grote kapitaalbehoefte. In september 2024</w:t>
      </w:r>
      <w:r w:rsidRPr="000D6416">
        <w:rPr>
          <w:vertAlign w:val="superscript"/>
        </w:rPr>
        <w:footnoteReference w:id="2"/>
      </w:r>
      <w:r w:rsidRPr="000D6416">
        <w:t>, december 2024</w:t>
      </w:r>
      <w:r w:rsidRPr="000D6416">
        <w:rPr>
          <w:vertAlign w:val="superscript"/>
        </w:rPr>
        <w:footnoteReference w:id="3"/>
      </w:r>
      <w:r w:rsidRPr="000D6416">
        <w:t>, april 2025</w:t>
      </w:r>
      <w:r w:rsidRPr="000D6416">
        <w:rPr>
          <w:vertAlign w:val="superscript"/>
        </w:rPr>
        <w:footnoteReference w:id="4"/>
      </w:r>
      <w:r w:rsidRPr="000D6416">
        <w:t>, mei 2025</w:t>
      </w:r>
      <w:r w:rsidRPr="000D6416">
        <w:rPr>
          <w:vertAlign w:val="superscript"/>
        </w:rPr>
        <w:footnoteReference w:id="5"/>
      </w:r>
      <w:r w:rsidRPr="000D6416">
        <w:t>, juni 2025</w:t>
      </w:r>
      <w:r w:rsidRPr="000D6416">
        <w:rPr>
          <w:vertAlign w:val="superscript"/>
        </w:rPr>
        <w:footnoteReference w:id="6"/>
      </w:r>
      <w:r w:rsidRPr="000D6416">
        <w:t xml:space="preserve"> en augustus 2025</w:t>
      </w:r>
      <w:r w:rsidRPr="000D6416">
        <w:rPr>
          <w:vertAlign w:val="superscript"/>
        </w:rPr>
        <w:footnoteReference w:id="7"/>
      </w:r>
      <w:r w:rsidRPr="000D6416">
        <w:t xml:space="preserve"> heb ik u geïnformeerd dat het kabinet een deelname van private investeerders in </w:t>
      </w:r>
      <w:proofErr w:type="spellStart"/>
      <w:r w:rsidRPr="000D6416">
        <w:t>TenneT</w:t>
      </w:r>
      <w:proofErr w:type="spellEnd"/>
      <w:r w:rsidRPr="000D6416">
        <w:t xml:space="preserve"> Duitsland als de beste structurele oplossing voor deze kapitaalbehoefte </w:t>
      </w:r>
      <w:proofErr w:type="gramStart"/>
      <w:r w:rsidRPr="000D6416">
        <w:t>ziet</w:t>
      </w:r>
      <w:proofErr w:type="gramEnd"/>
      <w:r w:rsidRPr="000D6416">
        <w:t xml:space="preserve">. Private investeerders brengen dan eigen vermogen in om de kapitaalbehoefte van </w:t>
      </w:r>
      <w:proofErr w:type="spellStart"/>
      <w:r w:rsidRPr="000D6416">
        <w:t>TenneT</w:t>
      </w:r>
      <w:proofErr w:type="spellEnd"/>
      <w:r w:rsidRPr="000D6416">
        <w:t xml:space="preserve"> Duitsland structureel in te vullen. Daardoor hoeft de Nederlandse staat geen publiek geld bij te storten.</w:t>
      </w:r>
    </w:p>
    <w:p w:rsidRPr="000D6416" w:rsidR="00A7794E" w:rsidP="00A7794E" w:rsidRDefault="00A7794E" w14:paraId="06715D32" w14:textId="77777777">
      <w:pPr>
        <w:textAlignment w:val="auto"/>
      </w:pPr>
    </w:p>
    <w:p w:rsidRPr="000D6416" w:rsidR="00E25E73" w:rsidP="00E25E73" w:rsidRDefault="00A7794E" w14:paraId="461108A7" w14:textId="77777777">
      <w:pPr>
        <w:textAlignment w:val="auto"/>
      </w:pPr>
      <w:r w:rsidRPr="000D6416">
        <w:t xml:space="preserve">Ik heb, samen met </w:t>
      </w:r>
      <w:proofErr w:type="spellStart"/>
      <w:r w:rsidRPr="000D6416">
        <w:t>TenneT</w:t>
      </w:r>
      <w:proofErr w:type="spellEnd"/>
      <w:r w:rsidRPr="000D6416">
        <w:t>, gekozen voor een onderhandse uitgifte</w:t>
      </w:r>
      <w:r>
        <w:t xml:space="preserve"> aan </w:t>
      </w:r>
      <w:proofErr w:type="spellStart"/>
      <w:r w:rsidRPr="000D6416">
        <w:t>Norges</w:t>
      </w:r>
      <w:proofErr w:type="spellEnd"/>
      <w:r w:rsidRPr="000D6416">
        <w:t xml:space="preserve"> Bank Investment Management (de beheerder van het Noorse staatsoliefonds, hierna: </w:t>
      </w:r>
      <w:proofErr w:type="spellStart"/>
      <w:r w:rsidRPr="000D6416">
        <w:t>Norges</w:t>
      </w:r>
      <w:proofErr w:type="spellEnd"/>
      <w:r w:rsidRPr="000D6416">
        <w:t>)</w:t>
      </w:r>
      <w:r>
        <w:t xml:space="preserve">, </w:t>
      </w:r>
      <w:r w:rsidRPr="000D6416">
        <w:t xml:space="preserve">APG (een Nederlandse pensioenuitvoerder) </w:t>
      </w:r>
      <w:r>
        <w:t>en h</w:t>
      </w:r>
      <w:r w:rsidRPr="000D6416">
        <w:t>et Singaporese staats</w:t>
      </w:r>
      <w:r w:rsidR="00106F8F">
        <w:t>investerings</w:t>
      </w:r>
      <w:r w:rsidRPr="000D6416">
        <w:t>fonds GI</w:t>
      </w:r>
      <w:r>
        <w:t>C</w:t>
      </w:r>
      <w:r w:rsidRPr="000D6416">
        <w:t xml:space="preserve">. De onderhandse uitgifte minimaliseert zoveel mogelijk de negatieve financiële en budgettaire gevolgen voor de Nederlandse staat, zorgt voor een marktconforme prijs, behoudt </w:t>
      </w:r>
      <w:r w:rsidR="00510E4E">
        <w:t>grotendeels</w:t>
      </w:r>
      <w:r w:rsidRPr="000D6416">
        <w:t xml:space="preserve"> de bijdrage aan de Nederlandse publieke belangen en houdt de </w:t>
      </w:r>
      <w:proofErr w:type="spellStart"/>
      <w:r w:rsidRPr="000D6416">
        <w:t>governance</w:t>
      </w:r>
      <w:proofErr w:type="spellEnd"/>
      <w:r w:rsidRPr="000D6416">
        <w:t xml:space="preserve"> van </w:t>
      </w:r>
      <w:proofErr w:type="spellStart"/>
      <w:r w:rsidRPr="000D6416">
        <w:t>TenneT</w:t>
      </w:r>
      <w:proofErr w:type="spellEnd"/>
      <w:r w:rsidRPr="000D6416">
        <w:t xml:space="preserve"> werkbaar.</w:t>
      </w:r>
      <w:r>
        <w:t xml:space="preserve"> Daarom heb ik namens de Nederlandse staat, als aandeelhouder van </w:t>
      </w:r>
      <w:proofErr w:type="spellStart"/>
      <w:r>
        <w:t>TenneT</w:t>
      </w:r>
      <w:proofErr w:type="spellEnd"/>
      <w:r>
        <w:t xml:space="preserve">, goedkeuring gegeven aan de onderhandse uitgifte door </w:t>
      </w:r>
      <w:proofErr w:type="spellStart"/>
      <w:r>
        <w:t>TenneT</w:t>
      </w:r>
      <w:proofErr w:type="spellEnd"/>
      <w:r>
        <w:t xml:space="preserve"> Duitsland.</w:t>
      </w:r>
      <w:r w:rsidRPr="00B53231">
        <w:t xml:space="preserve"> </w:t>
      </w:r>
      <w:r>
        <w:t>Vandaag heeft</w:t>
      </w:r>
      <w:r w:rsidRPr="000D6416">
        <w:t xml:space="preserve"> </w:t>
      </w:r>
      <w:proofErr w:type="spellStart"/>
      <w:r w:rsidRPr="000D6416">
        <w:t>TenneT</w:t>
      </w:r>
      <w:proofErr w:type="spellEnd"/>
      <w:r w:rsidRPr="000D6416">
        <w:t xml:space="preserve"> de transactiedocumentatie met </w:t>
      </w:r>
      <w:proofErr w:type="spellStart"/>
      <w:r w:rsidRPr="000D6416">
        <w:t>Norges</w:t>
      </w:r>
      <w:proofErr w:type="spellEnd"/>
      <w:r>
        <w:t xml:space="preserve">, </w:t>
      </w:r>
      <w:r w:rsidRPr="000D6416">
        <w:t>APG</w:t>
      </w:r>
      <w:r>
        <w:t xml:space="preserve"> en GIC ondertekend. </w:t>
      </w:r>
      <w:r w:rsidRPr="000D6416" w:rsidR="00E25E73">
        <w:t xml:space="preserve">Na de ondertekening moet aan een aantal opschortende voorwaarden worden voldaan voordat de transactie kan worden geïmplementeerd. Ik verwacht dat dit in de eerste helft van 2026 zal zijn. </w:t>
      </w:r>
    </w:p>
    <w:p w:rsidRPr="000D6416" w:rsidR="00E25E73" w:rsidP="00E25E73" w:rsidRDefault="00E25E73" w14:paraId="1685BF12" w14:textId="77777777">
      <w:pPr>
        <w:textAlignment w:val="auto"/>
      </w:pPr>
    </w:p>
    <w:p w:rsidRPr="000D6416" w:rsidR="00E25E73" w:rsidP="00E25E73" w:rsidRDefault="00A7794E" w14:paraId="23FFC532" w14:textId="77777777">
      <w:pPr>
        <w:textAlignment w:val="auto"/>
      </w:pPr>
      <w:r w:rsidRPr="000D6416">
        <w:t xml:space="preserve">De Duitse staat heeft aangegeven geïnteresseerd te zijn in een </w:t>
      </w:r>
      <w:r>
        <w:t>minderheidsbelang</w:t>
      </w:r>
      <w:r w:rsidRPr="000D6416">
        <w:t xml:space="preserve"> in </w:t>
      </w:r>
      <w:proofErr w:type="spellStart"/>
      <w:r w:rsidRPr="000D6416">
        <w:t>TenneT</w:t>
      </w:r>
      <w:proofErr w:type="spellEnd"/>
      <w:r w:rsidRPr="000D6416">
        <w:t xml:space="preserve"> Duitsland. Ik sta hier positief tegenover.</w:t>
      </w:r>
      <w:r w:rsidRPr="00E25E73" w:rsidR="00E25E73">
        <w:t xml:space="preserve"> </w:t>
      </w:r>
      <w:r w:rsidRPr="000D6416" w:rsidR="00E25E73">
        <w:t xml:space="preserve">De komende tijd zal ik benutten om, samen met </w:t>
      </w:r>
      <w:proofErr w:type="spellStart"/>
      <w:r w:rsidRPr="000D6416" w:rsidR="00E25E73">
        <w:t>TenneT</w:t>
      </w:r>
      <w:proofErr w:type="spellEnd"/>
      <w:r w:rsidRPr="000D6416" w:rsidR="00E25E73">
        <w:t xml:space="preserve"> en de private investeerders, </w:t>
      </w:r>
      <w:r w:rsidRPr="000D6416" w:rsidR="00E25E73">
        <w:lastRenderedPageBreak/>
        <w:t>met de Duitse staat in gesprek te gaan over hun eventuele deelname. Ik streef er naar u rond de jaarwisseling hierover te informeren.</w:t>
      </w:r>
    </w:p>
    <w:p w:rsidR="00A7794E" w:rsidP="00A7794E" w:rsidRDefault="00A7794E" w14:paraId="263CD6B9" w14:textId="77777777">
      <w:pPr>
        <w:textAlignment w:val="auto"/>
      </w:pPr>
    </w:p>
    <w:p w:rsidRPr="000D6416" w:rsidR="00A7794E" w:rsidP="00A7794E" w:rsidRDefault="00A7794E" w14:paraId="07063C98" w14:textId="77777777">
      <w:pPr>
        <w:textAlignment w:val="auto"/>
      </w:pPr>
      <w:r w:rsidRPr="000D6416">
        <w:t>Deze brief gaat in op de volgende onderdelen:</w:t>
      </w:r>
    </w:p>
    <w:p w:rsidRPr="000D6416" w:rsidR="00A7794E" w:rsidP="00A7794E" w:rsidRDefault="00A7794E" w14:paraId="154F4E57" w14:textId="77777777">
      <w:pPr>
        <w:numPr>
          <w:ilvl w:val="0"/>
          <w:numId w:val="7"/>
        </w:numPr>
        <w:ind w:left="851" w:hanging="425"/>
        <w:contextualSpacing/>
        <w:textAlignment w:val="auto"/>
      </w:pPr>
      <w:r w:rsidRPr="000D6416">
        <w:t>Aanleiding</w:t>
      </w:r>
    </w:p>
    <w:p w:rsidRPr="001D3228" w:rsidR="001D3228" w:rsidP="00A7794E" w:rsidRDefault="00D508E7" w14:paraId="1E7D1F26" w14:textId="77777777">
      <w:pPr>
        <w:numPr>
          <w:ilvl w:val="0"/>
          <w:numId w:val="7"/>
        </w:numPr>
        <w:ind w:left="851" w:hanging="425"/>
        <w:contextualSpacing/>
        <w:textAlignment w:val="auto"/>
      </w:pPr>
      <w:r>
        <w:t>Keuze d</w:t>
      </w:r>
      <w:r w:rsidRPr="003B626D" w:rsidR="001D3228">
        <w:t>eelname private investeerders</w:t>
      </w:r>
    </w:p>
    <w:p w:rsidRPr="000D6416" w:rsidR="00A7794E" w:rsidP="00A7794E" w:rsidRDefault="00A7794E" w14:paraId="4120A97B" w14:textId="77777777">
      <w:pPr>
        <w:numPr>
          <w:ilvl w:val="0"/>
          <w:numId w:val="7"/>
        </w:numPr>
        <w:ind w:left="851" w:hanging="425"/>
        <w:contextualSpacing/>
        <w:textAlignment w:val="auto"/>
      </w:pPr>
      <w:r w:rsidRPr="000D6416">
        <w:t>Budgettaire consequenties</w:t>
      </w:r>
    </w:p>
    <w:p w:rsidRPr="000D6416" w:rsidR="00A7794E" w:rsidP="00A7794E" w:rsidRDefault="00A7794E" w14:paraId="1D12A1C3" w14:textId="77777777">
      <w:pPr>
        <w:textAlignment w:val="auto"/>
        <w:rPr>
          <w:b/>
          <w:bCs/>
        </w:rPr>
      </w:pPr>
    </w:p>
    <w:p w:rsidRPr="000D6416" w:rsidR="00A7794E" w:rsidP="00A7794E" w:rsidRDefault="00A7794E" w14:paraId="6ED473A7" w14:textId="77777777">
      <w:pPr>
        <w:numPr>
          <w:ilvl w:val="0"/>
          <w:numId w:val="8"/>
        </w:numPr>
        <w:ind w:left="567" w:hanging="567"/>
        <w:contextualSpacing/>
        <w:textAlignment w:val="auto"/>
        <w:rPr>
          <w:b/>
          <w:bCs/>
        </w:rPr>
      </w:pPr>
      <w:r w:rsidRPr="000D6416">
        <w:rPr>
          <w:b/>
          <w:bCs/>
        </w:rPr>
        <w:t>Aanleiding</w:t>
      </w:r>
    </w:p>
    <w:p w:rsidRPr="000D6416" w:rsidR="00A7794E" w:rsidP="00A7794E" w:rsidRDefault="00A7794E" w14:paraId="6765C840" w14:textId="77777777">
      <w:pPr>
        <w:textAlignment w:val="auto"/>
      </w:pPr>
      <w:proofErr w:type="spellStart"/>
      <w:r w:rsidRPr="000D6416">
        <w:t>TenneT</w:t>
      </w:r>
      <w:proofErr w:type="spellEnd"/>
      <w:r w:rsidRPr="000D6416">
        <w:t xml:space="preserve"> Duitsland heeft een grote investeringsagenda vanwege de energietransitie. Deze investeringsagenda resulteert in een kapitaalbehoefte. Het kabinet heeft in eerder</w:t>
      </w:r>
      <w:r>
        <w:t>e</w:t>
      </w:r>
      <w:r w:rsidRPr="000D6416">
        <w:t xml:space="preserve"> brieven gedeeld dat het een deelname van private investeerders in </w:t>
      </w:r>
      <w:proofErr w:type="spellStart"/>
      <w:r w:rsidRPr="000D6416">
        <w:t>TenneT</w:t>
      </w:r>
      <w:proofErr w:type="spellEnd"/>
      <w:r w:rsidRPr="000D6416">
        <w:t xml:space="preserve"> Duitsland als de beste structurele oplossing voor de Duitse kapitaalbehoefte</w:t>
      </w:r>
      <w:r>
        <w:t xml:space="preserve"> ziet</w:t>
      </w:r>
      <w:r w:rsidRPr="000D6416">
        <w:t xml:space="preserve">. De financiële en budgettaire gevolgen van het volledig behouden van </w:t>
      </w:r>
      <w:proofErr w:type="spellStart"/>
      <w:r w:rsidRPr="000D6416">
        <w:t>TenneT</w:t>
      </w:r>
      <w:proofErr w:type="spellEnd"/>
      <w:r w:rsidRPr="000D6416">
        <w:t xml:space="preserve"> Duitsland wegen niet op tegen het volledige behoud van de bijdrage aan het publieke belang. Hiervoor zijn twee zaken doorslaggevend: (i) het kabinet heeft niet de voorkeur om Nederlands belastinggeld te benutten voor de activiteiten van </w:t>
      </w:r>
      <w:proofErr w:type="spellStart"/>
      <w:r w:rsidRPr="000D6416">
        <w:t>TenneT</w:t>
      </w:r>
      <w:proofErr w:type="spellEnd"/>
      <w:r w:rsidRPr="000D6416">
        <w:t xml:space="preserve"> Duitsland en (ii) de bijdrage aan het publieke belang kan voor een groot gedeelte behouden blijven, omdat </w:t>
      </w:r>
      <w:proofErr w:type="spellStart"/>
      <w:r w:rsidRPr="000D6416">
        <w:t>TenneT</w:t>
      </w:r>
      <w:proofErr w:type="spellEnd"/>
      <w:r w:rsidRPr="000D6416">
        <w:t xml:space="preserve"> voorlopig de grootste aandeelhouder van </w:t>
      </w:r>
      <w:proofErr w:type="spellStart"/>
      <w:r w:rsidRPr="000D6416">
        <w:t>TenneT</w:t>
      </w:r>
      <w:proofErr w:type="spellEnd"/>
      <w:r w:rsidRPr="000D6416">
        <w:t xml:space="preserve"> Duitsland zal blijven en daarmee zeggenschap in </w:t>
      </w:r>
      <w:proofErr w:type="spellStart"/>
      <w:r w:rsidRPr="000D6416">
        <w:t>TenneT</w:t>
      </w:r>
      <w:proofErr w:type="spellEnd"/>
      <w:r w:rsidRPr="000D6416">
        <w:t xml:space="preserve"> Duitsland zal behouden. </w:t>
      </w:r>
    </w:p>
    <w:p w:rsidRPr="000D6416" w:rsidR="00A7794E" w:rsidP="00A7794E" w:rsidRDefault="00A7794E" w14:paraId="46C01F62" w14:textId="77777777">
      <w:pPr>
        <w:textAlignment w:val="auto"/>
      </w:pPr>
    </w:p>
    <w:p w:rsidR="00A7794E" w:rsidP="00A7794E" w:rsidRDefault="00BF066E" w14:paraId="5380CE2A" w14:textId="77777777">
      <w:pPr>
        <w:textAlignment w:val="auto"/>
      </w:pPr>
      <w:proofErr w:type="spellStart"/>
      <w:r>
        <w:t>TenneT</w:t>
      </w:r>
      <w:proofErr w:type="spellEnd"/>
      <w:r>
        <w:t xml:space="preserve"> heeft </w:t>
      </w:r>
      <w:r w:rsidR="00B849DA">
        <w:t xml:space="preserve">het afgelopen jaar </w:t>
      </w:r>
      <w:r w:rsidRPr="000D6416" w:rsidR="00A7794E">
        <w:t xml:space="preserve">twee opties </w:t>
      </w:r>
      <w:r w:rsidR="00B849DA">
        <w:t xml:space="preserve">voorbereid </w:t>
      </w:r>
      <w:r w:rsidRPr="000D6416" w:rsidR="00A7794E">
        <w:t xml:space="preserve">om private investeerders toe te laten treden tot </w:t>
      </w:r>
      <w:proofErr w:type="spellStart"/>
      <w:r w:rsidRPr="000D6416" w:rsidR="00A7794E">
        <w:t>TenneT</w:t>
      </w:r>
      <w:proofErr w:type="spellEnd"/>
      <w:r w:rsidRPr="000D6416" w:rsidR="00A7794E">
        <w:t xml:space="preserve"> Duitsland: </w:t>
      </w:r>
    </w:p>
    <w:p w:rsidRPr="000D6416" w:rsidR="00A7794E" w:rsidP="00A7794E" w:rsidRDefault="00A7794E" w14:paraId="0F71F9C0" w14:textId="77777777">
      <w:pPr>
        <w:textAlignment w:val="auto"/>
      </w:pPr>
    </w:p>
    <w:p w:rsidRPr="000D6416" w:rsidR="00A7794E" w:rsidP="00A7794E" w:rsidRDefault="00A7794E" w14:paraId="22870215" w14:textId="77777777">
      <w:pPr>
        <w:numPr>
          <w:ilvl w:val="0"/>
          <w:numId w:val="9"/>
        </w:numPr>
        <w:contextualSpacing/>
        <w:textAlignment w:val="auto"/>
      </w:pPr>
      <w:r w:rsidRPr="000D6416">
        <w:rPr>
          <w:i/>
          <w:iCs/>
        </w:rPr>
        <w:t>Onderhandse uitgifte</w:t>
      </w:r>
      <w:r w:rsidRPr="000D6416">
        <w:t xml:space="preserve">: Hiermee verkrijgt een private investeerder of </w:t>
      </w:r>
      <w:r>
        <w:t xml:space="preserve">verkrijgen </w:t>
      </w:r>
      <w:r w:rsidRPr="000D6416">
        <w:t xml:space="preserve">meerdere investeerders een belang in </w:t>
      </w:r>
      <w:proofErr w:type="spellStart"/>
      <w:r w:rsidRPr="000D6416">
        <w:t>TenneT</w:t>
      </w:r>
      <w:proofErr w:type="spellEnd"/>
      <w:r w:rsidRPr="000D6416">
        <w:t xml:space="preserve"> Duitsland. </w:t>
      </w:r>
    </w:p>
    <w:p w:rsidRPr="000D6416" w:rsidR="00A7794E" w:rsidP="00A7794E" w:rsidRDefault="00A7794E" w14:paraId="3067B679" w14:textId="77777777">
      <w:pPr>
        <w:numPr>
          <w:ilvl w:val="0"/>
          <w:numId w:val="9"/>
        </w:numPr>
        <w:contextualSpacing/>
        <w:textAlignment w:val="auto"/>
      </w:pPr>
      <w:r w:rsidRPr="000D6416">
        <w:rPr>
          <w:i/>
          <w:iCs/>
        </w:rPr>
        <w:t>Beursgang:</w:t>
      </w:r>
      <w:r w:rsidRPr="000D6416">
        <w:t xml:space="preserve"> Hiermee verkrijgen beleggers aandelen van </w:t>
      </w:r>
      <w:proofErr w:type="spellStart"/>
      <w:r w:rsidRPr="000D6416">
        <w:t>TenneT</w:t>
      </w:r>
      <w:proofErr w:type="spellEnd"/>
      <w:r w:rsidRPr="000D6416">
        <w:t xml:space="preserve"> Duitsland via de beurs. </w:t>
      </w:r>
    </w:p>
    <w:p w:rsidRPr="000D6416" w:rsidR="00A7794E" w:rsidP="00A7794E" w:rsidRDefault="00A7794E" w14:paraId="15D00771" w14:textId="77777777">
      <w:pPr>
        <w:textAlignment w:val="auto"/>
      </w:pPr>
    </w:p>
    <w:p w:rsidR="00A7794E" w:rsidP="001D3228" w:rsidRDefault="001D3228" w14:paraId="68BA3877" w14:textId="77777777">
      <w:pPr>
        <w:textAlignment w:val="auto"/>
      </w:pPr>
      <w:r w:rsidRPr="000D6416">
        <w:t xml:space="preserve">De onderhandelingen over de onderhandse uitgifte zijn afgerond en de financiële adviseurs van </w:t>
      </w:r>
      <w:proofErr w:type="spellStart"/>
      <w:r w:rsidRPr="000D6416">
        <w:t>TenneT</w:t>
      </w:r>
      <w:proofErr w:type="spellEnd"/>
      <w:r w:rsidRPr="000D6416">
        <w:t xml:space="preserve"> hebben een inschatting gegeven van het potentiële succes van een beursgang. </w:t>
      </w:r>
      <w:r>
        <w:t>S</w:t>
      </w:r>
      <w:r w:rsidRPr="000D6416" w:rsidR="00A7794E">
        <w:t xml:space="preserve">amen met </w:t>
      </w:r>
      <w:proofErr w:type="spellStart"/>
      <w:r w:rsidRPr="000D6416" w:rsidR="00A7794E">
        <w:t>TenneT</w:t>
      </w:r>
      <w:proofErr w:type="spellEnd"/>
      <w:r w:rsidRPr="000D6416" w:rsidR="00A7794E">
        <w:t xml:space="preserve"> heb ik de opties vervolgens getoetst aan de criteria die ik in de brief van september 2024</w:t>
      </w:r>
      <w:r w:rsidRPr="000D6416" w:rsidR="00A7794E">
        <w:rPr>
          <w:vertAlign w:val="superscript"/>
        </w:rPr>
        <w:footnoteReference w:id="8"/>
      </w:r>
      <w:r w:rsidRPr="000D6416" w:rsidR="00A7794E">
        <w:t xml:space="preserve"> en opvolgende brieven met u heb gedeeld:</w:t>
      </w:r>
    </w:p>
    <w:p w:rsidRPr="000D6416" w:rsidR="00A7794E" w:rsidP="00A7794E" w:rsidRDefault="00A7794E" w14:paraId="4B1512D5" w14:textId="77777777">
      <w:pPr>
        <w:textAlignment w:val="auto"/>
      </w:pPr>
    </w:p>
    <w:p w:rsidRPr="000D6416" w:rsidR="00A7794E" w:rsidP="00A7794E" w:rsidRDefault="00A7794E" w14:paraId="02805AE9" w14:textId="77777777">
      <w:pPr>
        <w:numPr>
          <w:ilvl w:val="0"/>
          <w:numId w:val="10"/>
        </w:numPr>
        <w:spacing w:line="240" w:lineRule="exact"/>
        <w:contextualSpacing/>
        <w:textAlignment w:val="auto"/>
        <w:rPr>
          <w:i/>
          <w:iCs/>
        </w:rPr>
      </w:pPr>
      <w:r w:rsidRPr="000D6416">
        <w:rPr>
          <w:i/>
          <w:iCs/>
        </w:rPr>
        <w:t>Minimalisatie mogelijke negatieve financiële en budgettaire gevolgen Nederlandse staat</w:t>
      </w:r>
    </w:p>
    <w:p w:rsidRPr="000D6416" w:rsidR="00A7794E" w:rsidP="00A7794E" w:rsidRDefault="00A7794E" w14:paraId="112C54D8" w14:textId="77777777">
      <w:pPr>
        <w:numPr>
          <w:ilvl w:val="0"/>
          <w:numId w:val="10"/>
        </w:numPr>
        <w:spacing w:line="240" w:lineRule="exact"/>
        <w:contextualSpacing/>
        <w:textAlignment w:val="auto"/>
      </w:pPr>
      <w:r w:rsidRPr="000D6416">
        <w:rPr>
          <w:i/>
          <w:iCs/>
        </w:rPr>
        <w:t>Marktconforme prijs</w:t>
      </w:r>
    </w:p>
    <w:p w:rsidRPr="000D6416" w:rsidR="00A7794E" w:rsidP="00A7794E" w:rsidRDefault="00A7794E" w14:paraId="6CBF9EC9" w14:textId="77777777">
      <w:pPr>
        <w:numPr>
          <w:ilvl w:val="0"/>
          <w:numId w:val="10"/>
        </w:numPr>
        <w:spacing w:line="240" w:lineRule="exact"/>
        <w:contextualSpacing/>
        <w:textAlignment w:val="auto"/>
      </w:pPr>
      <w:r w:rsidRPr="000D6416">
        <w:rPr>
          <w:i/>
          <w:iCs/>
        </w:rPr>
        <w:t>Behoud bijdrage aan de Nederlandse publieke belangen</w:t>
      </w:r>
    </w:p>
    <w:p w:rsidRPr="000D6416" w:rsidR="00A7794E" w:rsidP="00A7794E" w:rsidRDefault="00A7794E" w14:paraId="0E3B7E55" w14:textId="77777777">
      <w:pPr>
        <w:numPr>
          <w:ilvl w:val="0"/>
          <w:numId w:val="10"/>
        </w:numPr>
        <w:spacing w:line="240" w:lineRule="exact"/>
        <w:contextualSpacing/>
        <w:textAlignment w:val="auto"/>
      </w:pPr>
      <w:r w:rsidRPr="000D6416">
        <w:rPr>
          <w:i/>
          <w:iCs/>
        </w:rPr>
        <w:t xml:space="preserve">Werkbare </w:t>
      </w:r>
      <w:proofErr w:type="spellStart"/>
      <w:r w:rsidRPr="000D6416">
        <w:rPr>
          <w:i/>
          <w:iCs/>
        </w:rPr>
        <w:t>governance</w:t>
      </w:r>
      <w:proofErr w:type="spellEnd"/>
    </w:p>
    <w:p w:rsidRPr="000D6416" w:rsidR="00A7794E" w:rsidP="00A7794E" w:rsidRDefault="00A7794E" w14:paraId="1B6A395B" w14:textId="77777777">
      <w:pPr>
        <w:textAlignment w:val="auto"/>
      </w:pPr>
    </w:p>
    <w:p w:rsidR="00A7794E" w:rsidP="00A7794E" w:rsidRDefault="00DE19E9" w14:paraId="55270D8E" w14:textId="77777777">
      <w:pPr>
        <w:textAlignment w:val="auto"/>
      </w:pPr>
      <w:r>
        <w:t xml:space="preserve">De onderhandse uitgifte voldeed aan deze criteria en we hebben beoordeeld dat deze optie beter </w:t>
      </w:r>
      <w:r w:rsidR="00FA1830">
        <w:t xml:space="preserve">aan de criteria </w:t>
      </w:r>
      <w:r>
        <w:t xml:space="preserve">voldeed dan </w:t>
      </w:r>
      <w:r w:rsidR="00DF227E">
        <w:t>een</w:t>
      </w:r>
      <w:r>
        <w:t xml:space="preserve"> beursgang. </w:t>
      </w:r>
      <w:r w:rsidRPr="000D6416" w:rsidR="00A7794E">
        <w:t xml:space="preserve">In hoofdstuk </w:t>
      </w:r>
      <w:r>
        <w:t>2 licht ik dit verder toe.</w:t>
      </w:r>
      <w:r w:rsidRPr="000D6416" w:rsidR="00A7794E">
        <w:t xml:space="preserve"> Hoofdstuk </w:t>
      </w:r>
      <w:r>
        <w:t>3</w:t>
      </w:r>
      <w:r w:rsidRPr="000D6416" w:rsidR="00A7794E">
        <w:t xml:space="preserve"> gaat in op de budgettaire consequenties. </w:t>
      </w:r>
    </w:p>
    <w:p w:rsidRPr="000D6416" w:rsidR="00A7794E" w:rsidP="00A7794E" w:rsidRDefault="00A7794E" w14:paraId="563FF4F3" w14:textId="77777777">
      <w:pPr>
        <w:textAlignment w:val="auto"/>
      </w:pPr>
    </w:p>
    <w:p w:rsidR="00A7794E" w:rsidP="003B626D" w:rsidRDefault="00ED1C1D" w14:paraId="6EA4EB7C" w14:textId="77777777">
      <w:pPr>
        <w:pStyle w:val="Lijstalinea"/>
        <w:numPr>
          <w:ilvl w:val="0"/>
          <w:numId w:val="8"/>
        </w:numPr>
      </w:pPr>
      <w:r>
        <w:rPr>
          <w:b/>
          <w:bCs/>
        </w:rPr>
        <w:br w:type="column"/>
      </w:r>
      <w:r w:rsidR="00D508E7">
        <w:rPr>
          <w:b/>
          <w:bCs/>
        </w:rPr>
        <w:lastRenderedPageBreak/>
        <w:t>Keuze d</w:t>
      </w:r>
      <w:r w:rsidRPr="003B626D" w:rsidR="00DE19E9">
        <w:rPr>
          <w:b/>
          <w:bCs/>
        </w:rPr>
        <w:t>eelname private investeerders</w:t>
      </w:r>
    </w:p>
    <w:p w:rsidRPr="0091296F" w:rsidR="00FB0F35" w:rsidP="00DE19E9" w:rsidRDefault="00FB0F35" w14:paraId="47EAF2C0" w14:textId="77777777">
      <w:pPr>
        <w:numPr>
          <w:ilvl w:val="1"/>
          <w:numId w:val="8"/>
        </w:numPr>
        <w:ind w:left="567" w:hanging="567"/>
        <w:contextualSpacing/>
        <w:textAlignment w:val="auto"/>
        <w:rPr>
          <w:b/>
          <w:bCs/>
          <w:i/>
          <w:iCs/>
        </w:rPr>
      </w:pPr>
      <w:r w:rsidRPr="0091296F">
        <w:rPr>
          <w:b/>
          <w:bCs/>
          <w:i/>
          <w:iCs/>
        </w:rPr>
        <w:t>Criterium 1: Minimalisatie mogelijke negatieve financiële en budgettaire gevolgen Nederlandse staat</w:t>
      </w:r>
    </w:p>
    <w:p w:rsidRPr="00DF227E" w:rsidR="00FB0F35" w:rsidP="00FB0F35" w:rsidRDefault="00FB0F35" w14:paraId="1B6F8F96" w14:textId="77777777">
      <w:pPr>
        <w:textAlignment w:val="auto"/>
      </w:pPr>
      <w:r w:rsidRPr="000D6416">
        <w:t>De kapitaalstortingen zijn nodig om de kredietwaardigheid (</w:t>
      </w:r>
      <w:r w:rsidRPr="00361A57">
        <w:rPr>
          <w:i/>
          <w:iCs/>
        </w:rPr>
        <w:t>credit rating</w:t>
      </w:r>
      <w:r>
        <w:rPr>
          <w:rStyle w:val="Voetnootmarkering"/>
          <w:i/>
          <w:iCs/>
        </w:rPr>
        <w:footnoteReference w:id="9"/>
      </w:r>
      <w:r w:rsidRPr="000D6416">
        <w:t xml:space="preserve">) van </w:t>
      </w:r>
      <w:proofErr w:type="spellStart"/>
      <w:r w:rsidRPr="000D6416">
        <w:t>TenneT</w:t>
      </w:r>
      <w:proofErr w:type="spellEnd"/>
      <w:r w:rsidRPr="000D6416">
        <w:t xml:space="preserve"> Duitsland op peil te houden. Kredietbeoordelaars bepalen deze </w:t>
      </w:r>
      <w:r w:rsidRPr="00361A57">
        <w:rPr>
          <w:i/>
          <w:iCs/>
        </w:rPr>
        <w:t>credit rating</w:t>
      </w:r>
      <w:r w:rsidRPr="000D6416">
        <w:t xml:space="preserve"> door te kijken naar bepaalde financiële ratio’s. Bij de onderhandse uitgifte is € 8,</w:t>
      </w:r>
      <w:r>
        <w:t>5</w:t>
      </w:r>
      <w:r w:rsidRPr="000D6416">
        <w:t xml:space="preserve"> miljard</w:t>
      </w:r>
      <w:r>
        <w:t xml:space="preserve"> </w:t>
      </w:r>
      <w:r w:rsidRPr="000D6416">
        <w:t>aan kapitaal nodig (de kapitaalbehoefte) om de financiële ratio’s op peil te houden. De investeerders hebben toegezegd tot € 9,5 miljard te willen storten</w:t>
      </w:r>
      <w:r w:rsidRPr="009D71DA">
        <w:t xml:space="preserve"> </w:t>
      </w:r>
      <w:r>
        <w:t xml:space="preserve">en voorzien daarmee in de volledige kapitaalbehoefte inclusief </w:t>
      </w:r>
      <w:r w:rsidRPr="000D6416">
        <w:t>een buffer van € 1,</w:t>
      </w:r>
      <w:r>
        <w:t>0</w:t>
      </w:r>
      <w:r w:rsidRPr="000D6416">
        <w:t xml:space="preserve"> miljard. Deze buffer verkleint het risico dat de Nederlandse staat zich genoodzaakt ziet om publiek geld bij te storten. </w:t>
      </w:r>
      <w:r w:rsidR="00DF227E">
        <w:t xml:space="preserve">Door toetreding van deze private investeerders is de Nederlandse staat niet meer alleen </w:t>
      </w:r>
      <w:proofErr w:type="spellStart"/>
      <w:r w:rsidR="00DF227E">
        <w:rPr>
          <w:i/>
          <w:iCs/>
        </w:rPr>
        <w:t>lender</w:t>
      </w:r>
      <w:proofErr w:type="spellEnd"/>
      <w:r w:rsidR="00DF227E">
        <w:rPr>
          <w:i/>
          <w:iCs/>
        </w:rPr>
        <w:t xml:space="preserve"> of last resort.</w:t>
      </w:r>
    </w:p>
    <w:p w:rsidR="00FB0F35" w:rsidP="00FB0F35" w:rsidRDefault="00FB0F35" w14:paraId="21E42D2F" w14:textId="77777777">
      <w:pPr>
        <w:textAlignment w:val="auto"/>
        <w:rPr>
          <w:i/>
          <w:iCs/>
        </w:rPr>
      </w:pPr>
    </w:p>
    <w:p w:rsidR="00FB0F35" w:rsidP="00FB0F35" w:rsidRDefault="00FB0F35" w14:paraId="49A626AF" w14:textId="77777777">
      <w:pPr>
        <w:textAlignment w:val="auto"/>
      </w:pPr>
      <w:r>
        <w:t xml:space="preserve">Voordat de private investeerders verplicht zijn tot het doen van stortingen, moeten eerst </w:t>
      </w:r>
      <w:r w:rsidRPr="000D6416">
        <w:t>enkele opschortende voorwaarden worden vervuld.</w:t>
      </w:r>
      <w:r>
        <w:t xml:space="preserve"> Zo moet </w:t>
      </w:r>
      <w:r w:rsidRPr="002E2DCE">
        <w:t>de Duitse energietoezichthouder (</w:t>
      </w:r>
      <w:proofErr w:type="spellStart"/>
      <w:r w:rsidRPr="002E2DCE">
        <w:t>Bundesnetzagentur</w:t>
      </w:r>
      <w:proofErr w:type="spellEnd"/>
      <w:r w:rsidRPr="002E2DCE">
        <w:t xml:space="preserve">) </w:t>
      </w:r>
      <w:r>
        <w:t xml:space="preserve">bevestigen </w:t>
      </w:r>
      <w:r w:rsidRPr="002E2DCE">
        <w:t xml:space="preserve">dat de transactie in overeenstemming is met de regels voor het gesplitste eigendomsmodel van </w:t>
      </w:r>
      <w:proofErr w:type="spellStart"/>
      <w:r w:rsidRPr="002E2DCE">
        <w:t>TenneT</w:t>
      </w:r>
      <w:proofErr w:type="spellEnd"/>
      <w:r w:rsidRPr="002E2DCE">
        <w:t xml:space="preserve"> Duitsland (‘</w:t>
      </w:r>
      <w:proofErr w:type="spellStart"/>
      <w:r w:rsidRPr="0046612E">
        <w:rPr>
          <w:i/>
          <w:iCs/>
        </w:rPr>
        <w:t>unbundling</w:t>
      </w:r>
      <w:proofErr w:type="spellEnd"/>
      <w:r w:rsidRPr="0046612E">
        <w:rPr>
          <w:i/>
          <w:iCs/>
        </w:rPr>
        <w:t>’</w:t>
      </w:r>
      <w:r w:rsidRPr="002E2DCE">
        <w:t>).</w:t>
      </w:r>
      <w:r>
        <w:t xml:space="preserve"> Dit is gebruikelijk bij dergelijke transacties.</w:t>
      </w:r>
      <w:r w:rsidRPr="000D6416">
        <w:t xml:space="preserve"> </w:t>
      </w:r>
      <w:r>
        <w:t>Pas n</w:t>
      </w:r>
      <w:r w:rsidRPr="000D6416">
        <w:t>a het vervullen van alle opschortende voorwaarden wordt de transactie definitief en zal de eerste storting plaatsvinden. Dit zal naar verwachting in de eerste helft van 2026 zijn.</w:t>
      </w:r>
      <w:r w:rsidRPr="00D508E7" w:rsidR="00D508E7">
        <w:t xml:space="preserve"> </w:t>
      </w:r>
      <w:r w:rsidRPr="00A23B5C" w:rsidR="00D508E7">
        <w:t xml:space="preserve">In de </w:t>
      </w:r>
      <w:r w:rsidR="00D508E7">
        <w:t>R</w:t>
      </w:r>
      <w:r w:rsidRPr="00A23B5C" w:rsidR="00D508E7">
        <w:t xml:space="preserve">ijksbegroting </w:t>
      </w:r>
      <w:r w:rsidR="00D508E7">
        <w:t>staat</w:t>
      </w:r>
      <w:r w:rsidRPr="00A23B5C" w:rsidR="00D508E7">
        <w:t xml:space="preserve"> een reservering van € 7,3 miljard</w:t>
      </w:r>
      <w:r w:rsidR="00D508E7">
        <w:t xml:space="preserve"> voor </w:t>
      </w:r>
      <w:proofErr w:type="spellStart"/>
      <w:r w:rsidR="00D508E7">
        <w:t>TenneT</w:t>
      </w:r>
      <w:proofErr w:type="spellEnd"/>
      <w:r w:rsidR="00D508E7">
        <w:t xml:space="preserve"> Duitsland</w:t>
      </w:r>
      <w:r w:rsidRPr="00A23B5C" w:rsidR="00D508E7">
        <w:t>.</w:t>
      </w:r>
      <w:r w:rsidRPr="00D508E7" w:rsidR="00D508E7">
        <w:t xml:space="preserve"> </w:t>
      </w:r>
      <w:r w:rsidRPr="000D6416" w:rsidR="00D508E7">
        <w:t xml:space="preserve">Omdat de private investeerders de gehele kapitaalbehoefte hebben toegezegd, kan de reservering </w:t>
      </w:r>
      <w:r w:rsidR="00D508E7">
        <w:t>volledig vrijvallen als de transactie definitief is</w:t>
      </w:r>
      <w:r w:rsidRPr="000D6416" w:rsidR="00D508E7">
        <w:t>.</w:t>
      </w:r>
    </w:p>
    <w:p w:rsidR="00FB0F35" w:rsidP="00FB0F35" w:rsidRDefault="00FB0F35" w14:paraId="0626F3C6" w14:textId="77777777">
      <w:pPr>
        <w:textAlignment w:val="auto"/>
      </w:pPr>
    </w:p>
    <w:p w:rsidR="00FB0F35" w:rsidP="00FB0F35" w:rsidRDefault="00FB0F35" w14:paraId="1F62B17F" w14:textId="77777777">
      <w:pPr>
        <w:spacing w:line="240" w:lineRule="exact"/>
        <w:textAlignment w:val="auto"/>
      </w:pPr>
      <w:r>
        <w:t>Tot slot heeft de Duitse staat</w:t>
      </w:r>
      <w:r w:rsidRPr="003E3772">
        <w:t xml:space="preserve"> </w:t>
      </w:r>
      <w:r>
        <w:t xml:space="preserve">in juli </w:t>
      </w:r>
      <w:r w:rsidR="004B6DC5">
        <w:t xml:space="preserve">2025 </w:t>
      </w:r>
      <w:r w:rsidRPr="003E3772">
        <w:t xml:space="preserve">haar interesse bevestigd in een deelname </w:t>
      </w:r>
      <w:r>
        <w:t xml:space="preserve">in </w:t>
      </w:r>
      <w:proofErr w:type="spellStart"/>
      <w:r>
        <w:t>TenneT</w:t>
      </w:r>
      <w:proofErr w:type="spellEnd"/>
      <w:r>
        <w:t xml:space="preserve"> Duitsland in het geval van een</w:t>
      </w:r>
      <w:r w:rsidRPr="003E3772">
        <w:t xml:space="preserve"> onderhandse uitgifte. </w:t>
      </w:r>
      <w:r>
        <w:t>Dit is in</w:t>
      </w:r>
      <w:r w:rsidRPr="000D6416">
        <w:t xml:space="preserve"> lijn met het coalitieverdrag tussen </w:t>
      </w:r>
      <w:r>
        <w:t xml:space="preserve">de </w:t>
      </w:r>
      <w:r w:rsidRPr="000D6416">
        <w:t>Duitse partijen CDU, CSU en SPD</w:t>
      </w:r>
      <w:r>
        <w:t>.</w:t>
      </w:r>
      <w:r w:rsidRPr="000D6416">
        <w:t xml:space="preserve"> </w:t>
      </w:r>
      <w:r>
        <w:t xml:space="preserve">Ik, </w:t>
      </w:r>
      <w:proofErr w:type="spellStart"/>
      <w:r>
        <w:t>TenneT</w:t>
      </w:r>
      <w:proofErr w:type="spellEnd"/>
      <w:r>
        <w:t xml:space="preserve"> en de drie private investeerders staan hier positief </w:t>
      </w:r>
      <w:r w:rsidRPr="00C816C4">
        <w:t>tegenover</w:t>
      </w:r>
      <w:r w:rsidR="0096711C">
        <w:t>.</w:t>
      </w:r>
      <w:r w:rsidR="00C816C4">
        <w:t xml:space="preserve"> </w:t>
      </w:r>
      <w:r>
        <w:t>De Duitse staat moet voor een deelname uiteraard de benodigde goedkeuringen verkrijgen.</w:t>
      </w:r>
      <w:r w:rsidRPr="0068726D">
        <w:t xml:space="preserve"> </w:t>
      </w:r>
      <w:r>
        <w:t>M</w:t>
      </w:r>
      <w:r w:rsidRPr="000D6416">
        <w:t xml:space="preserve">ocht </w:t>
      </w:r>
      <w:r>
        <w:t>de Duitse staat</w:t>
      </w:r>
      <w:r w:rsidRPr="000D6416">
        <w:t xml:space="preserve"> toetreden dan wordt het risico </w:t>
      </w:r>
      <w:r w:rsidR="003B626D">
        <w:t xml:space="preserve">dat </w:t>
      </w:r>
      <w:r>
        <w:t>de Nederlandse staat</w:t>
      </w:r>
      <w:r w:rsidR="003B626D">
        <w:t xml:space="preserve"> zich genoodzaakt ziet bij te storten nog</w:t>
      </w:r>
      <w:r>
        <w:t xml:space="preserve"> </w:t>
      </w:r>
      <w:r w:rsidRPr="000D6416">
        <w:t>verder afgebouwd</w:t>
      </w:r>
      <w:r w:rsidRPr="0070193F">
        <w:t>.</w:t>
      </w:r>
    </w:p>
    <w:p w:rsidR="00B62F02" w:rsidP="00FB0F35" w:rsidRDefault="00B62F02" w14:paraId="28402251" w14:textId="77777777">
      <w:pPr>
        <w:spacing w:line="240" w:lineRule="exact"/>
        <w:textAlignment w:val="auto"/>
      </w:pPr>
    </w:p>
    <w:p w:rsidRPr="000D6416" w:rsidR="00FB0F35" w:rsidP="00FB0F35" w:rsidRDefault="00FB0F35" w14:paraId="3F713459" w14:textId="77777777">
      <w:pPr>
        <w:spacing w:line="240" w:lineRule="exact"/>
        <w:textAlignment w:val="auto"/>
      </w:pPr>
      <w:r>
        <w:t xml:space="preserve">Als </w:t>
      </w:r>
      <w:r w:rsidR="00B87AE0">
        <w:t>ik</w:t>
      </w:r>
      <w:r>
        <w:t xml:space="preserve"> dit </w:t>
      </w:r>
      <w:r w:rsidR="00B87AE0">
        <w:t xml:space="preserve">afweeg </w:t>
      </w:r>
      <w:r>
        <w:t xml:space="preserve">tegen </w:t>
      </w:r>
      <w:r w:rsidR="00DF227E">
        <w:t>een</w:t>
      </w:r>
      <w:r>
        <w:t xml:space="preserve"> </w:t>
      </w:r>
      <w:r w:rsidR="00B849DA">
        <w:t>beursgang, dan</w:t>
      </w:r>
      <w:r w:rsidR="00B87AE0">
        <w:t xml:space="preserve"> constateer ik dat</w:t>
      </w:r>
      <w:r w:rsidR="00FA1830">
        <w:t xml:space="preserve"> </w:t>
      </w:r>
      <w:r w:rsidR="00DF227E">
        <w:t>een</w:t>
      </w:r>
      <w:r w:rsidR="007746D0">
        <w:t xml:space="preserve"> beursgang minder goed voldeed aan dit criterium dan </w:t>
      </w:r>
      <w:r w:rsidR="00FA1830">
        <w:t>de onderhandse uitgifte.</w:t>
      </w:r>
      <w:r w:rsidR="007746D0">
        <w:t xml:space="preserve"> </w:t>
      </w:r>
      <w:r w:rsidR="00FA1830">
        <w:t>B</w:t>
      </w:r>
      <w:r w:rsidRPr="000D6416">
        <w:t xml:space="preserve">ij een beursgang </w:t>
      </w:r>
      <w:r w:rsidR="00FA1830">
        <w:t xml:space="preserve">zag </w:t>
      </w:r>
      <w:r w:rsidRPr="000D6416">
        <w:t xml:space="preserve">het </w:t>
      </w:r>
      <w:proofErr w:type="spellStart"/>
      <w:r w:rsidRPr="000D6416">
        <w:t>basispad</w:t>
      </w:r>
      <w:proofErr w:type="spellEnd"/>
      <w:r w:rsidRPr="000D6416">
        <w:t xml:space="preserve"> </w:t>
      </w:r>
      <w:r>
        <w:t xml:space="preserve">er </w:t>
      </w:r>
      <w:r w:rsidRPr="000D6416">
        <w:t>goed</w:t>
      </w:r>
      <w:r>
        <w:t xml:space="preserve"> uit</w:t>
      </w:r>
      <w:r w:rsidRPr="000D6416">
        <w:t xml:space="preserve">. Het </w:t>
      </w:r>
      <w:r>
        <w:t xml:space="preserve">was </w:t>
      </w:r>
      <w:r w:rsidRPr="000D6416">
        <w:t xml:space="preserve">aannemelijk </w:t>
      </w:r>
      <w:r>
        <w:t>dat</w:t>
      </w:r>
      <w:r w:rsidRPr="000D6416">
        <w:t xml:space="preserve"> in oktober </w:t>
      </w:r>
      <w:r w:rsidR="004B6DC5">
        <w:t xml:space="preserve">2025 </w:t>
      </w:r>
      <w:r>
        <w:t xml:space="preserve">een substantieel bedrag zou kunnen worden opgehaald </w:t>
      </w:r>
      <w:r w:rsidRPr="000D6416">
        <w:t xml:space="preserve">en </w:t>
      </w:r>
      <w:r w:rsidR="00FA1830">
        <w:t xml:space="preserve">dat </w:t>
      </w:r>
      <w:r w:rsidRPr="000D6416">
        <w:t xml:space="preserve">de rest van de kapitaalbehoefte in toekomstige jaren </w:t>
      </w:r>
      <w:r>
        <w:t>kon worden ingevuld</w:t>
      </w:r>
      <w:r w:rsidR="00FA1830">
        <w:t xml:space="preserve"> via de beurs</w:t>
      </w:r>
      <w:r w:rsidR="00C816C4">
        <w:t xml:space="preserve"> of andere instrumenten</w:t>
      </w:r>
      <w:r>
        <w:t xml:space="preserve">. </w:t>
      </w:r>
      <w:r w:rsidRPr="000D6416">
        <w:t xml:space="preserve">Maar of </w:t>
      </w:r>
      <w:r>
        <w:t>dit</w:t>
      </w:r>
      <w:r w:rsidRPr="000D6416">
        <w:t xml:space="preserve"> daadwerkelijk </w:t>
      </w:r>
      <w:r>
        <w:t>het geval zou zijn geweest</w:t>
      </w:r>
      <w:r w:rsidRPr="000D6416">
        <w:t xml:space="preserve"> </w:t>
      </w:r>
      <w:r w:rsidR="00FA1830">
        <w:t xml:space="preserve">zou </w:t>
      </w:r>
      <w:r w:rsidRPr="000D6416">
        <w:t>afhankelijk</w:t>
      </w:r>
      <w:r>
        <w:t xml:space="preserve"> zijn </w:t>
      </w:r>
      <w:r w:rsidRPr="000D6416">
        <w:t xml:space="preserve">van marktomstandigheden en de ontwikkeling van </w:t>
      </w:r>
      <w:proofErr w:type="spellStart"/>
      <w:r w:rsidRPr="000D6416">
        <w:t>TenneT</w:t>
      </w:r>
      <w:proofErr w:type="spellEnd"/>
      <w:r w:rsidRPr="000D6416">
        <w:t xml:space="preserve"> Duitsland.</w:t>
      </w:r>
      <w:r w:rsidR="00B87AE0">
        <w:t xml:space="preserve"> Indien het was gelukt om het benodigde kapitaal voor 2025 en 2026 op te halen bij </w:t>
      </w:r>
      <w:r w:rsidR="00DF227E">
        <w:t>een</w:t>
      </w:r>
      <w:r w:rsidR="00B87AE0">
        <w:t xml:space="preserve"> beursgang, dan was de reservering </w:t>
      </w:r>
      <w:r w:rsidR="003B626D">
        <w:t xml:space="preserve">op de Rijksbegroting </w:t>
      </w:r>
      <w:r w:rsidR="00B87AE0">
        <w:t>voor 2025 niet meer nodig</w:t>
      </w:r>
      <w:r w:rsidR="00FA1830">
        <w:t>.</w:t>
      </w:r>
      <w:r w:rsidRPr="000D6416">
        <w:t xml:space="preserve"> De reservering in de </w:t>
      </w:r>
      <w:r>
        <w:t>Rijks</w:t>
      </w:r>
      <w:r w:rsidRPr="000D6416">
        <w:t xml:space="preserve">begroting van € 4,3 miljard voor 2027 en 2028 </w:t>
      </w:r>
      <w:r w:rsidR="003B626D">
        <w:t xml:space="preserve">had echter </w:t>
      </w:r>
      <w:r w:rsidRPr="000D6416">
        <w:t>moet</w:t>
      </w:r>
      <w:r>
        <w:t>en</w:t>
      </w:r>
      <w:r w:rsidRPr="000D6416">
        <w:t xml:space="preserve"> blijven staan tot </w:t>
      </w:r>
      <w:r w:rsidR="00B87AE0">
        <w:t xml:space="preserve">de </w:t>
      </w:r>
      <w:r w:rsidRPr="000D6416">
        <w:t xml:space="preserve">volledig </w:t>
      </w:r>
      <w:r w:rsidR="00B87AE0">
        <w:t xml:space="preserve">kapitaalbehoefte was </w:t>
      </w:r>
      <w:r w:rsidRPr="000D6416">
        <w:t>opgehaald.</w:t>
      </w:r>
      <w:r w:rsidR="00FA1830">
        <w:t xml:space="preserve"> </w:t>
      </w:r>
    </w:p>
    <w:p w:rsidR="00FB0F35" w:rsidP="00FB0F35" w:rsidRDefault="00FB0F35" w14:paraId="74F219A3" w14:textId="77777777">
      <w:pPr>
        <w:spacing w:line="240" w:lineRule="exact"/>
        <w:textAlignment w:val="auto"/>
      </w:pPr>
    </w:p>
    <w:p w:rsidR="00FB0F35" w:rsidP="00FB0F35" w:rsidRDefault="00FB0F35" w14:paraId="06CE8438" w14:textId="77777777">
      <w:pPr>
        <w:numPr>
          <w:ilvl w:val="1"/>
          <w:numId w:val="8"/>
        </w:numPr>
        <w:ind w:left="567" w:hanging="567"/>
        <w:contextualSpacing/>
        <w:textAlignment w:val="auto"/>
        <w:rPr>
          <w:b/>
          <w:bCs/>
        </w:rPr>
      </w:pPr>
      <w:r>
        <w:rPr>
          <w:b/>
          <w:bCs/>
          <w:i/>
          <w:iCs/>
        </w:rPr>
        <w:t>Criterium 2: Marktconforme prijs</w:t>
      </w:r>
    </w:p>
    <w:p w:rsidRPr="000D6416" w:rsidR="00FB0F35" w:rsidP="00FB0F35" w:rsidRDefault="00FB0F35" w14:paraId="3BB31184" w14:textId="77777777">
      <w:pPr>
        <w:textAlignment w:val="auto"/>
      </w:pPr>
      <w:r w:rsidRPr="000D6416">
        <w:t>De prijs is tot stand gekomen via een marktconform biedingsproces.</w:t>
      </w:r>
      <w:r>
        <w:t xml:space="preserve"> </w:t>
      </w:r>
      <w:r w:rsidRPr="000D6416">
        <w:t xml:space="preserve">Marktpartijen hebben via een openbare uitnodiging </w:t>
      </w:r>
      <w:proofErr w:type="gramStart"/>
      <w:r w:rsidRPr="000D6416">
        <w:t>kennis genomen</w:t>
      </w:r>
      <w:proofErr w:type="gramEnd"/>
      <w:r w:rsidRPr="000D6416">
        <w:t xml:space="preserve"> van dit proces. Vervolgens is met geïnteresseerde partijen informatie gedeeld op basis waarvan zij een niet-bindend bod konden doen. Daarna is onderhandeld met de </w:t>
      </w:r>
      <w:r w:rsidRPr="000D6416">
        <w:lastRenderedPageBreak/>
        <w:t xml:space="preserve">private investeerders over de prijs en voorwaarden van deelname. Aanvullend is </w:t>
      </w:r>
      <w:r w:rsidR="003B626D">
        <w:t>door</w:t>
      </w:r>
      <w:r w:rsidRPr="000D6416" w:rsidR="003B626D">
        <w:t xml:space="preserve"> </w:t>
      </w:r>
      <w:r w:rsidRPr="000D6416">
        <w:t>een onafhankelijk</w:t>
      </w:r>
      <w:r>
        <w:t>e waarderingsexpert</w:t>
      </w:r>
      <w:r w:rsidRPr="000D6416">
        <w:t xml:space="preserve"> (KPMG) een </w:t>
      </w:r>
      <w:proofErr w:type="spellStart"/>
      <w:r w:rsidRPr="000D6416">
        <w:rPr>
          <w:i/>
          <w:iCs/>
        </w:rPr>
        <w:t>fairness</w:t>
      </w:r>
      <w:proofErr w:type="spellEnd"/>
      <w:r w:rsidRPr="000D6416">
        <w:rPr>
          <w:i/>
          <w:iCs/>
        </w:rPr>
        <w:t xml:space="preserve"> opini</w:t>
      </w:r>
      <w:r>
        <w:rPr>
          <w:i/>
          <w:iCs/>
        </w:rPr>
        <w:t>on</w:t>
      </w:r>
      <w:r w:rsidRPr="000D6416">
        <w:rPr>
          <w:i/>
          <w:iCs/>
        </w:rPr>
        <w:t xml:space="preserve"> </w:t>
      </w:r>
      <w:r w:rsidRPr="000D6416">
        <w:t>af</w:t>
      </w:r>
      <w:r>
        <w:t>gegeven</w:t>
      </w:r>
      <w:r w:rsidRPr="000D6416">
        <w:t xml:space="preserve"> over de prijs. Op deze manier kan de staat er zeker van zijn dat er een marktconforme, eerlijke prijs is ontvangen voor de uitgifte van de nieuwe aandelen. </w:t>
      </w:r>
    </w:p>
    <w:p w:rsidR="00FB0F35" w:rsidP="00FB0F35" w:rsidRDefault="00FB0F35" w14:paraId="5FB3BF21" w14:textId="77777777">
      <w:pPr>
        <w:textAlignment w:val="auto"/>
        <w:rPr>
          <w:i/>
          <w:iCs/>
        </w:rPr>
      </w:pPr>
    </w:p>
    <w:p w:rsidR="00FB0F35" w:rsidP="00FB0F35" w:rsidRDefault="00FB0F35" w14:paraId="0DB84E73" w14:textId="77777777">
      <w:pPr>
        <w:textAlignment w:val="auto"/>
      </w:pPr>
      <w:r w:rsidRPr="000D6416">
        <w:t xml:space="preserve">De overeengekomen waardering voor de aandelen in </w:t>
      </w:r>
      <w:proofErr w:type="spellStart"/>
      <w:r w:rsidRPr="000D6416">
        <w:t>TenneT</w:t>
      </w:r>
      <w:proofErr w:type="spellEnd"/>
      <w:r w:rsidRPr="000D6416">
        <w:t xml:space="preserve"> Duitsland betreft </w:t>
      </w:r>
    </w:p>
    <w:p w:rsidR="00FB0F35" w:rsidP="00FB0F35" w:rsidRDefault="00FB0F35" w14:paraId="72A6561C" w14:textId="77777777">
      <w:pPr>
        <w:textAlignment w:val="auto"/>
      </w:pPr>
      <w:r w:rsidRPr="000D6416">
        <w:t>€ 10,</w:t>
      </w:r>
      <w:r>
        <w:t>4</w:t>
      </w:r>
      <w:r w:rsidRPr="000D6416">
        <w:t xml:space="preserve"> miljard per </w:t>
      </w:r>
      <w:r>
        <w:t>31 december</w:t>
      </w:r>
      <w:r w:rsidRPr="000D6416">
        <w:t xml:space="preserve"> 2025</w:t>
      </w:r>
      <w:r w:rsidRPr="000D6416">
        <w:rPr>
          <w:vertAlign w:val="superscript"/>
        </w:rPr>
        <w:footnoteReference w:id="10"/>
      </w:r>
      <w:r w:rsidRPr="000D6416">
        <w:t xml:space="preserve"> (aandeelhouderswaarde) en staat vast zodra de transactiedocumentatie is getekend.</w:t>
      </w:r>
      <w:r>
        <w:rPr>
          <w:rStyle w:val="Voetnootmarkering"/>
        </w:rPr>
        <w:footnoteReference w:id="11"/>
      </w:r>
      <w:r w:rsidRPr="000D6416">
        <w:t xml:space="preserve"> Deze aandeelhouderswaarde wordt gebruikt om vast te stellen wat de </w:t>
      </w:r>
      <w:r w:rsidR="00C816C4">
        <w:t xml:space="preserve">relatieve </w:t>
      </w:r>
      <w:r w:rsidRPr="000D6416">
        <w:t>waarde is van het minderheidsbelang dat verkregen wordt door de investeerders</w:t>
      </w:r>
      <w:r>
        <w:t>.</w:t>
      </w:r>
      <w:r w:rsidRPr="00FA7CC6">
        <w:t xml:space="preserve"> </w:t>
      </w:r>
      <w:r w:rsidRPr="000D6416">
        <w:t xml:space="preserve">Om tot de waarde van de </w:t>
      </w:r>
      <w:r>
        <w:t xml:space="preserve">gehele onderneming </w:t>
      </w:r>
      <w:r w:rsidRPr="000D6416">
        <w:t xml:space="preserve">te komen, moet de schuld </w:t>
      </w:r>
      <w:r>
        <w:t xml:space="preserve">hierbij </w:t>
      </w:r>
      <w:r w:rsidRPr="000D6416">
        <w:t xml:space="preserve">worden </w:t>
      </w:r>
      <w:r>
        <w:t>opgeteld</w:t>
      </w:r>
      <w:r w:rsidRPr="000D6416">
        <w:t xml:space="preserve">. De totale ondernemingswaarde van </w:t>
      </w:r>
      <w:proofErr w:type="spellStart"/>
      <w:r w:rsidRPr="000D6416">
        <w:t>TenneT</w:t>
      </w:r>
      <w:proofErr w:type="spellEnd"/>
      <w:r w:rsidRPr="000D6416">
        <w:t xml:space="preserve"> Duitsland </w:t>
      </w:r>
      <w:r>
        <w:t xml:space="preserve">wordt dan, gegeven dat </w:t>
      </w:r>
      <w:proofErr w:type="spellStart"/>
      <w:r>
        <w:t>TenneT</w:t>
      </w:r>
      <w:proofErr w:type="spellEnd"/>
      <w:r>
        <w:t xml:space="preserve"> presteert zoals is geprognosticeerd, geraamd op circa </w:t>
      </w:r>
      <w:r w:rsidRPr="000D6416">
        <w:t xml:space="preserve">€ </w:t>
      </w:r>
      <w:r>
        <w:t>40</w:t>
      </w:r>
      <w:r w:rsidRPr="000D6416">
        <w:t xml:space="preserve"> miljard. Ter referentie, </w:t>
      </w:r>
      <w:proofErr w:type="spellStart"/>
      <w:r w:rsidRPr="000D6416">
        <w:t>TenneT</w:t>
      </w:r>
      <w:proofErr w:type="spellEnd"/>
      <w:r w:rsidRPr="000D6416">
        <w:t xml:space="preserve"> heeft de Duitse activiteiten in 2010 verworven door de overname van het Duitse Transpower. De ondernemingswaarde was destijds € 885 miljoen. </w:t>
      </w:r>
    </w:p>
    <w:p w:rsidR="001D3228" w:rsidP="001D3228" w:rsidRDefault="001D3228" w14:paraId="7242632F" w14:textId="77777777">
      <w:pPr>
        <w:spacing w:line="240" w:lineRule="exact"/>
        <w:textAlignment w:val="auto"/>
      </w:pPr>
    </w:p>
    <w:p w:rsidR="001D3228" w:rsidP="00DE19E9" w:rsidRDefault="00B87AE0" w14:paraId="77E3FB61" w14:textId="77777777">
      <w:pPr>
        <w:spacing w:line="240" w:lineRule="exact"/>
        <w:textAlignment w:val="auto"/>
      </w:pPr>
      <w:r>
        <w:t xml:space="preserve">Als ik dit afweeg tegen </w:t>
      </w:r>
      <w:r w:rsidR="00DF227E">
        <w:t>een</w:t>
      </w:r>
      <w:r>
        <w:t xml:space="preserve"> beursgang, dan constateer ik dat d</w:t>
      </w:r>
      <w:r w:rsidRPr="000D6416" w:rsidR="00DE19E9">
        <w:t xml:space="preserve">e </w:t>
      </w:r>
      <w:r w:rsidR="00DE19E9">
        <w:t>aandelen</w:t>
      </w:r>
      <w:r w:rsidRPr="000D6416" w:rsidR="00DE19E9">
        <w:t xml:space="preserve">prijs </w:t>
      </w:r>
      <w:r w:rsidR="00DE19E9">
        <w:t xml:space="preserve">van de onderhandse </w:t>
      </w:r>
      <w:r>
        <w:t xml:space="preserve">uitgifte </w:t>
      </w:r>
      <w:r w:rsidRPr="000D6416" w:rsidR="00DE19E9">
        <w:t xml:space="preserve">binnen de bandbreedte </w:t>
      </w:r>
      <w:r>
        <w:t xml:space="preserve">viel </w:t>
      </w:r>
      <w:r w:rsidR="00DE19E9">
        <w:t xml:space="preserve">die door de adviseurs van </w:t>
      </w:r>
      <w:proofErr w:type="spellStart"/>
      <w:r w:rsidR="00DE19E9">
        <w:t>TenneT</w:t>
      </w:r>
      <w:proofErr w:type="spellEnd"/>
      <w:r w:rsidR="00DE19E9">
        <w:t xml:space="preserve"> was afgegeven voor een </w:t>
      </w:r>
      <w:r w:rsidRPr="000D6416" w:rsidR="00DE19E9">
        <w:t>beursgang</w:t>
      </w:r>
      <w:r w:rsidR="007746D0">
        <w:t xml:space="preserve">. </w:t>
      </w:r>
    </w:p>
    <w:p w:rsidR="00E25E73" w:rsidP="00DE19E9" w:rsidRDefault="00E25E73" w14:paraId="002FBB71" w14:textId="77777777">
      <w:pPr>
        <w:spacing w:line="240" w:lineRule="exact"/>
        <w:textAlignment w:val="auto"/>
      </w:pPr>
    </w:p>
    <w:tbl>
      <w:tblPr>
        <w:tblStyle w:val="Tabelraster"/>
        <w:tblW w:w="0" w:type="auto"/>
        <w:tblInd w:w="57" w:type="dxa"/>
        <w:tblLook w:val="04A0" w:firstRow="1" w:lastRow="0" w:firstColumn="1" w:lastColumn="0" w:noHBand="0" w:noVBand="1"/>
      </w:tblPr>
      <w:tblGrid>
        <w:gridCol w:w="7417"/>
      </w:tblGrid>
      <w:tr w:rsidR="00E25E73" w:rsidTr="00E25E73" w14:paraId="499A3590" w14:textId="77777777">
        <w:trPr>
          <w:cnfStyle w:val="100000000000" w:firstRow="1" w:lastRow="0" w:firstColumn="0" w:lastColumn="0" w:oddVBand="0" w:evenVBand="0" w:oddHBand="0" w:evenHBand="0" w:firstRowFirstColumn="0" w:firstRowLastColumn="0" w:lastRowFirstColumn="0" w:lastRowLastColumn="0"/>
        </w:trPr>
        <w:tc>
          <w:tcPr>
            <w:tcW w:w="7474" w:type="dxa"/>
          </w:tcPr>
          <w:p w:rsidRPr="006422C9" w:rsidR="00F56C56" w:rsidP="00F56C56" w:rsidRDefault="00F56C56" w14:paraId="423693A0" w14:textId="77777777">
            <w:pPr>
              <w:ind w:left="57" w:right="57"/>
              <w:textAlignment w:val="auto"/>
              <w:rPr>
                <w:b/>
                <w:bCs/>
                <w:sz w:val="16"/>
                <w:szCs w:val="16"/>
              </w:rPr>
            </w:pPr>
            <w:r w:rsidRPr="006422C9">
              <w:rPr>
                <w:b/>
                <w:bCs/>
                <w:sz w:val="16"/>
                <w:szCs w:val="16"/>
              </w:rPr>
              <w:t>Kader – Toelichting financiële kerncijfers</w:t>
            </w:r>
          </w:p>
          <w:p w:rsidR="00F56C56" w:rsidP="00F56C56" w:rsidRDefault="00F56C56" w14:paraId="42CA3618" w14:textId="77777777">
            <w:pPr>
              <w:ind w:left="57" w:right="57"/>
              <w:textAlignment w:val="auto"/>
              <w:rPr>
                <w:sz w:val="16"/>
                <w:szCs w:val="16"/>
              </w:rPr>
            </w:pPr>
          </w:p>
          <w:p w:rsidR="00F56C56" w:rsidP="00F56C56" w:rsidRDefault="00F56C56" w14:paraId="628A1E31" w14:textId="77777777">
            <w:pPr>
              <w:ind w:left="57" w:right="57"/>
              <w:textAlignment w:val="auto"/>
              <w:rPr>
                <w:sz w:val="16"/>
                <w:szCs w:val="16"/>
              </w:rPr>
            </w:pPr>
            <w:r>
              <w:rPr>
                <w:sz w:val="16"/>
                <w:szCs w:val="16"/>
              </w:rPr>
              <w:t>De waarde van een bedrijf (ondernemingswaarde) bestaat uit de waarde van het eigen vermogen (aandeelhouderswaarde) en de schuld. Met het eigen vermogen en de schuld worden de activiteiten gefinancierd. Als een bedrijf relatief veel schuld heeft ten opzichte van het eigen vermogen, wordt het bedrijf door kredietbeoordelaars als risicovoller gezien. Dit leidt doorgaans tot een lagere kredietwaardigheid van het bedrijf (</w:t>
            </w:r>
            <w:r>
              <w:rPr>
                <w:i/>
                <w:iCs/>
                <w:sz w:val="16"/>
                <w:szCs w:val="16"/>
              </w:rPr>
              <w:t>credit rating)</w:t>
            </w:r>
            <w:r>
              <w:rPr>
                <w:sz w:val="16"/>
                <w:szCs w:val="16"/>
              </w:rPr>
              <w:t xml:space="preserve">. Omdat </w:t>
            </w:r>
            <w:proofErr w:type="spellStart"/>
            <w:r>
              <w:rPr>
                <w:sz w:val="16"/>
                <w:szCs w:val="16"/>
              </w:rPr>
              <w:t>TenneT</w:t>
            </w:r>
            <w:proofErr w:type="spellEnd"/>
            <w:r>
              <w:rPr>
                <w:sz w:val="16"/>
                <w:szCs w:val="16"/>
              </w:rPr>
              <w:t xml:space="preserve"> Duitsland de komende jaren veel moet investeren, moet het veel schuld aantrekken. Om de kredietwaardigheid op peil te houden, moet daarom ook het eigen vermogen worden versterkt. In totaal heeft </w:t>
            </w:r>
            <w:proofErr w:type="spellStart"/>
            <w:r>
              <w:rPr>
                <w:sz w:val="16"/>
                <w:szCs w:val="16"/>
              </w:rPr>
              <w:t>TenneT</w:t>
            </w:r>
            <w:proofErr w:type="spellEnd"/>
            <w:r>
              <w:rPr>
                <w:sz w:val="16"/>
                <w:szCs w:val="16"/>
              </w:rPr>
              <w:t xml:space="preserve"> Duitsland de komende jaren </w:t>
            </w:r>
            <w:r w:rsidR="00C816C4">
              <w:rPr>
                <w:sz w:val="16"/>
                <w:szCs w:val="16"/>
              </w:rPr>
              <w:t xml:space="preserve">naar verwachting </w:t>
            </w:r>
            <w:r>
              <w:rPr>
                <w:sz w:val="16"/>
                <w:szCs w:val="16"/>
              </w:rPr>
              <w:t>minimaal € 8,5 miljard extra eigen vermogen</w:t>
            </w:r>
            <w:r w:rsidR="003B626D">
              <w:rPr>
                <w:sz w:val="16"/>
                <w:szCs w:val="16"/>
              </w:rPr>
              <w:t xml:space="preserve"> </w:t>
            </w:r>
            <w:r>
              <w:rPr>
                <w:sz w:val="16"/>
                <w:szCs w:val="16"/>
              </w:rPr>
              <w:t>nodig</w:t>
            </w:r>
            <w:r w:rsidR="003B626D">
              <w:rPr>
                <w:sz w:val="16"/>
                <w:szCs w:val="16"/>
              </w:rPr>
              <w:t xml:space="preserve"> om de kredietwaardigheid op peil te houden</w:t>
            </w:r>
            <w:r>
              <w:rPr>
                <w:sz w:val="16"/>
                <w:szCs w:val="16"/>
              </w:rPr>
              <w:t>. Dit noemen we de kapitaalbehoefte.</w:t>
            </w:r>
          </w:p>
          <w:p w:rsidR="00F56C56" w:rsidP="00F56C56" w:rsidRDefault="00F56C56" w14:paraId="67B53815" w14:textId="77777777">
            <w:pPr>
              <w:ind w:left="57" w:right="57"/>
              <w:textAlignment w:val="auto"/>
              <w:rPr>
                <w:sz w:val="16"/>
                <w:szCs w:val="16"/>
              </w:rPr>
            </w:pPr>
          </w:p>
          <w:p w:rsidR="00F56C56" w:rsidP="00F56C56" w:rsidRDefault="00F56C56" w14:paraId="2E356841" w14:textId="77777777">
            <w:pPr>
              <w:ind w:left="57" w:right="57"/>
              <w:textAlignment w:val="auto"/>
              <w:rPr>
                <w:sz w:val="16"/>
                <w:szCs w:val="16"/>
              </w:rPr>
            </w:pPr>
            <w:r>
              <w:rPr>
                <w:sz w:val="16"/>
                <w:szCs w:val="16"/>
              </w:rPr>
              <w:t xml:space="preserve">De investeerders hebben toegezegd tot € 9,5 miljard te willen storten. Dat is dus meer dan nodig en daarmee is er een buffer voor het geval de investeringsagenda toeneemt. Dit bedrag wordt toegevoegd aan het bestaande eigen vermogen van </w:t>
            </w:r>
            <w:proofErr w:type="spellStart"/>
            <w:r>
              <w:rPr>
                <w:sz w:val="16"/>
                <w:szCs w:val="16"/>
              </w:rPr>
              <w:t>TenneT</w:t>
            </w:r>
            <w:proofErr w:type="spellEnd"/>
            <w:r>
              <w:rPr>
                <w:sz w:val="16"/>
                <w:szCs w:val="16"/>
              </w:rPr>
              <w:t xml:space="preserve"> Duitsland. Met de investeerders is onderhandeld om te bepalen wat de waarde van het bestaande eigen vermogen is. Deze overeengekomen waarde betreft € 10,4 miljard per 31 december 2025. Als de investeerders € 9,5 miljard in één keer zouden storten, </w:t>
            </w:r>
            <w:r w:rsidR="00C816C4">
              <w:rPr>
                <w:sz w:val="16"/>
                <w:szCs w:val="16"/>
              </w:rPr>
              <w:t xml:space="preserve">zou </w:t>
            </w:r>
            <w:r>
              <w:rPr>
                <w:sz w:val="16"/>
                <w:szCs w:val="16"/>
              </w:rPr>
              <w:t>de totale waarde van het eigen vermogen € 19,9 miljard per 31 december 2025</w:t>
            </w:r>
            <w:r w:rsidR="00C816C4">
              <w:rPr>
                <w:sz w:val="16"/>
                <w:szCs w:val="16"/>
              </w:rPr>
              <w:t xml:space="preserve"> zijn</w:t>
            </w:r>
            <w:r>
              <w:rPr>
                <w:sz w:val="16"/>
                <w:szCs w:val="16"/>
              </w:rPr>
              <w:t xml:space="preserve">. </w:t>
            </w:r>
          </w:p>
          <w:p w:rsidR="00F56C56" w:rsidP="00F56C56" w:rsidRDefault="00F56C56" w14:paraId="51ED4B4C" w14:textId="77777777">
            <w:pPr>
              <w:ind w:left="57" w:right="57"/>
              <w:textAlignment w:val="auto"/>
              <w:rPr>
                <w:sz w:val="16"/>
                <w:szCs w:val="16"/>
              </w:rPr>
            </w:pPr>
          </w:p>
          <w:p w:rsidR="00F56C56" w:rsidP="00F56C56" w:rsidRDefault="00F56C56" w14:paraId="176E799B" w14:textId="77777777">
            <w:pPr>
              <w:ind w:left="57" w:right="57"/>
              <w:textAlignment w:val="auto"/>
              <w:rPr>
                <w:sz w:val="16"/>
                <w:szCs w:val="16"/>
              </w:rPr>
            </w:pPr>
            <w:r>
              <w:rPr>
                <w:sz w:val="16"/>
                <w:szCs w:val="16"/>
              </w:rPr>
              <w:t xml:space="preserve">Om te bepalen hoeveel aandelen de investeerders in ruil voor hun storting krijgen, wordt gekeken naar hoe groot hun aandeel is in de totale waarde van het eigen vermogen. Als alles op 31 december 2025 zou worden gestort, betreft dit € 9,5 gedeeld door € 19,9 miljard en komt dit uit op 48%. Echter, de investeerders storten het bedrag niet in één keer op 31 december 2025, maar in delen de komende jaren. </w:t>
            </w:r>
            <w:r w:rsidRPr="00C816C4" w:rsidR="00C816C4">
              <w:rPr>
                <w:sz w:val="16"/>
                <w:szCs w:val="16"/>
              </w:rPr>
              <w:t xml:space="preserve">Tot de daadwerkelijke </w:t>
            </w:r>
            <w:r w:rsidRPr="00C816C4" w:rsidR="00C816C4">
              <w:rPr>
                <w:sz w:val="16"/>
                <w:szCs w:val="16"/>
              </w:rPr>
              <w:lastRenderedPageBreak/>
              <w:t xml:space="preserve">stortingen wordt </w:t>
            </w:r>
            <w:proofErr w:type="spellStart"/>
            <w:r w:rsidRPr="00C816C4" w:rsidR="00C816C4">
              <w:rPr>
                <w:sz w:val="16"/>
                <w:szCs w:val="16"/>
              </w:rPr>
              <w:t>TenneT</w:t>
            </w:r>
            <w:proofErr w:type="spellEnd"/>
            <w:r w:rsidRPr="00C816C4" w:rsidR="00C816C4">
              <w:rPr>
                <w:sz w:val="16"/>
                <w:szCs w:val="16"/>
              </w:rPr>
              <w:t xml:space="preserve"> Duitsland meer waard. Om deze waardestijging te reflecteren is overeengekomen dat de aandeelhouderswaarde met 8% per jaar stijgt</w:t>
            </w:r>
            <w:r w:rsidR="00C816C4">
              <w:rPr>
                <w:sz w:val="16"/>
                <w:szCs w:val="16"/>
              </w:rPr>
              <w:t>. Hierdoor komt</w:t>
            </w:r>
            <w:r>
              <w:rPr>
                <w:sz w:val="16"/>
                <w:szCs w:val="16"/>
              </w:rPr>
              <w:t xml:space="preserve"> de totale waarde van het eigen vermogen hoger uit en het </w:t>
            </w:r>
            <w:r w:rsidR="00C816C4">
              <w:rPr>
                <w:sz w:val="16"/>
                <w:szCs w:val="16"/>
              </w:rPr>
              <w:t xml:space="preserve">uiteindelijke </w:t>
            </w:r>
            <w:r>
              <w:rPr>
                <w:sz w:val="16"/>
                <w:szCs w:val="16"/>
              </w:rPr>
              <w:t>aandelenbelang van de investeerders dus lager, op</w:t>
            </w:r>
            <w:r w:rsidR="00A23B5C">
              <w:rPr>
                <w:sz w:val="16"/>
                <w:szCs w:val="16"/>
              </w:rPr>
              <w:t xml:space="preserve"> naar verwachting</w:t>
            </w:r>
            <w:r>
              <w:rPr>
                <w:sz w:val="16"/>
                <w:szCs w:val="16"/>
              </w:rPr>
              <w:t xml:space="preserve"> circa 46% na de laatste storting.</w:t>
            </w:r>
          </w:p>
          <w:p w:rsidR="00F56C56" w:rsidP="00F56C56" w:rsidRDefault="00F56C56" w14:paraId="043BDE5E" w14:textId="77777777">
            <w:pPr>
              <w:ind w:left="57" w:right="57"/>
              <w:textAlignment w:val="auto"/>
              <w:rPr>
                <w:sz w:val="16"/>
                <w:szCs w:val="16"/>
              </w:rPr>
            </w:pPr>
          </w:p>
          <w:p w:rsidR="00F56C56" w:rsidP="00F56C56" w:rsidRDefault="00F56C56" w14:paraId="07CE7253" w14:textId="77777777">
            <w:pPr>
              <w:ind w:left="57" w:right="57"/>
              <w:textAlignment w:val="auto"/>
              <w:rPr>
                <w:sz w:val="16"/>
                <w:szCs w:val="16"/>
              </w:rPr>
            </w:pPr>
            <w:r>
              <w:rPr>
                <w:sz w:val="16"/>
                <w:szCs w:val="16"/>
              </w:rPr>
              <w:t xml:space="preserve">Zoals hierboven beschreven bestaat de waarde van </w:t>
            </w:r>
            <w:proofErr w:type="spellStart"/>
            <w:r>
              <w:rPr>
                <w:sz w:val="16"/>
                <w:szCs w:val="16"/>
              </w:rPr>
              <w:t>TenneT</w:t>
            </w:r>
            <w:proofErr w:type="spellEnd"/>
            <w:r>
              <w:rPr>
                <w:sz w:val="16"/>
                <w:szCs w:val="16"/>
              </w:rPr>
              <w:t xml:space="preserve"> Duitsland (ondernemingswaarde) uit de waarde van het eigen vermogen (aandeelhouderswaarde) en de schuld. Een aandeelhouderswaarde van € 10,4 miljard correspondeert met een ondernemingswaarde van circa € 40 miljard per 31 december 2025.</w:t>
            </w:r>
          </w:p>
          <w:p w:rsidR="00E25E73" w:rsidP="003B626D" w:rsidRDefault="00E25E73" w14:paraId="16049A25" w14:textId="77777777">
            <w:pPr>
              <w:ind w:left="57" w:right="57"/>
              <w:textAlignment w:val="auto"/>
              <w:rPr>
                <w:b/>
                <w:bCs/>
                <w:sz w:val="16"/>
                <w:szCs w:val="16"/>
              </w:rPr>
            </w:pPr>
          </w:p>
        </w:tc>
      </w:tr>
    </w:tbl>
    <w:p w:rsidR="00FB0F35" w:rsidP="00FB0F35" w:rsidRDefault="00FB0F35" w14:paraId="3C05B106" w14:textId="77777777">
      <w:pPr>
        <w:contextualSpacing/>
        <w:textAlignment w:val="auto"/>
        <w:rPr>
          <w:b/>
          <w:bCs/>
        </w:rPr>
      </w:pPr>
    </w:p>
    <w:p w:rsidRPr="0046612E" w:rsidR="00FB0F35" w:rsidP="00FB0F35" w:rsidRDefault="00FB0F35" w14:paraId="4165199B" w14:textId="77777777">
      <w:pPr>
        <w:numPr>
          <w:ilvl w:val="1"/>
          <w:numId w:val="8"/>
        </w:numPr>
        <w:ind w:left="567" w:hanging="567"/>
        <w:contextualSpacing/>
        <w:textAlignment w:val="auto"/>
        <w:rPr>
          <w:b/>
          <w:bCs/>
        </w:rPr>
      </w:pPr>
      <w:r>
        <w:rPr>
          <w:b/>
          <w:bCs/>
          <w:i/>
          <w:iCs/>
        </w:rPr>
        <w:t>Criterium 3: Behoud bijdrage aan de Nederlandse publieke belangen</w:t>
      </w:r>
    </w:p>
    <w:p w:rsidR="00B62F02" w:rsidP="00FB0F35" w:rsidRDefault="00FB0F35" w14:paraId="5E9434C3" w14:textId="77777777">
      <w:pPr>
        <w:contextualSpacing/>
        <w:textAlignment w:val="auto"/>
      </w:pPr>
      <w:r w:rsidRPr="0068726D">
        <w:t xml:space="preserve">Om de bijdrage aan het Nederlandse publieke belang te behouden zijn </w:t>
      </w:r>
      <w:proofErr w:type="spellStart"/>
      <w:r w:rsidRPr="0068726D">
        <w:t>TenneT</w:t>
      </w:r>
      <w:proofErr w:type="spellEnd"/>
      <w:r w:rsidRPr="0068726D">
        <w:t xml:space="preserve"> Nederland en </w:t>
      </w:r>
      <w:proofErr w:type="spellStart"/>
      <w:r w:rsidRPr="0068726D">
        <w:t>TenneT</w:t>
      </w:r>
      <w:proofErr w:type="spellEnd"/>
      <w:r w:rsidRPr="0068726D">
        <w:t xml:space="preserve"> Duitsland contracten voor de voortzetting van de samenwerking aangegaan met beperkte beëindigingsmogelijkheden. Een van deze contracten ziet op het voortzetten van de samenwerking ten aanzien van het offshore 2GW programma. De private investeerders zijn bekend met deze contracten. </w:t>
      </w:r>
      <w:proofErr w:type="spellStart"/>
      <w:r w:rsidRPr="0068726D">
        <w:t>TenneT</w:t>
      </w:r>
      <w:proofErr w:type="spellEnd"/>
      <w:r w:rsidRPr="0068726D">
        <w:t xml:space="preserve"> blijft bovendien </w:t>
      </w:r>
      <w:r w:rsidR="00C816C4">
        <w:t>de grootste aandeelhouder van</w:t>
      </w:r>
      <w:r w:rsidRPr="0068726D">
        <w:t xml:space="preserve"> </w:t>
      </w:r>
      <w:proofErr w:type="spellStart"/>
      <w:r w:rsidRPr="0068726D">
        <w:t>TenneT</w:t>
      </w:r>
      <w:proofErr w:type="spellEnd"/>
      <w:r w:rsidRPr="0068726D">
        <w:t xml:space="preserve"> Duitsland, waardoor het tot op zekere hoogte kan sturen op het behoud van het Nederlandse publieke belang.</w:t>
      </w:r>
      <w:r w:rsidRPr="00F2783C">
        <w:t xml:space="preserve"> </w:t>
      </w:r>
      <w:r>
        <w:t>Grensoverschrijdende synergiën zijn daarnaast primair geborgd via wet</w:t>
      </w:r>
      <w:r w:rsidR="00CD7FDB">
        <w:t>-</w:t>
      </w:r>
      <w:r>
        <w:t xml:space="preserve"> en regelgeving en blijven dus ook behouden zonder organisatorische integratie.</w:t>
      </w:r>
      <w:r w:rsidR="00B62F02">
        <w:t xml:space="preserve"> </w:t>
      </w:r>
    </w:p>
    <w:p w:rsidR="00B62F02" w:rsidP="00FB0F35" w:rsidRDefault="00B62F02" w14:paraId="76B8F46E" w14:textId="77777777">
      <w:pPr>
        <w:contextualSpacing/>
        <w:textAlignment w:val="auto"/>
      </w:pPr>
    </w:p>
    <w:p w:rsidRPr="0068726D" w:rsidR="00FB0F35" w:rsidP="00FB0F35" w:rsidRDefault="00B87AE0" w14:paraId="308606C4" w14:textId="77777777">
      <w:pPr>
        <w:contextualSpacing/>
        <w:textAlignment w:val="auto"/>
      </w:pPr>
      <w:r>
        <w:t xml:space="preserve">Als ik dit afweeg tegen </w:t>
      </w:r>
      <w:r w:rsidR="00DF227E">
        <w:t>een</w:t>
      </w:r>
      <w:r>
        <w:t xml:space="preserve"> beursgang, dan constateer ik dat </w:t>
      </w:r>
      <w:r w:rsidR="00B62F02">
        <w:t>bij een beursgang de publieke belangen in gelijk</w:t>
      </w:r>
      <w:r w:rsidR="00FA1830">
        <w:t>e</w:t>
      </w:r>
      <w:r w:rsidR="00B62F02">
        <w:t xml:space="preserve"> mate behouden</w:t>
      </w:r>
      <w:r>
        <w:t xml:space="preserve"> zouden worden</w:t>
      </w:r>
      <w:r w:rsidR="00B62F02">
        <w:t xml:space="preserve">. </w:t>
      </w:r>
    </w:p>
    <w:p w:rsidRPr="0046612E" w:rsidR="00FB0F35" w:rsidP="00FB0F35" w:rsidRDefault="00FB0F35" w14:paraId="20BE48C6" w14:textId="77777777">
      <w:pPr>
        <w:ind w:left="567" w:hanging="567"/>
        <w:contextualSpacing/>
        <w:textAlignment w:val="auto"/>
      </w:pPr>
    </w:p>
    <w:p w:rsidRPr="0046612E" w:rsidR="00FB0F35" w:rsidP="00FB0F35" w:rsidRDefault="00FB0F35" w14:paraId="3EFA96EA" w14:textId="77777777">
      <w:pPr>
        <w:numPr>
          <w:ilvl w:val="1"/>
          <w:numId w:val="8"/>
        </w:numPr>
        <w:ind w:left="567" w:hanging="567"/>
        <w:contextualSpacing/>
        <w:textAlignment w:val="auto"/>
        <w:rPr>
          <w:b/>
          <w:bCs/>
        </w:rPr>
      </w:pPr>
      <w:r>
        <w:rPr>
          <w:b/>
          <w:bCs/>
          <w:i/>
          <w:iCs/>
        </w:rPr>
        <w:t xml:space="preserve">Criterium 4: Werkbare </w:t>
      </w:r>
      <w:proofErr w:type="spellStart"/>
      <w:r>
        <w:rPr>
          <w:b/>
          <w:bCs/>
          <w:i/>
          <w:iCs/>
        </w:rPr>
        <w:t>g</w:t>
      </w:r>
      <w:r w:rsidRPr="0046612E">
        <w:rPr>
          <w:b/>
          <w:bCs/>
          <w:i/>
          <w:iCs/>
        </w:rPr>
        <w:t>overnance</w:t>
      </w:r>
      <w:proofErr w:type="spellEnd"/>
      <w:r>
        <w:rPr>
          <w:b/>
          <w:bCs/>
        </w:rPr>
        <w:t xml:space="preserve"> </w:t>
      </w:r>
    </w:p>
    <w:p w:rsidRPr="00361A57" w:rsidR="00FB0F35" w:rsidP="00FB0F35" w:rsidRDefault="00FB0F35" w14:paraId="2E7C77AF" w14:textId="77777777">
      <w:pPr>
        <w:textAlignment w:val="auto"/>
        <w:rPr>
          <w:b/>
          <w:bCs/>
        </w:rPr>
      </w:pPr>
      <w:r w:rsidRPr="000D6416">
        <w:t>De drie private investeerders verkrijgen gezamenlijk een belang van circa 46% na storting van het kapitaal over de komende jaren.</w:t>
      </w:r>
      <w:r w:rsidR="000B2C0F">
        <w:t xml:space="preserve"> Met deze drie gerenommeerde investeerders kan gezamenlijk het aandeelhouderschap op een professionele wijze worden ingevuld. </w:t>
      </w:r>
      <w:proofErr w:type="spellStart"/>
      <w:r w:rsidRPr="000D6416">
        <w:t>TenneT</w:t>
      </w:r>
      <w:proofErr w:type="spellEnd"/>
      <w:r w:rsidR="000B2C0F">
        <w:t xml:space="preserve"> zal</w:t>
      </w:r>
      <w:r w:rsidRPr="000D6416">
        <w:t xml:space="preserve">, op basis van de huidige kapitaalbehoefte, in beginsel een belang van circa 54% in </w:t>
      </w:r>
      <w:proofErr w:type="spellStart"/>
      <w:r w:rsidRPr="000D6416">
        <w:t>TenneT</w:t>
      </w:r>
      <w:proofErr w:type="spellEnd"/>
      <w:r w:rsidRPr="000D6416">
        <w:t xml:space="preserve"> Duitsland behouden. Zolang </w:t>
      </w:r>
      <w:proofErr w:type="spellStart"/>
      <w:r w:rsidRPr="000D6416">
        <w:t>TenneT</w:t>
      </w:r>
      <w:proofErr w:type="spellEnd"/>
      <w:r w:rsidRPr="000D6416">
        <w:t xml:space="preserve"> meer dan 25% van de aandelen bezit, blijft </w:t>
      </w:r>
      <w:proofErr w:type="spellStart"/>
      <w:r w:rsidRPr="000D6416">
        <w:t>TenneT</w:t>
      </w:r>
      <w:proofErr w:type="spellEnd"/>
      <w:r w:rsidRPr="000D6416">
        <w:t xml:space="preserve"> vetorechten behouden</w:t>
      </w:r>
      <w:r>
        <w:t xml:space="preserve"> op belangrijke beslissingen van het bedrijf</w:t>
      </w:r>
      <w:r w:rsidRPr="000D6416">
        <w:t xml:space="preserve">. </w:t>
      </w:r>
      <w:proofErr w:type="spellStart"/>
      <w:r w:rsidRPr="000D6416">
        <w:t>TenneT</w:t>
      </w:r>
      <w:proofErr w:type="spellEnd"/>
      <w:r w:rsidRPr="000D6416">
        <w:t xml:space="preserve"> heeft in de afgelopen periode </w:t>
      </w:r>
      <w:r w:rsidR="00CD7FDB">
        <w:t>al</w:t>
      </w:r>
      <w:r w:rsidRPr="000D6416">
        <w:t xml:space="preserve"> voorbereidingen getroffen om de transactie straks daadwerkelijk te kunnen implementeren, o.a. aanpassingen in de corporate </w:t>
      </w:r>
      <w:proofErr w:type="spellStart"/>
      <w:r w:rsidRPr="000D6416">
        <w:t>governance</w:t>
      </w:r>
      <w:proofErr w:type="spellEnd"/>
      <w:r w:rsidRPr="000D6416">
        <w:t>, benoemen van nieuwe bestuurders en invoeren van een aangepast beloningsbeleid.</w:t>
      </w:r>
    </w:p>
    <w:p w:rsidR="00FB0F35" w:rsidP="00FB0F35" w:rsidRDefault="00FB0F35" w14:paraId="780844E5" w14:textId="77777777">
      <w:pPr>
        <w:spacing w:line="240" w:lineRule="exact"/>
        <w:textAlignment w:val="auto"/>
      </w:pPr>
      <w:bookmarkStart w:name="_Hlk208577420" w:id="0"/>
    </w:p>
    <w:bookmarkEnd w:id="0"/>
    <w:p w:rsidRPr="000D6416" w:rsidR="00B62F02" w:rsidP="00B62F02" w:rsidRDefault="00B87AE0" w14:paraId="7047FA9A" w14:textId="77777777">
      <w:pPr>
        <w:spacing w:line="240" w:lineRule="exact"/>
        <w:textAlignment w:val="auto"/>
      </w:pPr>
      <w:r>
        <w:t>Als ik dit afweeg tegen een beursgang, dan constateer ik dat b</w:t>
      </w:r>
      <w:r w:rsidRPr="000D6416" w:rsidR="00B62F02">
        <w:t xml:space="preserve">ij een beursgang </w:t>
      </w:r>
      <w:proofErr w:type="spellStart"/>
      <w:r w:rsidRPr="000D6416" w:rsidR="00B62F02">
        <w:t>TenneT</w:t>
      </w:r>
      <w:proofErr w:type="spellEnd"/>
      <w:r w:rsidRPr="000D6416" w:rsidR="00B62F02">
        <w:t xml:space="preserve"> als verreweg de grootste aandeelhouder veel invloed op </w:t>
      </w:r>
      <w:proofErr w:type="spellStart"/>
      <w:r w:rsidRPr="000D6416" w:rsidR="00B62F02">
        <w:t>TenneT</w:t>
      </w:r>
      <w:proofErr w:type="spellEnd"/>
      <w:r w:rsidRPr="000D6416" w:rsidR="00B62F02">
        <w:t xml:space="preserve"> Duitsland</w:t>
      </w:r>
      <w:r w:rsidR="00B62F02">
        <w:t xml:space="preserve"> </w:t>
      </w:r>
      <w:r>
        <w:t xml:space="preserve">zou hebben </w:t>
      </w:r>
      <w:r w:rsidR="00B62F02">
        <w:t>gehad</w:t>
      </w:r>
      <w:r w:rsidRPr="000D6416" w:rsidR="00B62F02">
        <w:t xml:space="preserve">. </w:t>
      </w:r>
      <w:r w:rsidR="00FA1830">
        <w:t>Echter</w:t>
      </w:r>
      <w:r w:rsidR="00BF066E">
        <w:t xml:space="preserve">, </w:t>
      </w:r>
      <w:r w:rsidR="007746D0">
        <w:t xml:space="preserve">ik </w:t>
      </w:r>
      <w:r w:rsidR="00BF066E">
        <w:t xml:space="preserve">constateer </w:t>
      </w:r>
      <w:r w:rsidR="007746D0">
        <w:t xml:space="preserve">ook </w:t>
      </w:r>
      <w:r w:rsidR="00FA1830">
        <w:t>dat d</w:t>
      </w:r>
      <w:r w:rsidRPr="000D6416" w:rsidR="00B62F02">
        <w:t xml:space="preserve">e invloed van de staat op </w:t>
      </w:r>
      <w:proofErr w:type="spellStart"/>
      <w:r w:rsidRPr="000D6416" w:rsidR="00B62F02">
        <w:t>TenneT</w:t>
      </w:r>
      <w:proofErr w:type="spellEnd"/>
      <w:r w:rsidRPr="000D6416" w:rsidR="00B62F02">
        <w:t xml:space="preserve"> Duitsland </w:t>
      </w:r>
      <w:r w:rsidR="00FA1830">
        <w:t xml:space="preserve">daarentegen </w:t>
      </w:r>
      <w:r w:rsidRPr="000D6416" w:rsidR="00B62F02">
        <w:t xml:space="preserve">minder direct </w:t>
      </w:r>
      <w:r w:rsidR="00FA1830">
        <w:t xml:space="preserve">zou </w:t>
      </w:r>
      <w:r w:rsidRPr="000D6416" w:rsidR="00B62F02">
        <w:t xml:space="preserve">zijn </w:t>
      </w:r>
      <w:r w:rsidR="00B62F02">
        <w:t xml:space="preserve">geweest </w:t>
      </w:r>
      <w:r w:rsidRPr="000D6416" w:rsidR="00B62F02">
        <w:t xml:space="preserve">dan bij een onderhandse uitgifte en de staat van </w:t>
      </w:r>
      <w:proofErr w:type="spellStart"/>
      <w:r w:rsidRPr="000D6416" w:rsidR="00B62F02">
        <w:t>TenneT</w:t>
      </w:r>
      <w:proofErr w:type="spellEnd"/>
      <w:r w:rsidRPr="000D6416" w:rsidR="00B62F02">
        <w:t xml:space="preserve"> en de raad van commissarissen van </w:t>
      </w:r>
      <w:proofErr w:type="spellStart"/>
      <w:r w:rsidRPr="000D6416" w:rsidR="00B62F02">
        <w:t>TenneT</w:t>
      </w:r>
      <w:proofErr w:type="spellEnd"/>
      <w:r w:rsidRPr="000D6416" w:rsidR="00B62F02">
        <w:t xml:space="preserve"> Duitsland afhankelijk </w:t>
      </w:r>
      <w:r w:rsidR="00FA1830">
        <w:t xml:space="preserve">zou </w:t>
      </w:r>
      <w:r w:rsidRPr="000D6416" w:rsidR="00B62F02">
        <w:t xml:space="preserve">zijn </w:t>
      </w:r>
      <w:r w:rsidR="00B62F02">
        <w:t xml:space="preserve">geweest </w:t>
      </w:r>
      <w:r w:rsidRPr="000D6416" w:rsidR="00B62F02">
        <w:t xml:space="preserve">om </w:t>
      </w:r>
      <w:r w:rsidR="00B62F02">
        <w:t>invloed uit te oefenen</w:t>
      </w:r>
      <w:r w:rsidRPr="000D6416" w:rsidR="00B62F02">
        <w:t xml:space="preserve">. </w:t>
      </w:r>
    </w:p>
    <w:p w:rsidR="00A7794E" w:rsidP="00A7794E" w:rsidRDefault="00A7794E" w14:paraId="1465D810" w14:textId="77777777"/>
    <w:p w:rsidRPr="000D6416" w:rsidR="00A7794E" w:rsidP="00A7794E" w:rsidRDefault="00A7794E" w14:paraId="221EA9DE" w14:textId="77777777">
      <w:pPr>
        <w:numPr>
          <w:ilvl w:val="0"/>
          <w:numId w:val="8"/>
        </w:numPr>
        <w:ind w:left="426" w:hanging="426"/>
        <w:contextualSpacing/>
        <w:textAlignment w:val="auto"/>
        <w:rPr>
          <w:b/>
          <w:bCs/>
          <w:i/>
          <w:iCs/>
        </w:rPr>
      </w:pPr>
      <w:r w:rsidRPr="000D6416">
        <w:rPr>
          <w:b/>
          <w:bCs/>
          <w:i/>
          <w:iCs/>
        </w:rPr>
        <w:t>Budgettaire consequenties</w:t>
      </w:r>
    </w:p>
    <w:p w:rsidR="003B626D" w:rsidP="00A7794E" w:rsidRDefault="00A7794E" w14:paraId="0D676B24" w14:textId="77777777">
      <w:pPr>
        <w:textAlignment w:val="auto"/>
        <w:rPr>
          <w:color w:val="156082" w:themeColor="accent1"/>
          <w:sz w:val="14"/>
          <w:szCs w:val="14"/>
        </w:rPr>
      </w:pPr>
      <w:r w:rsidRPr="000D6416">
        <w:t xml:space="preserve">Tabel </w:t>
      </w:r>
      <w:r w:rsidR="00E25E73">
        <w:t>1</w:t>
      </w:r>
      <w:r w:rsidRPr="000D6416">
        <w:t xml:space="preserve"> bevat een overzicht van alle reserveringen voor </w:t>
      </w:r>
      <w:proofErr w:type="spellStart"/>
      <w:r w:rsidRPr="000D6416">
        <w:t>TenneT</w:t>
      </w:r>
      <w:proofErr w:type="spellEnd"/>
      <w:r w:rsidRPr="000D6416">
        <w:t xml:space="preserve"> Duitsland die momenteel in de Rijksbegroting zijn opgenomen. De komende begrotingsmomenten zullen er naar verwachting een aantal reserveringen vrijvallen. Deze vrij te vallen middelen zijn niet kaderrelevant en niet EMU-saldorelevant waardoor er </w:t>
      </w:r>
      <w:r w:rsidR="003B626D">
        <w:t xml:space="preserve">bij vrijvallen </w:t>
      </w:r>
      <w:r w:rsidRPr="000D6416">
        <w:t xml:space="preserve">geen budgettaire ruimte onder het kader ontstaat. </w:t>
      </w:r>
    </w:p>
    <w:p w:rsidRPr="000D6416" w:rsidR="00E25E73" w:rsidP="00A7794E" w:rsidRDefault="00A7794E" w14:paraId="5385EE1D" w14:textId="77777777">
      <w:pPr>
        <w:textAlignment w:val="auto"/>
        <w:rPr>
          <w:color w:val="156082" w:themeColor="accent1"/>
          <w:sz w:val="14"/>
          <w:szCs w:val="14"/>
        </w:rPr>
      </w:pPr>
      <w:r w:rsidRPr="000D6416">
        <w:rPr>
          <w:color w:val="156082" w:themeColor="accent1"/>
          <w:sz w:val="14"/>
          <w:szCs w:val="14"/>
        </w:rPr>
        <w:lastRenderedPageBreak/>
        <w:t xml:space="preserve">Tabel </w:t>
      </w:r>
      <w:r w:rsidR="00E25E73">
        <w:rPr>
          <w:color w:val="156082" w:themeColor="accent1"/>
          <w:sz w:val="14"/>
          <w:szCs w:val="14"/>
        </w:rPr>
        <w:t>1</w:t>
      </w:r>
      <w:r w:rsidRPr="000D6416">
        <w:rPr>
          <w:color w:val="156082" w:themeColor="accent1"/>
          <w:sz w:val="14"/>
          <w:szCs w:val="14"/>
        </w:rPr>
        <w:t xml:space="preserve"> – Overzicht financiering </w:t>
      </w:r>
      <w:proofErr w:type="spellStart"/>
      <w:r w:rsidRPr="000D6416">
        <w:rPr>
          <w:color w:val="156082" w:themeColor="accent1"/>
          <w:sz w:val="14"/>
          <w:szCs w:val="14"/>
        </w:rPr>
        <w:t>TenneT</w:t>
      </w:r>
      <w:proofErr w:type="spellEnd"/>
      <w:r w:rsidRPr="000D6416">
        <w:rPr>
          <w:color w:val="156082" w:themeColor="accent1"/>
          <w:sz w:val="14"/>
          <w:szCs w:val="14"/>
        </w:rPr>
        <w:t xml:space="preserve"> Duitsland</w:t>
      </w:r>
      <w:r>
        <w:rPr>
          <w:color w:val="156082" w:themeColor="accent1"/>
          <w:sz w:val="14"/>
          <w:szCs w:val="14"/>
        </w:rPr>
        <w:t xml:space="preserve"> in de Rijksbegroting</w:t>
      </w:r>
    </w:p>
    <w:tbl>
      <w:tblPr>
        <w:tblStyle w:val="Tabelraster1"/>
        <w:tblW w:w="8445" w:type="dxa"/>
        <w:tblInd w:w="-442" w:type="dxa"/>
        <w:tblLayout w:type="fixed"/>
        <w:tblLook w:val="04A0" w:firstRow="1" w:lastRow="0" w:firstColumn="1" w:lastColumn="0" w:noHBand="0" w:noVBand="1"/>
      </w:tblPr>
      <w:tblGrid>
        <w:gridCol w:w="1413"/>
        <w:gridCol w:w="854"/>
        <w:gridCol w:w="855"/>
        <w:gridCol w:w="855"/>
        <w:gridCol w:w="744"/>
        <w:gridCol w:w="745"/>
        <w:gridCol w:w="744"/>
        <w:gridCol w:w="745"/>
        <w:gridCol w:w="744"/>
        <w:gridCol w:w="746"/>
      </w:tblGrid>
      <w:tr w:rsidRPr="000D6416" w:rsidR="00A7794E" w:rsidTr="0091296F" w14:paraId="46EFE11C" w14:textId="77777777">
        <w:trPr>
          <w:cnfStyle w:val="100000000000" w:firstRow="1" w:lastRow="0" w:firstColumn="0" w:lastColumn="0" w:oddVBand="0" w:evenVBand="0" w:oddHBand="0" w:evenHBand="0" w:firstRowFirstColumn="0" w:firstRowLastColumn="0" w:lastRowFirstColumn="0" w:lastRowLastColumn="0"/>
          <w:trHeight w:val="261"/>
        </w:trPr>
        <w:tc>
          <w:tcPr>
            <w:tcW w:w="1413" w:type="dxa"/>
            <w:vMerge w:val="restart"/>
            <w:tcBorders>
              <w:top w:val="single" w:color="000000" w:sz="4" w:space="0"/>
              <w:left w:val="single" w:color="000000" w:sz="4" w:space="0"/>
              <w:bottom w:val="single" w:color="000000" w:sz="4" w:space="0"/>
              <w:right w:val="single" w:color="000000" w:sz="4" w:space="0"/>
            </w:tcBorders>
            <w:vAlign w:val="center"/>
            <w:hideMark/>
          </w:tcPr>
          <w:p w:rsidRPr="000D6416" w:rsidR="00A7794E" w:rsidP="0091296F" w:rsidRDefault="00A7794E" w14:paraId="540CA48D" w14:textId="77777777">
            <w:pPr>
              <w:spacing w:line="240" w:lineRule="exact"/>
              <w:jc w:val="center"/>
              <w:rPr>
                <w:sz w:val="14"/>
                <w:szCs w:val="14"/>
              </w:rPr>
            </w:pPr>
            <w:r w:rsidRPr="000D6416">
              <w:rPr>
                <w:sz w:val="14"/>
                <w:szCs w:val="14"/>
              </w:rPr>
              <w:t>€ mld.</w:t>
            </w:r>
          </w:p>
        </w:tc>
        <w:tc>
          <w:tcPr>
            <w:tcW w:w="2564" w:type="dxa"/>
            <w:gridSpan w:val="3"/>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0411A325" w14:textId="77777777">
            <w:pPr>
              <w:spacing w:line="240" w:lineRule="exact"/>
              <w:jc w:val="center"/>
              <w:rPr>
                <w:sz w:val="14"/>
                <w:szCs w:val="14"/>
              </w:rPr>
            </w:pPr>
            <w:r w:rsidRPr="000D6416">
              <w:rPr>
                <w:sz w:val="14"/>
                <w:szCs w:val="14"/>
              </w:rPr>
              <w:t>Relevant voor</w:t>
            </w:r>
          </w:p>
        </w:tc>
        <w:tc>
          <w:tcPr>
            <w:tcW w:w="744" w:type="dxa"/>
            <w:vMerge w:val="restart"/>
            <w:tcBorders>
              <w:top w:val="single" w:color="000000" w:sz="4" w:space="0"/>
              <w:left w:val="single" w:color="000000" w:sz="4" w:space="0"/>
              <w:bottom w:val="single" w:color="000000" w:sz="4" w:space="0"/>
              <w:right w:val="single" w:color="000000" w:sz="4" w:space="0"/>
            </w:tcBorders>
            <w:vAlign w:val="center"/>
            <w:hideMark/>
          </w:tcPr>
          <w:p w:rsidRPr="000D6416" w:rsidR="00A7794E" w:rsidP="0091296F" w:rsidRDefault="00A7794E" w14:paraId="33AC87D3" w14:textId="77777777">
            <w:pPr>
              <w:spacing w:line="240" w:lineRule="exact"/>
              <w:jc w:val="center"/>
              <w:rPr>
                <w:sz w:val="14"/>
                <w:szCs w:val="14"/>
              </w:rPr>
            </w:pPr>
            <w:r w:rsidRPr="000D6416">
              <w:rPr>
                <w:sz w:val="14"/>
                <w:szCs w:val="14"/>
              </w:rPr>
              <w:t>2025</w:t>
            </w:r>
          </w:p>
        </w:tc>
        <w:tc>
          <w:tcPr>
            <w:tcW w:w="745" w:type="dxa"/>
            <w:vMerge w:val="restart"/>
            <w:tcBorders>
              <w:top w:val="single" w:color="000000" w:sz="4" w:space="0"/>
              <w:left w:val="single" w:color="000000" w:sz="4" w:space="0"/>
              <w:bottom w:val="single" w:color="000000" w:sz="4" w:space="0"/>
              <w:right w:val="single" w:color="000000" w:sz="4" w:space="0"/>
            </w:tcBorders>
            <w:vAlign w:val="center"/>
            <w:hideMark/>
          </w:tcPr>
          <w:p w:rsidRPr="000D6416" w:rsidR="00A7794E" w:rsidP="0091296F" w:rsidRDefault="00A7794E" w14:paraId="7CE38B21" w14:textId="77777777">
            <w:pPr>
              <w:spacing w:line="240" w:lineRule="exact"/>
              <w:jc w:val="center"/>
              <w:rPr>
                <w:sz w:val="14"/>
                <w:szCs w:val="14"/>
              </w:rPr>
            </w:pPr>
            <w:r w:rsidRPr="000D6416">
              <w:rPr>
                <w:sz w:val="14"/>
                <w:szCs w:val="14"/>
              </w:rPr>
              <w:t>2026</w:t>
            </w:r>
          </w:p>
        </w:tc>
        <w:tc>
          <w:tcPr>
            <w:tcW w:w="744" w:type="dxa"/>
            <w:vMerge w:val="restart"/>
            <w:tcBorders>
              <w:top w:val="single" w:color="000000" w:sz="4" w:space="0"/>
              <w:left w:val="single" w:color="000000" w:sz="4" w:space="0"/>
              <w:bottom w:val="single" w:color="000000" w:sz="4" w:space="0"/>
              <w:right w:val="single" w:color="000000" w:sz="4" w:space="0"/>
            </w:tcBorders>
            <w:vAlign w:val="center"/>
            <w:hideMark/>
          </w:tcPr>
          <w:p w:rsidRPr="000D6416" w:rsidR="00A7794E" w:rsidP="0091296F" w:rsidRDefault="00A7794E" w14:paraId="405D7D41" w14:textId="77777777">
            <w:pPr>
              <w:spacing w:line="240" w:lineRule="exact"/>
              <w:jc w:val="center"/>
              <w:rPr>
                <w:sz w:val="14"/>
                <w:szCs w:val="14"/>
              </w:rPr>
            </w:pPr>
            <w:r w:rsidRPr="000D6416">
              <w:rPr>
                <w:sz w:val="14"/>
                <w:szCs w:val="14"/>
              </w:rPr>
              <w:t>2027</w:t>
            </w:r>
          </w:p>
        </w:tc>
        <w:tc>
          <w:tcPr>
            <w:tcW w:w="745" w:type="dxa"/>
            <w:vMerge w:val="restart"/>
            <w:tcBorders>
              <w:top w:val="single" w:color="000000" w:sz="4" w:space="0"/>
              <w:left w:val="single" w:color="000000" w:sz="4" w:space="0"/>
              <w:bottom w:val="single" w:color="000000" w:sz="4" w:space="0"/>
              <w:right w:val="single" w:color="000000" w:sz="4" w:space="0"/>
            </w:tcBorders>
            <w:vAlign w:val="center"/>
            <w:hideMark/>
          </w:tcPr>
          <w:p w:rsidRPr="000D6416" w:rsidR="00A7794E" w:rsidP="0091296F" w:rsidRDefault="00A7794E" w14:paraId="5D9B01A6" w14:textId="77777777">
            <w:pPr>
              <w:spacing w:line="240" w:lineRule="exact"/>
              <w:jc w:val="center"/>
              <w:rPr>
                <w:sz w:val="14"/>
                <w:szCs w:val="14"/>
              </w:rPr>
            </w:pPr>
            <w:r w:rsidRPr="000D6416">
              <w:rPr>
                <w:sz w:val="14"/>
                <w:szCs w:val="14"/>
              </w:rPr>
              <w:t>2028</w:t>
            </w:r>
          </w:p>
        </w:tc>
        <w:tc>
          <w:tcPr>
            <w:tcW w:w="744" w:type="dxa"/>
            <w:vMerge w:val="restart"/>
            <w:tcBorders>
              <w:top w:val="single" w:color="000000" w:sz="4" w:space="0"/>
              <w:left w:val="single" w:color="000000" w:sz="4" w:space="0"/>
              <w:bottom w:val="single" w:color="000000" w:sz="4" w:space="0"/>
              <w:right w:val="single" w:color="000000" w:sz="4" w:space="0"/>
            </w:tcBorders>
            <w:vAlign w:val="center"/>
            <w:hideMark/>
          </w:tcPr>
          <w:p w:rsidRPr="000D6416" w:rsidR="00A7794E" w:rsidP="0091296F" w:rsidRDefault="00A7794E" w14:paraId="1E9B31BF" w14:textId="77777777">
            <w:pPr>
              <w:spacing w:line="240" w:lineRule="exact"/>
              <w:jc w:val="center"/>
              <w:rPr>
                <w:sz w:val="14"/>
                <w:szCs w:val="14"/>
              </w:rPr>
            </w:pPr>
            <w:r w:rsidRPr="000D6416">
              <w:rPr>
                <w:sz w:val="14"/>
                <w:szCs w:val="14"/>
              </w:rPr>
              <w:t>2029 e.v.</w:t>
            </w:r>
          </w:p>
        </w:tc>
        <w:tc>
          <w:tcPr>
            <w:tcW w:w="746" w:type="dxa"/>
            <w:vMerge w:val="restart"/>
            <w:tcBorders>
              <w:top w:val="nil"/>
              <w:left w:val="single" w:color="000000" w:sz="4" w:space="0"/>
              <w:bottom w:val="nil"/>
              <w:right w:val="nil"/>
            </w:tcBorders>
            <w:vAlign w:val="center"/>
          </w:tcPr>
          <w:p w:rsidRPr="000D6416" w:rsidR="00A7794E" w:rsidP="0091296F" w:rsidRDefault="00A7794E" w14:paraId="42D02A34" w14:textId="77777777">
            <w:pPr>
              <w:spacing w:line="240" w:lineRule="exact"/>
              <w:jc w:val="center"/>
              <w:rPr>
                <w:sz w:val="14"/>
                <w:szCs w:val="14"/>
              </w:rPr>
            </w:pPr>
          </w:p>
        </w:tc>
      </w:tr>
      <w:tr w:rsidRPr="000D6416" w:rsidR="00A7794E" w:rsidTr="0091296F" w14:paraId="7BB1962D" w14:textId="77777777">
        <w:trPr>
          <w:trHeight w:val="261"/>
        </w:trPr>
        <w:tc>
          <w:tcPr>
            <w:tcW w:w="7699" w:type="dxa"/>
            <w:vMerge/>
            <w:tcBorders>
              <w:top w:val="single" w:color="000000" w:sz="4" w:space="0"/>
              <w:left w:val="single" w:color="000000" w:sz="4" w:space="0"/>
              <w:bottom w:val="single" w:color="000000" w:sz="4" w:space="0"/>
              <w:right w:val="single" w:color="000000" w:sz="4" w:space="0"/>
            </w:tcBorders>
            <w:vAlign w:val="center"/>
            <w:hideMark/>
          </w:tcPr>
          <w:p w:rsidRPr="000D6416" w:rsidR="00A7794E" w:rsidP="0091296F" w:rsidRDefault="00A7794E" w14:paraId="7B9BCF4D" w14:textId="77777777">
            <w:pPr>
              <w:spacing w:line="240" w:lineRule="auto"/>
              <w:rPr>
                <w:sz w:val="14"/>
                <w:szCs w:val="14"/>
              </w:rPr>
            </w:pPr>
          </w:p>
        </w:tc>
        <w:tc>
          <w:tcPr>
            <w:tcW w:w="854"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236CBEE7" w14:textId="77777777">
            <w:pPr>
              <w:spacing w:line="240" w:lineRule="exact"/>
              <w:ind w:left="57" w:right="57"/>
              <w:jc w:val="center"/>
              <w:rPr>
                <w:sz w:val="14"/>
                <w:szCs w:val="14"/>
              </w:rPr>
            </w:pPr>
            <w:r w:rsidRPr="000D6416">
              <w:rPr>
                <w:sz w:val="14"/>
                <w:szCs w:val="14"/>
              </w:rPr>
              <w:t>EMU-saldo</w:t>
            </w:r>
          </w:p>
        </w:tc>
        <w:tc>
          <w:tcPr>
            <w:tcW w:w="855"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1DE45632" w14:textId="77777777">
            <w:pPr>
              <w:spacing w:line="240" w:lineRule="exact"/>
              <w:ind w:left="57" w:right="57"/>
              <w:jc w:val="center"/>
              <w:rPr>
                <w:sz w:val="14"/>
                <w:szCs w:val="14"/>
              </w:rPr>
            </w:pPr>
            <w:r w:rsidRPr="000D6416">
              <w:rPr>
                <w:sz w:val="14"/>
                <w:szCs w:val="14"/>
              </w:rPr>
              <w:t>Uitgaven kader</w:t>
            </w:r>
          </w:p>
        </w:tc>
        <w:tc>
          <w:tcPr>
            <w:tcW w:w="855"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5BCB916E" w14:textId="77777777">
            <w:pPr>
              <w:spacing w:line="240" w:lineRule="exact"/>
              <w:ind w:left="57" w:right="57"/>
              <w:jc w:val="center"/>
              <w:rPr>
                <w:sz w:val="14"/>
                <w:szCs w:val="14"/>
              </w:rPr>
            </w:pPr>
            <w:r w:rsidRPr="000D6416">
              <w:rPr>
                <w:sz w:val="14"/>
                <w:szCs w:val="14"/>
              </w:rPr>
              <w:t>EMU-schuld</w:t>
            </w:r>
          </w:p>
        </w:tc>
        <w:tc>
          <w:tcPr>
            <w:tcW w:w="744" w:type="dxa"/>
            <w:vMerge/>
            <w:tcBorders>
              <w:top w:val="single" w:color="000000" w:sz="4" w:space="0"/>
              <w:left w:val="single" w:color="000000" w:sz="4" w:space="0"/>
              <w:bottom w:val="single" w:color="000000" w:sz="4" w:space="0"/>
              <w:right w:val="single" w:color="000000" w:sz="4" w:space="0"/>
            </w:tcBorders>
            <w:vAlign w:val="center"/>
            <w:hideMark/>
          </w:tcPr>
          <w:p w:rsidRPr="000D6416" w:rsidR="00A7794E" w:rsidP="0091296F" w:rsidRDefault="00A7794E" w14:paraId="2B971DED" w14:textId="77777777">
            <w:pPr>
              <w:spacing w:line="240" w:lineRule="auto"/>
              <w:rPr>
                <w:sz w:val="14"/>
                <w:szCs w:val="14"/>
              </w:rPr>
            </w:pPr>
          </w:p>
        </w:tc>
        <w:tc>
          <w:tcPr>
            <w:tcW w:w="745" w:type="dxa"/>
            <w:vMerge/>
            <w:tcBorders>
              <w:top w:val="single" w:color="000000" w:sz="4" w:space="0"/>
              <w:left w:val="single" w:color="000000" w:sz="4" w:space="0"/>
              <w:bottom w:val="single" w:color="000000" w:sz="4" w:space="0"/>
              <w:right w:val="single" w:color="000000" w:sz="4" w:space="0"/>
            </w:tcBorders>
            <w:vAlign w:val="center"/>
            <w:hideMark/>
          </w:tcPr>
          <w:p w:rsidRPr="000D6416" w:rsidR="00A7794E" w:rsidP="0091296F" w:rsidRDefault="00A7794E" w14:paraId="5F63D554" w14:textId="77777777">
            <w:pPr>
              <w:spacing w:line="240" w:lineRule="auto"/>
              <w:rPr>
                <w:sz w:val="14"/>
                <w:szCs w:val="14"/>
              </w:rPr>
            </w:pPr>
          </w:p>
        </w:tc>
        <w:tc>
          <w:tcPr>
            <w:tcW w:w="744" w:type="dxa"/>
            <w:vMerge/>
            <w:tcBorders>
              <w:top w:val="single" w:color="000000" w:sz="4" w:space="0"/>
              <w:left w:val="single" w:color="000000" w:sz="4" w:space="0"/>
              <w:bottom w:val="single" w:color="000000" w:sz="4" w:space="0"/>
              <w:right w:val="single" w:color="000000" w:sz="4" w:space="0"/>
            </w:tcBorders>
            <w:vAlign w:val="center"/>
            <w:hideMark/>
          </w:tcPr>
          <w:p w:rsidRPr="000D6416" w:rsidR="00A7794E" w:rsidP="0091296F" w:rsidRDefault="00A7794E" w14:paraId="13FBD541" w14:textId="77777777">
            <w:pPr>
              <w:spacing w:line="240" w:lineRule="auto"/>
              <w:rPr>
                <w:sz w:val="14"/>
                <w:szCs w:val="14"/>
              </w:rPr>
            </w:pPr>
          </w:p>
        </w:tc>
        <w:tc>
          <w:tcPr>
            <w:tcW w:w="745" w:type="dxa"/>
            <w:vMerge/>
            <w:tcBorders>
              <w:top w:val="single" w:color="000000" w:sz="4" w:space="0"/>
              <w:left w:val="single" w:color="000000" w:sz="4" w:space="0"/>
              <w:bottom w:val="single" w:color="000000" w:sz="4" w:space="0"/>
              <w:right w:val="single" w:color="000000" w:sz="4" w:space="0"/>
            </w:tcBorders>
            <w:vAlign w:val="center"/>
            <w:hideMark/>
          </w:tcPr>
          <w:p w:rsidRPr="000D6416" w:rsidR="00A7794E" w:rsidP="0091296F" w:rsidRDefault="00A7794E" w14:paraId="3F30DB02" w14:textId="77777777">
            <w:pPr>
              <w:spacing w:line="240" w:lineRule="auto"/>
              <w:rPr>
                <w:sz w:val="14"/>
                <w:szCs w:val="14"/>
              </w:rPr>
            </w:pPr>
          </w:p>
        </w:tc>
        <w:tc>
          <w:tcPr>
            <w:tcW w:w="744" w:type="dxa"/>
            <w:vMerge/>
            <w:tcBorders>
              <w:top w:val="single" w:color="000000" w:sz="4" w:space="0"/>
              <w:left w:val="single" w:color="000000" w:sz="4" w:space="0"/>
              <w:bottom w:val="single" w:color="000000" w:sz="4" w:space="0"/>
              <w:right w:val="single" w:color="000000" w:sz="4" w:space="0"/>
            </w:tcBorders>
            <w:vAlign w:val="center"/>
            <w:hideMark/>
          </w:tcPr>
          <w:p w:rsidRPr="000D6416" w:rsidR="00A7794E" w:rsidP="0091296F" w:rsidRDefault="00A7794E" w14:paraId="504E9EA3" w14:textId="77777777">
            <w:pPr>
              <w:spacing w:line="240" w:lineRule="auto"/>
              <w:rPr>
                <w:sz w:val="14"/>
                <w:szCs w:val="14"/>
              </w:rPr>
            </w:pPr>
          </w:p>
        </w:tc>
        <w:tc>
          <w:tcPr>
            <w:tcW w:w="750" w:type="dxa"/>
            <w:vMerge/>
            <w:tcBorders>
              <w:top w:val="nil"/>
              <w:left w:val="single" w:color="000000" w:sz="4" w:space="0"/>
              <w:bottom w:val="nil"/>
              <w:right w:val="nil"/>
            </w:tcBorders>
            <w:vAlign w:val="center"/>
            <w:hideMark/>
          </w:tcPr>
          <w:p w:rsidRPr="000D6416" w:rsidR="00A7794E" w:rsidP="0091296F" w:rsidRDefault="00A7794E" w14:paraId="7328B4EB" w14:textId="77777777">
            <w:pPr>
              <w:spacing w:line="240" w:lineRule="auto"/>
              <w:rPr>
                <w:sz w:val="14"/>
                <w:szCs w:val="14"/>
              </w:rPr>
            </w:pPr>
          </w:p>
        </w:tc>
      </w:tr>
      <w:tr w:rsidRPr="000D6416" w:rsidR="00A7794E" w:rsidTr="0091296F" w14:paraId="212BD8A3" w14:textId="77777777">
        <w:trPr>
          <w:trHeight w:val="261"/>
        </w:trPr>
        <w:tc>
          <w:tcPr>
            <w:tcW w:w="7699" w:type="dxa"/>
            <w:gridSpan w:val="9"/>
            <w:tcBorders>
              <w:top w:val="nil"/>
              <w:left w:val="single" w:color="000000" w:sz="4" w:space="0"/>
              <w:bottom w:val="nil"/>
              <w:right w:val="single" w:color="auto" w:sz="4" w:space="0"/>
            </w:tcBorders>
            <w:hideMark/>
          </w:tcPr>
          <w:p w:rsidRPr="000D6416" w:rsidR="00A7794E" w:rsidP="0091296F" w:rsidRDefault="00A7794E" w14:paraId="66DB3175" w14:textId="77777777">
            <w:pPr>
              <w:spacing w:line="240" w:lineRule="exact"/>
              <w:ind w:left="57"/>
              <w:rPr>
                <w:sz w:val="14"/>
                <w:szCs w:val="14"/>
              </w:rPr>
            </w:pPr>
            <w:r w:rsidRPr="000D6416">
              <w:rPr>
                <w:b/>
                <w:bCs/>
                <w:sz w:val="14"/>
                <w:szCs w:val="14"/>
              </w:rPr>
              <w:t>Tijdelijke financiering</w:t>
            </w:r>
          </w:p>
        </w:tc>
        <w:tc>
          <w:tcPr>
            <w:tcW w:w="746" w:type="dxa"/>
            <w:tcBorders>
              <w:top w:val="nil"/>
              <w:left w:val="single" w:color="auto" w:sz="4" w:space="0"/>
              <w:bottom w:val="nil"/>
              <w:right w:val="nil"/>
            </w:tcBorders>
          </w:tcPr>
          <w:p w:rsidRPr="000D6416" w:rsidR="00A7794E" w:rsidP="0091296F" w:rsidRDefault="00A7794E" w14:paraId="0205521D" w14:textId="77777777">
            <w:pPr>
              <w:spacing w:line="240" w:lineRule="exact"/>
              <w:rPr>
                <w:sz w:val="14"/>
                <w:szCs w:val="14"/>
              </w:rPr>
            </w:pPr>
          </w:p>
        </w:tc>
      </w:tr>
      <w:tr w:rsidRPr="000D6416" w:rsidR="00A7794E" w:rsidTr="0091296F" w14:paraId="0149DED8" w14:textId="77777777">
        <w:trPr>
          <w:trHeight w:val="249"/>
        </w:trPr>
        <w:tc>
          <w:tcPr>
            <w:tcW w:w="1413"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2A229E3D" w14:textId="77777777">
            <w:pPr>
              <w:spacing w:line="240" w:lineRule="exact"/>
              <w:ind w:left="57"/>
              <w:rPr>
                <w:sz w:val="14"/>
                <w:szCs w:val="14"/>
              </w:rPr>
            </w:pPr>
            <w:r w:rsidRPr="000D6416">
              <w:rPr>
                <w:sz w:val="14"/>
                <w:szCs w:val="14"/>
              </w:rPr>
              <w:t>Leningsfaciliteit</w:t>
            </w:r>
            <w:r w:rsidRPr="000D6416">
              <w:rPr>
                <w:sz w:val="14"/>
                <w:szCs w:val="14"/>
                <w:vertAlign w:val="superscript"/>
              </w:rPr>
              <w:footnoteReference w:id="12"/>
            </w:r>
          </w:p>
        </w:tc>
        <w:tc>
          <w:tcPr>
            <w:tcW w:w="854"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0D1D5D69" w14:textId="77777777">
            <w:pPr>
              <w:spacing w:line="240" w:lineRule="exact"/>
              <w:ind w:left="57"/>
              <w:rPr>
                <w:sz w:val="14"/>
                <w:szCs w:val="14"/>
              </w:rPr>
            </w:pPr>
            <w:r w:rsidRPr="000D6416">
              <w:rPr>
                <w:sz w:val="14"/>
                <w:szCs w:val="14"/>
              </w:rPr>
              <w:t>Nee</w:t>
            </w:r>
          </w:p>
        </w:tc>
        <w:tc>
          <w:tcPr>
            <w:tcW w:w="855"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3A95310E" w14:textId="77777777">
            <w:pPr>
              <w:spacing w:line="240" w:lineRule="exact"/>
              <w:ind w:left="57"/>
              <w:rPr>
                <w:sz w:val="14"/>
                <w:szCs w:val="14"/>
              </w:rPr>
            </w:pPr>
            <w:r w:rsidRPr="000D6416">
              <w:rPr>
                <w:sz w:val="14"/>
                <w:szCs w:val="14"/>
              </w:rPr>
              <w:t>Nee</w:t>
            </w:r>
          </w:p>
        </w:tc>
        <w:tc>
          <w:tcPr>
            <w:tcW w:w="855"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0887AA80" w14:textId="77777777">
            <w:pPr>
              <w:spacing w:line="240" w:lineRule="exact"/>
              <w:ind w:left="57"/>
              <w:rPr>
                <w:sz w:val="14"/>
                <w:szCs w:val="14"/>
              </w:rPr>
            </w:pPr>
            <w:r w:rsidRPr="000D6416">
              <w:rPr>
                <w:sz w:val="14"/>
                <w:szCs w:val="14"/>
              </w:rPr>
              <w:t>Ja</w:t>
            </w:r>
          </w:p>
        </w:tc>
        <w:tc>
          <w:tcPr>
            <w:tcW w:w="744"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57A49DC1" w14:textId="77777777">
            <w:pPr>
              <w:spacing w:line="240" w:lineRule="exact"/>
              <w:ind w:left="57"/>
              <w:rPr>
                <w:sz w:val="14"/>
                <w:szCs w:val="14"/>
              </w:rPr>
            </w:pPr>
            <w:r w:rsidRPr="000D6416">
              <w:rPr>
                <w:sz w:val="14"/>
                <w:szCs w:val="14"/>
              </w:rPr>
              <w:t>€ 12,8</w:t>
            </w:r>
          </w:p>
        </w:tc>
        <w:tc>
          <w:tcPr>
            <w:tcW w:w="745"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6144EA39" w14:textId="77777777">
            <w:pPr>
              <w:spacing w:line="240" w:lineRule="exact"/>
              <w:ind w:left="57"/>
              <w:rPr>
                <w:sz w:val="14"/>
                <w:szCs w:val="14"/>
              </w:rPr>
            </w:pPr>
            <w:r w:rsidRPr="000D6416">
              <w:rPr>
                <w:sz w:val="14"/>
                <w:szCs w:val="14"/>
              </w:rPr>
              <w:t>€ 11,0</w:t>
            </w:r>
          </w:p>
        </w:tc>
        <w:tc>
          <w:tcPr>
            <w:tcW w:w="744"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2BDA893D" w14:textId="77777777">
            <w:pPr>
              <w:spacing w:line="240" w:lineRule="exact"/>
              <w:ind w:left="57"/>
              <w:rPr>
                <w:sz w:val="14"/>
                <w:szCs w:val="14"/>
              </w:rPr>
            </w:pPr>
            <w:r w:rsidRPr="000D6416">
              <w:rPr>
                <w:sz w:val="14"/>
                <w:szCs w:val="14"/>
              </w:rPr>
              <w:t>-</w:t>
            </w:r>
          </w:p>
        </w:tc>
        <w:tc>
          <w:tcPr>
            <w:tcW w:w="745"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79CFBEA6" w14:textId="77777777">
            <w:pPr>
              <w:spacing w:line="240" w:lineRule="exact"/>
              <w:ind w:left="57"/>
              <w:jc w:val="center"/>
              <w:rPr>
                <w:sz w:val="14"/>
                <w:szCs w:val="14"/>
              </w:rPr>
            </w:pPr>
            <w:r w:rsidRPr="000D6416">
              <w:rPr>
                <w:sz w:val="14"/>
                <w:szCs w:val="14"/>
              </w:rPr>
              <w:t>-</w:t>
            </w:r>
          </w:p>
        </w:tc>
        <w:tc>
          <w:tcPr>
            <w:tcW w:w="744" w:type="dxa"/>
            <w:tcBorders>
              <w:top w:val="single" w:color="000000" w:sz="4" w:space="0"/>
              <w:left w:val="single" w:color="000000" w:sz="4" w:space="0"/>
              <w:bottom w:val="single" w:color="000000" w:sz="4" w:space="0"/>
              <w:right w:val="single" w:color="auto" w:sz="4" w:space="0"/>
            </w:tcBorders>
            <w:hideMark/>
          </w:tcPr>
          <w:p w:rsidRPr="000D6416" w:rsidR="00A7794E" w:rsidP="0091296F" w:rsidRDefault="00A7794E" w14:paraId="31D1F02D" w14:textId="77777777">
            <w:pPr>
              <w:spacing w:line="240" w:lineRule="exact"/>
              <w:ind w:left="57"/>
              <w:jc w:val="center"/>
              <w:rPr>
                <w:sz w:val="14"/>
                <w:szCs w:val="14"/>
              </w:rPr>
            </w:pPr>
            <w:r w:rsidRPr="000D6416">
              <w:rPr>
                <w:sz w:val="14"/>
                <w:szCs w:val="14"/>
              </w:rPr>
              <w:t>-</w:t>
            </w:r>
          </w:p>
        </w:tc>
        <w:tc>
          <w:tcPr>
            <w:tcW w:w="746" w:type="dxa"/>
            <w:vMerge w:val="restart"/>
            <w:tcBorders>
              <w:top w:val="nil"/>
              <w:left w:val="single" w:color="auto" w:sz="4" w:space="0"/>
              <w:bottom w:val="nil"/>
              <w:right w:val="nil"/>
            </w:tcBorders>
          </w:tcPr>
          <w:p w:rsidRPr="000D6416" w:rsidR="00A7794E" w:rsidP="0091296F" w:rsidRDefault="00A7794E" w14:paraId="5DF7AA37" w14:textId="77777777">
            <w:pPr>
              <w:spacing w:line="240" w:lineRule="exact"/>
              <w:ind w:left="57"/>
              <w:jc w:val="center"/>
              <w:rPr>
                <w:sz w:val="14"/>
                <w:szCs w:val="14"/>
              </w:rPr>
            </w:pPr>
          </w:p>
        </w:tc>
      </w:tr>
      <w:tr w:rsidRPr="000D6416" w:rsidR="00A7794E" w:rsidTr="0091296F" w14:paraId="445D701C" w14:textId="77777777">
        <w:trPr>
          <w:trHeight w:val="247"/>
        </w:trPr>
        <w:tc>
          <w:tcPr>
            <w:tcW w:w="1413"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09F6B64D" w14:textId="77777777">
            <w:pPr>
              <w:spacing w:line="240" w:lineRule="exact"/>
              <w:ind w:left="57"/>
              <w:rPr>
                <w:sz w:val="14"/>
                <w:szCs w:val="14"/>
              </w:rPr>
            </w:pPr>
            <w:proofErr w:type="gramStart"/>
            <w:r w:rsidRPr="000D6416">
              <w:rPr>
                <w:sz w:val="14"/>
                <w:szCs w:val="14"/>
              </w:rPr>
              <w:t>Rente inkomsten</w:t>
            </w:r>
            <w:proofErr w:type="gramEnd"/>
            <w:r w:rsidRPr="000D6416">
              <w:rPr>
                <w:sz w:val="14"/>
                <w:szCs w:val="14"/>
              </w:rPr>
              <w:t xml:space="preserve"> </w:t>
            </w:r>
          </w:p>
        </w:tc>
        <w:tc>
          <w:tcPr>
            <w:tcW w:w="854"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58BC536E" w14:textId="77777777">
            <w:pPr>
              <w:spacing w:line="240" w:lineRule="exact"/>
              <w:ind w:left="57"/>
              <w:rPr>
                <w:sz w:val="14"/>
                <w:szCs w:val="14"/>
              </w:rPr>
            </w:pPr>
            <w:r w:rsidRPr="000D6416">
              <w:rPr>
                <w:sz w:val="14"/>
                <w:szCs w:val="14"/>
              </w:rPr>
              <w:t>Ja</w:t>
            </w:r>
          </w:p>
        </w:tc>
        <w:tc>
          <w:tcPr>
            <w:tcW w:w="855"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4BD995CA" w14:textId="77777777">
            <w:pPr>
              <w:spacing w:line="240" w:lineRule="exact"/>
              <w:ind w:left="57"/>
              <w:rPr>
                <w:sz w:val="14"/>
                <w:szCs w:val="14"/>
              </w:rPr>
            </w:pPr>
            <w:r w:rsidRPr="000D6416">
              <w:rPr>
                <w:sz w:val="14"/>
                <w:szCs w:val="14"/>
              </w:rPr>
              <w:t>Nee</w:t>
            </w:r>
          </w:p>
        </w:tc>
        <w:tc>
          <w:tcPr>
            <w:tcW w:w="855"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75543B0D" w14:textId="77777777">
            <w:pPr>
              <w:spacing w:line="240" w:lineRule="exact"/>
              <w:ind w:left="57"/>
              <w:rPr>
                <w:sz w:val="14"/>
                <w:szCs w:val="14"/>
              </w:rPr>
            </w:pPr>
            <w:r w:rsidRPr="000D6416">
              <w:rPr>
                <w:sz w:val="14"/>
                <w:szCs w:val="14"/>
              </w:rPr>
              <w:t>Ja</w:t>
            </w:r>
          </w:p>
        </w:tc>
        <w:tc>
          <w:tcPr>
            <w:tcW w:w="744"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3B6A454E" w14:textId="77777777">
            <w:pPr>
              <w:spacing w:line="240" w:lineRule="exact"/>
              <w:ind w:left="57"/>
              <w:rPr>
                <w:sz w:val="14"/>
                <w:szCs w:val="14"/>
              </w:rPr>
            </w:pPr>
            <w:r w:rsidRPr="000D6416">
              <w:rPr>
                <w:sz w:val="14"/>
                <w:szCs w:val="14"/>
              </w:rPr>
              <w:t>€ 0,6</w:t>
            </w:r>
          </w:p>
        </w:tc>
        <w:tc>
          <w:tcPr>
            <w:tcW w:w="745"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76F1843E" w14:textId="77777777">
            <w:pPr>
              <w:spacing w:line="240" w:lineRule="exact"/>
              <w:ind w:left="57"/>
              <w:rPr>
                <w:sz w:val="14"/>
                <w:szCs w:val="14"/>
              </w:rPr>
            </w:pPr>
            <w:r w:rsidRPr="000D6416">
              <w:rPr>
                <w:sz w:val="14"/>
                <w:szCs w:val="14"/>
              </w:rPr>
              <w:t>€ 1,1</w:t>
            </w:r>
          </w:p>
        </w:tc>
        <w:tc>
          <w:tcPr>
            <w:tcW w:w="744"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2A6B4698" w14:textId="77777777">
            <w:pPr>
              <w:spacing w:line="240" w:lineRule="exact"/>
              <w:ind w:left="57"/>
              <w:rPr>
                <w:sz w:val="14"/>
                <w:szCs w:val="14"/>
              </w:rPr>
            </w:pPr>
            <w:r w:rsidRPr="000D6416">
              <w:rPr>
                <w:sz w:val="14"/>
                <w:szCs w:val="14"/>
              </w:rPr>
              <w:t>€ 1,3</w:t>
            </w:r>
          </w:p>
        </w:tc>
        <w:tc>
          <w:tcPr>
            <w:tcW w:w="745"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708009A9" w14:textId="77777777">
            <w:pPr>
              <w:spacing w:line="240" w:lineRule="exact"/>
              <w:ind w:left="57"/>
              <w:rPr>
                <w:sz w:val="14"/>
                <w:szCs w:val="14"/>
              </w:rPr>
            </w:pPr>
            <w:r w:rsidRPr="000D6416">
              <w:rPr>
                <w:sz w:val="14"/>
                <w:szCs w:val="14"/>
              </w:rPr>
              <w:t>€ 1,4</w:t>
            </w:r>
          </w:p>
        </w:tc>
        <w:tc>
          <w:tcPr>
            <w:tcW w:w="744" w:type="dxa"/>
            <w:tcBorders>
              <w:top w:val="single" w:color="000000" w:sz="4" w:space="0"/>
              <w:left w:val="single" w:color="000000" w:sz="4" w:space="0"/>
              <w:bottom w:val="single" w:color="000000" w:sz="4" w:space="0"/>
              <w:right w:val="single" w:color="auto" w:sz="4" w:space="0"/>
            </w:tcBorders>
            <w:hideMark/>
          </w:tcPr>
          <w:p w:rsidRPr="000D6416" w:rsidR="00A7794E" w:rsidP="0091296F" w:rsidRDefault="00A7794E" w14:paraId="7AFF8D6E" w14:textId="77777777">
            <w:pPr>
              <w:spacing w:line="240" w:lineRule="exact"/>
              <w:ind w:left="57"/>
              <w:rPr>
                <w:sz w:val="14"/>
                <w:szCs w:val="14"/>
              </w:rPr>
            </w:pPr>
            <w:r w:rsidRPr="000D6416">
              <w:rPr>
                <w:sz w:val="14"/>
                <w:szCs w:val="14"/>
              </w:rPr>
              <w:t>€ 1,4</w:t>
            </w:r>
          </w:p>
        </w:tc>
        <w:tc>
          <w:tcPr>
            <w:tcW w:w="750" w:type="dxa"/>
            <w:vMerge/>
            <w:tcBorders>
              <w:top w:val="nil"/>
              <w:left w:val="single" w:color="auto" w:sz="4" w:space="0"/>
              <w:bottom w:val="nil"/>
              <w:right w:val="nil"/>
            </w:tcBorders>
            <w:vAlign w:val="center"/>
            <w:hideMark/>
          </w:tcPr>
          <w:p w:rsidRPr="000D6416" w:rsidR="00A7794E" w:rsidP="0091296F" w:rsidRDefault="00A7794E" w14:paraId="38E1AAAD" w14:textId="77777777">
            <w:pPr>
              <w:spacing w:line="240" w:lineRule="auto"/>
              <w:rPr>
                <w:sz w:val="14"/>
                <w:szCs w:val="14"/>
              </w:rPr>
            </w:pPr>
          </w:p>
        </w:tc>
      </w:tr>
      <w:tr w:rsidRPr="000D6416" w:rsidR="00A7794E" w:rsidTr="0091296F" w14:paraId="324722ED" w14:textId="77777777">
        <w:trPr>
          <w:gridAfter w:val="1"/>
          <w:wAfter w:w="746" w:type="dxa"/>
          <w:trHeight w:val="247"/>
        </w:trPr>
        <w:tc>
          <w:tcPr>
            <w:tcW w:w="7699" w:type="dxa"/>
            <w:gridSpan w:val="9"/>
            <w:tcBorders>
              <w:top w:val="single" w:color="000000" w:sz="4" w:space="0"/>
              <w:left w:val="single" w:color="000000" w:sz="4" w:space="0"/>
              <w:bottom w:val="single" w:color="000000" w:sz="4" w:space="0"/>
              <w:right w:val="single" w:color="000000" w:sz="4" w:space="0"/>
            </w:tcBorders>
          </w:tcPr>
          <w:p w:rsidRPr="000D6416" w:rsidR="00A7794E" w:rsidP="0091296F" w:rsidRDefault="00A7794E" w14:paraId="4FA2C407" w14:textId="77777777">
            <w:pPr>
              <w:spacing w:line="240" w:lineRule="exact"/>
              <w:ind w:left="57"/>
              <w:rPr>
                <w:b/>
                <w:bCs/>
                <w:sz w:val="14"/>
                <w:szCs w:val="14"/>
              </w:rPr>
            </w:pPr>
          </w:p>
        </w:tc>
      </w:tr>
      <w:tr w:rsidRPr="000D6416" w:rsidR="00A7794E" w:rsidTr="0091296F" w14:paraId="029BC55C" w14:textId="77777777">
        <w:trPr>
          <w:gridAfter w:val="1"/>
          <w:wAfter w:w="746" w:type="dxa"/>
          <w:trHeight w:val="247"/>
        </w:trPr>
        <w:tc>
          <w:tcPr>
            <w:tcW w:w="7699" w:type="dxa"/>
            <w:gridSpan w:val="9"/>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6E13A487" w14:textId="77777777">
            <w:pPr>
              <w:spacing w:line="240" w:lineRule="exact"/>
              <w:ind w:left="57"/>
              <w:rPr>
                <w:sz w:val="14"/>
                <w:szCs w:val="14"/>
              </w:rPr>
            </w:pPr>
            <w:proofErr w:type="spellStart"/>
            <w:r w:rsidRPr="000D6416">
              <w:rPr>
                <w:b/>
                <w:bCs/>
                <w:sz w:val="14"/>
                <w:szCs w:val="14"/>
              </w:rPr>
              <w:t>TenneT</w:t>
            </w:r>
            <w:proofErr w:type="spellEnd"/>
            <w:r w:rsidRPr="000D6416">
              <w:rPr>
                <w:b/>
                <w:bCs/>
                <w:sz w:val="14"/>
                <w:szCs w:val="14"/>
              </w:rPr>
              <w:t xml:space="preserve"> Duitsland: </w:t>
            </w:r>
            <w:r w:rsidRPr="000D6416">
              <w:rPr>
                <w:b/>
                <w:bCs/>
                <w:i/>
                <w:iCs/>
                <w:sz w:val="14"/>
                <w:szCs w:val="14"/>
              </w:rPr>
              <w:t xml:space="preserve">last resort </w:t>
            </w:r>
            <w:r w:rsidRPr="000D6416">
              <w:rPr>
                <w:b/>
                <w:bCs/>
                <w:sz w:val="14"/>
                <w:szCs w:val="14"/>
              </w:rPr>
              <w:t>maatregel</w:t>
            </w:r>
          </w:p>
        </w:tc>
      </w:tr>
      <w:tr w:rsidRPr="000D6416" w:rsidR="00A7794E" w:rsidTr="0091296F" w14:paraId="6C685EAC" w14:textId="77777777">
        <w:trPr>
          <w:gridAfter w:val="1"/>
          <w:wAfter w:w="746" w:type="dxa"/>
          <w:trHeight w:val="247"/>
        </w:trPr>
        <w:tc>
          <w:tcPr>
            <w:tcW w:w="1413"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2CEF06B5" w14:textId="77777777">
            <w:pPr>
              <w:spacing w:line="240" w:lineRule="exact"/>
              <w:ind w:left="57"/>
              <w:rPr>
                <w:sz w:val="14"/>
                <w:szCs w:val="14"/>
              </w:rPr>
            </w:pPr>
            <w:r w:rsidRPr="000D6416">
              <w:rPr>
                <w:sz w:val="14"/>
                <w:szCs w:val="14"/>
              </w:rPr>
              <w:t xml:space="preserve">Kapitaalstorting </w:t>
            </w:r>
          </w:p>
        </w:tc>
        <w:tc>
          <w:tcPr>
            <w:tcW w:w="854"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68E10EA4" w14:textId="77777777">
            <w:pPr>
              <w:spacing w:line="240" w:lineRule="exact"/>
              <w:ind w:left="57"/>
              <w:rPr>
                <w:sz w:val="14"/>
                <w:szCs w:val="14"/>
              </w:rPr>
            </w:pPr>
            <w:r w:rsidRPr="000D6416">
              <w:rPr>
                <w:sz w:val="14"/>
                <w:szCs w:val="14"/>
              </w:rPr>
              <w:t>Nee</w:t>
            </w:r>
          </w:p>
        </w:tc>
        <w:tc>
          <w:tcPr>
            <w:tcW w:w="855"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1CFBA5F6" w14:textId="77777777">
            <w:pPr>
              <w:spacing w:line="240" w:lineRule="exact"/>
              <w:ind w:left="57"/>
              <w:rPr>
                <w:sz w:val="14"/>
                <w:szCs w:val="14"/>
              </w:rPr>
            </w:pPr>
            <w:r w:rsidRPr="000D6416">
              <w:rPr>
                <w:sz w:val="14"/>
                <w:szCs w:val="14"/>
              </w:rPr>
              <w:t>Nee</w:t>
            </w:r>
          </w:p>
        </w:tc>
        <w:tc>
          <w:tcPr>
            <w:tcW w:w="855"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7D1A95EC" w14:textId="77777777">
            <w:pPr>
              <w:spacing w:line="240" w:lineRule="exact"/>
              <w:ind w:left="57"/>
              <w:rPr>
                <w:sz w:val="14"/>
                <w:szCs w:val="14"/>
              </w:rPr>
            </w:pPr>
            <w:r w:rsidRPr="000D6416">
              <w:rPr>
                <w:sz w:val="14"/>
                <w:szCs w:val="14"/>
              </w:rPr>
              <w:t>Ja</w:t>
            </w:r>
          </w:p>
        </w:tc>
        <w:tc>
          <w:tcPr>
            <w:tcW w:w="744"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7FF66A7A" w14:textId="77777777">
            <w:pPr>
              <w:spacing w:line="240" w:lineRule="exact"/>
              <w:ind w:left="57"/>
              <w:jc w:val="center"/>
              <w:rPr>
                <w:sz w:val="14"/>
                <w:szCs w:val="14"/>
              </w:rPr>
            </w:pPr>
            <w:r w:rsidRPr="000D6416">
              <w:rPr>
                <w:sz w:val="14"/>
                <w:szCs w:val="14"/>
              </w:rPr>
              <w:t xml:space="preserve">€ 3 </w:t>
            </w:r>
          </w:p>
        </w:tc>
        <w:tc>
          <w:tcPr>
            <w:tcW w:w="745"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2B5FD251" w14:textId="77777777">
            <w:pPr>
              <w:spacing w:line="240" w:lineRule="exact"/>
              <w:ind w:left="57"/>
              <w:rPr>
                <w:sz w:val="14"/>
                <w:szCs w:val="14"/>
              </w:rPr>
            </w:pPr>
            <w:r w:rsidRPr="000D6416">
              <w:rPr>
                <w:sz w:val="14"/>
                <w:szCs w:val="14"/>
              </w:rPr>
              <w:t>-</w:t>
            </w:r>
          </w:p>
        </w:tc>
        <w:tc>
          <w:tcPr>
            <w:tcW w:w="744"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16143AFB" w14:textId="77777777">
            <w:pPr>
              <w:spacing w:line="240" w:lineRule="exact"/>
              <w:ind w:left="57"/>
              <w:jc w:val="center"/>
              <w:rPr>
                <w:sz w:val="14"/>
                <w:szCs w:val="14"/>
              </w:rPr>
            </w:pPr>
            <w:r w:rsidRPr="000D6416">
              <w:rPr>
                <w:sz w:val="14"/>
                <w:szCs w:val="14"/>
              </w:rPr>
              <w:t>€ 2,15</w:t>
            </w:r>
          </w:p>
        </w:tc>
        <w:tc>
          <w:tcPr>
            <w:tcW w:w="745"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21276296" w14:textId="77777777">
            <w:pPr>
              <w:spacing w:line="240" w:lineRule="exact"/>
              <w:ind w:left="57"/>
              <w:rPr>
                <w:sz w:val="14"/>
                <w:szCs w:val="14"/>
              </w:rPr>
            </w:pPr>
            <w:r w:rsidRPr="000D6416">
              <w:rPr>
                <w:sz w:val="14"/>
                <w:szCs w:val="14"/>
              </w:rPr>
              <w:t>€ 2,15</w:t>
            </w:r>
          </w:p>
        </w:tc>
        <w:tc>
          <w:tcPr>
            <w:tcW w:w="744" w:type="dxa"/>
            <w:tcBorders>
              <w:top w:val="single" w:color="000000" w:sz="4" w:space="0"/>
              <w:left w:val="single" w:color="000000" w:sz="4" w:space="0"/>
              <w:bottom w:val="single" w:color="000000" w:sz="4" w:space="0"/>
              <w:right w:val="single" w:color="000000" w:sz="4" w:space="0"/>
            </w:tcBorders>
            <w:hideMark/>
          </w:tcPr>
          <w:p w:rsidRPr="000D6416" w:rsidR="00A7794E" w:rsidP="0091296F" w:rsidRDefault="00A7794E" w14:paraId="7EFDDF31" w14:textId="77777777">
            <w:pPr>
              <w:spacing w:line="240" w:lineRule="exact"/>
              <w:ind w:left="57"/>
              <w:rPr>
                <w:sz w:val="14"/>
                <w:szCs w:val="14"/>
              </w:rPr>
            </w:pPr>
            <w:r w:rsidRPr="000D6416">
              <w:rPr>
                <w:sz w:val="14"/>
                <w:szCs w:val="14"/>
              </w:rPr>
              <w:t>-</w:t>
            </w:r>
          </w:p>
        </w:tc>
      </w:tr>
    </w:tbl>
    <w:p w:rsidRPr="000D6416" w:rsidR="00A7794E" w:rsidP="00A7794E" w:rsidRDefault="00A7794E" w14:paraId="7B04E0B2" w14:textId="77777777">
      <w:pPr>
        <w:textAlignment w:val="auto"/>
      </w:pPr>
    </w:p>
    <w:p w:rsidRPr="000D6416" w:rsidR="00A7794E" w:rsidP="00A7794E" w:rsidRDefault="00A7794E" w14:paraId="052D0261" w14:textId="77777777">
      <w:pPr>
        <w:textAlignment w:val="auto"/>
      </w:pPr>
      <w:r w:rsidRPr="000D6416">
        <w:t xml:space="preserve">De structurele oplossing voor </w:t>
      </w:r>
      <w:proofErr w:type="spellStart"/>
      <w:r w:rsidRPr="000D6416">
        <w:t>TenneT</w:t>
      </w:r>
      <w:proofErr w:type="spellEnd"/>
      <w:r w:rsidRPr="000D6416">
        <w:t xml:space="preserve"> Duitsland is geïmplementeerd op het moment dat de transactie volledig is afgerond. Dat is naar verwachting in de eerste helft van 2026. De opbrengst van de transactie wordt gebruikt om de kapitaalbehoefte van </w:t>
      </w:r>
      <w:proofErr w:type="spellStart"/>
      <w:r w:rsidRPr="000D6416">
        <w:t>TenneT</w:t>
      </w:r>
      <w:proofErr w:type="spellEnd"/>
      <w:r w:rsidRPr="000D6416">
        <w:t xml:space="preserve"> Duitsland in te vullen. Omdat de private investeerders de gehele kapitaalbehoefte hebben toegezegd, is deze ingevuld en kan de reservering </w:t>
      </w:r>
      <w:r w:rsidR="003B626D">
        <w:t xml:space="preserve">op de Rijksbegroting </w:t>
      </w:r>
      <w:r w:rsidRPr="000D6416">
        <w:t xml:space="preserve">van € 7,3 miljard </w:t>
      </w:r>
      <w:r w:rsidR="005E1346">
        <w:t>dan</w:t>
      </w:r>
      <w:r w:rsidRPr="000D6416">
        <w:t xml:space="preserve"> vrijvallen. </w:t>
      </w:r>
    </w:p>
    <w:p w:rsidRPr="000D6416" w:rsidR="00A7794E" w:rsidP="00A7794E" w:rsidRDefault="00A7794E" w14:paraId="2AC10481" w14:textId="77777777">
      <w:pPr>
        <w:textAlignment w:val="auto"/>
      </w:pPr>
    </w:p>
    <w:p w:rsidRPr="000D6416" w:rsidR="00A7794E" w:rsidP="00A7794E" w:rsidRDefault="00A7794E" w14:paraId="49D6845B" w14:textId="77777777">
      <w:pPr>
        <w:textAlignment w:val="auto"/>
      </w:pPr>
      <w:r w:rsidRPr="000D6416">
        <w:t xml:space="preserve">De tijdelijke lening voor </w:t>
      </w:r>
      <w:proofErr w:type="spellStart"/>
      <w:r w:rsidRPr="000D6416">
        <w:t>TenneT</w:t>
      </w:r>
      <w:proofErr w:type="spellEnd"/>
      <w:r w:rsidRPr="000D6416">
        <w:t xml:space="preserve"> Duitsland voor 2026 kan na de afronding van de transactie ook deels vrijvallen. Deze valt deels vrij, omdat </w:t>
      </w:r>
      <w:proofErr w:type="spellStart"/>
      <w:r w:rsidRPr="000D6416">
        <w:t>TenneT</w:t>
      </w:r>
      <w:proofErr w:type="spellEnd"/>
      <w:r w:rsidRPr="000D6416">
        <w:t xml:space="preserve"> begin 2026 nog wel gebruik zal maken van de lening. Indien de lening vrijvalt, zullen ook de </w:t>
      </w:r>
      <w:proofErr w:type="gramStart"/>
      <w:r w:rsidRPr="000D6416">
        <w:t>rente inkomsten</w:t>
      </w:r>
      <w:proofErr w:type="gramEnd"/>
      <w:r w:rsidRPr="000D6416">
        <w:t xml:space="preserve"> worden aangepast. Ik zal deze aanpassingen naar verwachting in de Voorjaarsnota 2026 verwerken. </w:t>
      </w:r>
    </w:p>
    <w:p w:rsidRPr="000D6416" w:rsidR="00A7794E" w:rsidP="00A7794E" w:rsidRDefault="00A7794E" w14:paraId="45A07970" w14:textId="77777777">
      <w:pPr>
        <w:textAlignment w:val="auto"/>
      </w:pPr>
    </w:p>
    <w:p w:rsidRPr="000D6416" w:rsidR="00A7794E" w:rsidP="00A7794E" w:rsidRDefault="00A7794E" w14:paraId="385FAA7C" w14:textId="77777777">
      <w:pPr>
        <w:textAlignment w:val="auto"/>
        <w:rPr>
          <w:b/>
          <w:bCs/>
          <w:i/>
          <w:iCs/>
        </w:rPr>
      </w:pPr>
      <w:r w:rsidRPr="000D6416">
        <w:t xml:space="preserve">Het kan zijn dat het langer duurt </w:t>
      </w:r>
      <w:r w:rsidR="005E1346">
        <w:t xml:space="preserve">de </w:t>
      </w:r>
      <w:r w:rsidRPr="000D6416">
        <w:t xml:space="preserve">transactie </w:t>
      </w:r>
      <w:r w:rsidR="005E1346">
        <w:t>volledig af te ronden</w:t>
      </w:r>
      <w:r w:rsidRPr="000D6416">
        <w:t xml:space="preserve">, omdat de </w:t>
      </w:r>
      <w:r w:rsidRPr="00D508E7">
        <w:t xml:space="preserve">onder </w:t>
      </w:r>
      <w:r w:rsidRPr="0096711C" w:rsidR="000B2C0F">
        <w:t>2</w:t>
      </w:r>
      <w:r w:rsidRPr="0096711C">
        <w:t>.1</w:t>
      </w:r>
      <w:r w:rsidRPr="000D6416">
        <w:t xml:space="preserve">. </w:t>
      </w:r>
      <w:proofErr w:type="gramStart"/>
      <w:r w:rsidR="00A23B5C">
        <w:t>genoemde</w:t>
      </w:r>
      <w:proofErr w:type="gramEnd"/>
      <w:r w:rsidR="00A23B5C">
        <w:t xml:space="preserve"> opschortende voorwaarden </w:t>
      </w:r>
      <w:r w:rsidR="00A23B5C">
        <w:rPr>
          <w:color w:val="auto"/>
        </w:rPr>
        <w:t>nog niet zijn vervuld</w:t>
      </w:r>
      <w:r w:rsidRPr="000D6416">
        <w:rPr>
          <w:color w:val="auto"/>
        </w:rPr>
        <w:t xml:space="preserve">. In dat geval kan </w:t>
      </w:r>
      <w:proofErr w:type="spellStart"/>
      <w:r w:rsidRPr="000D6416">
        <w:rPr>
          <w:color w:val="auto"/>
        </w:rPr>
        <w:t>TenneT</w:t>
      </w:r>
      <w:proofErr w:type="spellEnd"/>
      <w:r w:rsidRPr="000D6416">
        <w:rPr>
          <w:color w:val="auto"/>
        </w:rPr>
        <w:t xml:space="preserve"> mogelijk niet aan de liquiditeitseisen van de kredietbeoordelaars voldoen. De leningsfaciliteit voor </w:t>
      </w:r>
      <w:proofErr w:type="spellStart"/>
      <w:r w:rsidRPr="000D6416">
        <w:rPr>
          <w:color w:val="auto"/>
        </w:rPr>
        <w:t>TenneT</w:t>
      </w:r>
      <w:proofErr w:type="spellEnd"/>
      <w:r w:rsidRPr="000D6416">
        <w:rPr>
          <w:color w:val="auto"/>
        </w:rPr>
        <w:t xml:space="preserve"> Duitsland zal dan nog voor een beperkte tijd moeten worden verlengd en verhoogd. Mijn verwachting is dat deze goedkeuringen zullen worden verkregen. Mocht er tegen de verwachtingen in geen goedkeuring voor de transactie worden verkregen, dan zal ik uiteraard kijken welke maatregelen nodig zijn om de kredietwaardigheid van </w:t>
      </w:r>
      <w:proofErr w:type="spellStart"/>
      <w:r w:rsidRPr="000D6416">
        <w:rPr>
          <w:color w:val="auto"/>
        </w:rPr>
        <w:t>TenneT</w:t>
      </w:r>
      <w:proofErr w:type="spellEnd"/>
      <w:r w:rsidRPr="000D6416">
        <w:rPr>
          <w:color w:val="auto"/>
        </w:rPr>
        <w:t xml:space="preserve"> te behouden. Voor beide gevallen geldt dat ik uw Kamer tijdig zal informeren, de budgettaire gevolgen voor de Rijksbegroting zoveel </w:t>
      </w:r>
      <w:r w:rsidRPr="000D6416">
        <w:t>mogelijk zal proberen te beperken en uiteraard de geldende begrotingsprocessen zal volgen.</w:t>
      </w:r>
    </w:p>
    <w:p w:rsidRPr="000D6416" w:rsidR="005E1346" w:rsidP="00A7794E" w:rsidRDefault="005E1346" w14:paraId="491C26FF" w14:textId="77777777">
      <w:pPr>
        <w:textAlignment w:val="auto"/>
      </w:pPr>
    </w:p>
    <w:p w:rsidR="005E1346" w:rsidP="00A7794E" w:rsidRDefault="005E1346" w14:paraId="5810D735" w14:textId="77777777">
      <w:pPr>
        <w:spacing w:line="240" w:lineRule="exact"/>
        <w:textAlignment w:val="auto"/>
      </w:pPr>
      <w:r>
        <w:t xml:space="preserve">Resumerend zie ik dit als goed nieuws voor </w:t>
      </w:r>
      <w:proofErr w:type="spellStart"/>
      <w:r>
        <w:t>TenneT</w:t>
      </w:r>
      <w:proofErr w:type="spellEnd"/>
      <w:r>
        <w:t xml:space="preserve">, de belastingbetaler en het stroomnet. </w:t>
      </w:r>
      <w:r w:rsidR="000C3A4E">
        <w:t xml:space="preserve">Ik zal uw Kamer op de hoogte houden van eventuele ontwikkelingen. </w:t>
      </w:r>
    </w:p>
    <w:p w:rsidRPr="000D6416" w:rsidR="005E1346" w:rsidP="00A7794E" w:rsidRDefault="005E1346" w14:paraId="191CEC8A" w14:textId="77777777">
      <w:pPr>
        <w:spacing w:line="240" w:lineRule="exact"/>
        <w:textAlignment w:val="auto"/>
      </w:pPr>
    </w:p>
    <w:p w:rsidRPr="000D6416" w:rsidR="00A7794E" w:rsidP="00A7794E" w:rsidRDefault="00A7794E" w14:paraId="05AB2D46" w14:textId="77777777">
      <w:pPr>
        <w:spacing w:line="240" w:lineRule="exact"/>
        <w:textAlignment w:val="auto"/>
      </w:pPr>
      <w:r w:rsidRPr="000D6416">
        <w:t>Hoogachtend,</w:t>
      </w:r>
    </w:p>
    <w:p w:rsidRPr="000D6416" w:rsidR="00A7794E" w:rsidP="00A7794E" w:rsidRDefault="00A7794E" w14:paraId="12F48051" w14:textId="77777777">
      <w:pPr>
        <w:textAlignment w:val="auto"/>
      </w:pPr>
    </w:p>
    <w:tbl>
      <w:tblPr>
        <w:tblStyle w:val="Tabelzonderranden1"/>
        <w:tblW w:w="7485" w:type="dxa"/>
        <w:tblInd w:w="0" w:type="dxa"/>
        <w:tblLayout w:type="fixed"/>
        <w:tblLook w:val="07E0" w:firstRow="1" w:lastRow="1" w:firstColumn="1" w:lastColumn="1" w:noHBand="1" w:noVBand="1"/>
      </w:tblPr>
      <w:tblGrid>
        <w:gridCol w:w="3592"/>
        <w:gridCol w:w="3893"/>
      </w:tblGrid>
      <w:tr w:rsidRPr="000D6416" w:rsidR="00A7794E" w:rsidTr="0091296F" w14:paraId="24C1132E" w14:textId="77777777">
        <w:tc>
          <w:tcPr>
            <w:tcW w:w="3592" w:type="dxa"/>
            <w:hideMark/>
          </w:tcPr>
          <w:p w:rsidRPr="000D6416" w:rsidR="00A7794E" w:rsidP="0091296F" w:rsidRDefault="00A7794E" w14:paraId="48EB6B82" w14:textId="77777777">
            <w:proofErr w:type="gramStart"/>
            <w:r w:rsidRPr="000D6416">
              <w:t>de</w:t>
            </w:r>
            <w:proofErr w:type="gramEnd"/>
            <w:r w:rsidRPr="000D6416">
              <w:t xml:space="preserve"> minister van Financiën,</w:t>
            </w:r>
            <w:r w:rsidRPr="000D6416">
              <w:br/>
            </w:r>
            <w:r w:rsidRPr="000D6416">
              <w:br/>
            </w:r>
            <w:r w:rsidRPr="000D6416">
              <w:br/>
            </w:r>
            <w:r w:rsidRPr="000D6416">
              <w:br/>
            </w:r>
            <w:r w:rsidRPr="000D6416">
              <w:br/>
            </w:r>
            <w:r w:rsidRPr="000D6416">
              <w:br/>
            </w:r>
            <w:r w:rsidRPr="000D6416">
              <w:br/>
              <w:t xml:space="preserve"> E. Heinen</w:t>
            </w:r>
          </w:p>
        </w:tc>
        <w:tc>
          <w:tcPr>
            <w:tcW w:w="3892" w:type="dxa"/>
          </w:tcPr>
          <w:p w:rsidRPr="000D6416" w:rsidR="00A7794E" w:rsidP="0091296F" w:rsidRDefault="00A7794E" w14:paraId="0A882A07" w14:textId="77777777"/>
        </w:tc>
      </w:tr>
    </w:tbl>
    <w:p w:rsidRPr="00A7794E" w:rsidR="009C16D0" w:rsidP="005E1346" w:rsidRDefault="009C16D0" w14:paraId="1E098DE0" w14:textId="77777777"/>
    <w:sectPr w:rsidRPr="00A7794E" w:rsidR="009C16D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BE36" w14:textId="77777777" w:rsidR="005804BD" w:rsidRPr="00BD0A77" w:rsidRDefault="005804BD">
      <w:pPr>
        <w:spacing w:line="240" w:lineRule="auto"/>
      </w:pPr>
      <w:r w:rsidRPr="00BD0A77">
        <w:separator/>
      </w:r>
    </w:p>
  </w:endnote>
  <w:endnote w:type="continuationSeparator" w:id="0">
    <w:p w14:paraId="339DC769" w14:textId="77777777" w:rsidR="005804BD" w:rsidRPr="00BD0A77" w:rsidRDefault="005804BD">
      <w:pPr>
        <w:spacing w:line="240" w:lineRule="auto"/>
      </w:pPr>
      <w:r w:rsidRPr="00BD0A77">
        <w:continuationSeparator/>
      </w:r>
    </w:p>
  </w:endnote>
  <w:endnote w:type="continuationNotice" w:id="1">
    <w:p w14:paraId="2F454C4C" w14:textId="77777777" w:rsidR="005804BD" w:rsidRPr="00BD0A77" w:rsidRDefault="005804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F1B0" w14:textId="77777777" w:rsidR="005804BD" w:rsidRPr="00BD0A77" w:rsidRDefault="005804BD">
      <w:pPr>
        <w:spacing w:line="240" w:lineRule="auto"/>
      </w:pPr>
      <w:r w:rsidRPr="00BD0A77">
        <w:separator/>
      </w:r>
    </w:p>
  </w:footnote>
  <w:footnote w:type="continuationSeparator" w:id="0">
    <w:p w14:paraId="6F50F06A" w14:textId="77777777" w:rsidR="005804BD" w:rsidRPr="00BD0A77" w:rsidRDefault="005804BD">
      <w:pPr>
        <w:spacing w:line="240" w:lineRule="auto"/>
      </w:pPr>
      <w:r w:rsidRPr="00BD0A77">
        <w:continuationSeparator/>
      </w:r>
    </w:p>
  </w:footnote>
  <w:footnote w:type="continuationNotice" w:id="1">
    <w:p w14:paraId="7190743E" w14:textId="77777777" w:rsidR="005804BD" w:rsidRPr="00BD0A77" w:rsidRDefault="005804BD">
      <w:pPr>
        <w:spacing w:line="240" w:lineRule="auto"/>
      </w:pPr>
    </w:p>
  </w:footnote>
  <w:footnote w:id="2">
    <w:p w14:paraId="1FB6AF77" w14:textId="77777777" w:rsidR="00A7794E" w:rsidRPr="004228BB" w:rsidRDefault="00A7794E" w:rsidP="00A7794E">
      <w:pPr>
        <w:pStyle w:val="Voetnoottekst"/>
        <w:rPr>
          <w:sz w:val="14"/>
          <w:szCs w:val="14"/>
        </w:rPr>
      </w:pPr>
      <w:r w:rsidRPr="004228BB">
        <w:rPr>
          <w:rStyle w:val="Voetnootmarkering"/>
          <w:sz w:val="14"/>
          <w:szCs w:val="14"/>
        </w:rPr>
        <w:footnoteRef/>
      </w:r>
      <w:r w:rsidRPr="004228BB">
        <w:rPr>
          <w:sz w:val="14"/>
          <w:szCs w:val="14"/>
        </w:rPr>
        <w:t xml:space="preserve"> Kamerstukken II 2024-2025, 28 165 nr. 429.</w:t>
      </w:r>
    </w:p>
  </w:footnote>
  <w:footnote w:id="3">
    <w:p w14:paraId="3E7624A0" w14:textId="77777777" w:rsidR="00A7794E" w:rsidRPr="004228BB" w:rsidRDefault="00A7794E" w:rsidP="00A7794E">
      <w:pPr>
        <w:pStyle w:val="Voetnoottekst"/>
        <w:rPr>
          <w:sz w:val="14"/>
          <w:szCs w:val="14"/>
        </w:rPr>
      </w:pPr>
      <w:r w:rsidRPr="004228BB">
        <w:rPr>
          <w:rStyle w:val="Voetnootmarkering"/>
          <w:sz w:val="14"/>
          <w:szCs w:val="14"/>
        </w:rPr>
        <w:footnoteRef/>
      </w:r>
      <w:r w:rsidRPr="004228BB">
        <w:rPr>
          <w:sz w:val="14"/>
          <w:szCs w:val="14"/>
        </w:rPr>
        <w:t xml:space="preserve"> Kamerstukken II 2024-2025, 28 165 nr. 433.</w:t>
      </w:r>
    </w:p>
  </w:footnote>
  <w:footnote w:id="4">
    <w:p w14:paraId="5567D109" w14:textId="77777777" w:rsidR="00A7794E" w:rsidRPr="004228BB" w:rsidRDefault="00A7794E" w:rsidP="00A7794E">
      <w:pPr>
        <w:pStyle w:val="Voetnoottekst"/>
        <w:rPr>
          <w:sz w:val="14"/>
          <w:szCs w:val="14"/>
        </w:rPr>
      </w:pPr>
      <w:r w:rsidRPr="004228BB">
        <w:rPr>
          <w:rStyle w:val="Voetnootmarkering"/>
          <w:sz w:val="14"/>
          <w:szCs w:val="14"/>
        </w:rPr>
        <w:footnoteRef/>
      </w:r>
      <w:r w:rsidRPr="004228BB">
        <w:rPr>
          <w:sz w:val="14"/>
          <w:szCs w:val="14"/>
        </w:rPr>
        <w:t xml:space="preserve"> Kamerstukken II 2024-2025, 28 165 nr. 447.</w:t>
      </w:r>
    </w:p>
  </w:footnote>
  <w:footnote w:id="5">
    <w:p w14:paraId="0ACB27FB" w14:textId="77777777" w:rsidR="00A7794E" w:rsidRPr="004228BB" w:rsidRDefault="00A7794E" w:rsidP="00A7794E">
      <w:pPr>
        <w:pStyle w:val="Voetnoottekst"/>
        <w:rPr>
          <w:sz w:val="14"/>
          <w:szCs w:val="14"/>
        </w:rPr>
      </w:pPr>
      <w:r w:rsidRPr="004228BB">
        <w:rPr>
          <w:rStyle w:val="Voetnootmarkering"/>
          <w:sz w:val="14"/>
          <w:szCs w:val="14"/>
        </w:rPr>
        <w:footnoteRef/>
      </w:r>
      <w:r w:rsidRPr="004228BB">
        <w:rPr>
          <w:sz w:val="14"/>
          <w:szCs w:val="14"/>
        </w:rPr>
        <w:t xml:space="preserve"> Kamerstukken II 2024-2025, 28 165 nr. 448.</w:t>
      </w:r>
    </w:p>
  </w:footnote>
  <w:footnote w:id="6">
    <w:p w14:paraId="2EC97644" w14:textId="77777777" w:rsidR="00A7794E" w:rsidRPr="004228BB" w:rsidRDefault="00A7794E" w:rsidP="00A7794E">
      <w:pPr>
        <w:pStyle w:val="Voetnoottekst"/>
        <w:tabs>
          <w:tab w:val="left" w:pos="6720"/>
        </w:tabs>
        <w:rPr>
          <w:sz w:val="14"/>
          <w:szCs w:val="14"/>
        </w:rPr>
      </w:pPr>
      <w:r w:rsidRPr="004228BB">
        <w:rPr>
          <w:rStyle w:val="Voetnootmarkering"/>
          <w:sz w:val="14"/>
          <w:szCs w:val="14"/>
        </w:rPr>
        <w:footnoteRef/>
      </w:r>
      <w:r w:rsidRPr="004228BB">
        <w:rPr>
          <w:sz w:val="14"/>
          <w:szCs w:val="14"/>
        </w:rPr>
        <w:t xml:space="preserve"> Kamerstukken II 2024-2025, 28 165 nr. 462.</w:t>
      </w:r>
      <w:r w:rsidRPr="004228BB">
        <w:rPr>
          <w:sz w:val="14"/>
          <w:szCs w:val="14"/>
        </w:rPr>
        <w:tab/>
      </w:r>
    </w:p>
  </w:footnote>
  <w:footnote w:id="7">
    <w:p w14:paraId="01CADD62" w14:textId="77777777" w:rsidR="00A7794E" w:rsidRPr="004228BB" w:rsidRDefault="00A7794E" w:rsidP="00A7794E">
      <w:pPr>
        <w:pStyle w:val="Voetnoottekst"/>
        <w:rPr>
          <w:sz w:val="14"/>
          <w:szCs w:val="14"/>
        </w:rPr>
      </w:pPr>
      <w:r w:rsidRPr="004228BB">
        <w:rPr>
          <w:rStyle w:val="Voetnootmarkering"/>
          <w:sz w:val="14"/>
          <w:szCs w:val="14"/>
        </w:rPr>
        <w:footnoteRef/>
      </w:r>
      <w:r w:rsidRPr="004228BB">
        <w:rPr>
          <w:sz w:val="14"/>
          <w:szCs w:val="14"/>
        </w:rPr>
        <w:t xml:space="preserve"> Kamerstukken II 2024-2025, 28 165 nr. 464.</w:t>
      </w:r>
    </w:p>
  </w:footnote>
  <w:footnote w:id="8">
    <w:p w14:paraId="5E9BA170" w14:textId="77777777" w:rsidR="00A7794E" w:rsidRPr="004228BB" w:rsidRDefault="00A7794E" w:rsidP="00A7794E">
      <w:pPr>
        <w:pStyle w:val="Voetnoottekst"/>
        <w:rPr>
          <w:sz w:val="14"/>
          <w:szCs w:val="14"/>
        </w:rPr>
      </w:pPr>
      <w:r w:rsidRPr="004228BB">
        <w:rPr>
          <w:rStyle w:val="Voetnootmarkering"/>
          <w:sz w:val="14"/>
          <w:szCs w:val="14"/>
        </w:rPr>
        <w:footnoteRef/>
      </w:r>
      <w:r w:rsidRPr="004228BB">
        <w:rPr>
          <w:sz w:val="14"/>
          <w:szCs w:val="14"/>
        </w:rPr>
        <w:t xml:space="preserve"> Kamerstukken II 2024-2025, 28 165 nr. 429.</w:t>
      </w:r>
    </w:p>
  </w:footnote>
  <w:footnote w:id="9">
    <w:p w14:paraId="138D1F4F" w14:textId="77777777" w:rsidR="00FB0F35" w:rsidRPr="0046612E" w:rsidRDefault="00FB0F35" w:rsidP="00FB0F35">
      <w:pPr>
        <w:pStyle w:val="Voetnoottekst"/>
        <w:rPr>
          <w:sz w:val="14"/>
          <w:szCs w:val="14"/>
        </w:rPr>
      </w:pPr>
      <w:r w:rsidRPr="0046612E">
        <w:rPr>
          <w:rStyle w:val="Voetnootmarkering"/>
          <w:sz w:val="14"/>
          <w:szCs w:val="14"/>
        </w:rPr>
        <w:footnoteRef/>
      </w:r>
      <w:r w:rsidRPr="0046612E">
        <w:rPr>
          <w:sz w:val="14"/>
          <w:szCs w:val="14"/>
        </w:rPr>
        <w:t xml:space="preserve"> Zoals eerder met u gedeeld wordt bij </w:t>
      </w:r>
      <w:proofErr w:type="spellStart"/>
      <w:r w:rsidRPr="0046612E">
        <w:rPr>
          <w:sz w:val="14"/>
          <w:szCs w:val="14"/>
        </w:rPr>
        <w:t>TenneT</w:t>
      </w:r>
      <w:proofErr w:type="spellEnd"/>
      <w:r w:rsidRPr="0046612E">
        <w:rPr>
          <w:sz w:val="14"/>
          <w:szCs w:val="14"/>
        </w:rPr>
        <w:t xml:space="preserve"> Duitsland, in lijn met andere Duitse netbeheerders, gestuurd op een minimale credit rating van BBB.</w:t>
      </w:r>
    </w:p>
  </w:footnote>
  <w:footnote w:id="10">
    <w:p w14:paraId="27F6C71C" w14:textId="77777777" w:rsidR="00FB0F35" w:rsidRPr="00D52C00" w:rsidRDefault="00FB0F35" w:rsidP="00FB0F35">
      <w:pPr>
        <w:spacing w:line="240" w:lineRule="auto"/>
        <w:rPr>
          <w:sz w:val="14"/>
          <w:szCs w:val="14"/>
        </w:rPr>
      </w:pPr>
      <w:r w:rsidRPr="004228BB">
        <w:rPr>
          <w:rStyle w:val="Voetnootmarkering"/>
          <w:sz w:val="14"/>
          <w:szCs w:val="14"/>
        </w:rPr>
        <w:footnoteRef/>
      </w:r>
      <w:r w:rsidRPr="004228BB">
        <w:rPr>
          <w:sz w:val="14"/>
          <w:szCs w:val="14"/>
        </w:rPr>
        <w:t xml:space="preserve"> Dit is het vroegste moment dat een onderhandse uitgifte volledig tot afronding kan komen. Bovendien kan per 31 december 2025 ook de ondernemingswaarde </w:t>
      </w:r>
      <w:r>
        <w:rPr>
          <w:sz w:val="14"/>
          <w:szCs w:val="14"/>
        </w:rPr>
        <w:t>beter worden ingeschat</w:t>
      </w:r>
      <w:r w:rsidRPr="004228BB">
        <w:rPr>
          <w:sz w:val="14"/>
          <w:szCs w:val="14"/>
        </w:rPr>
        <w:t xml:space="preserve">. </w:t>
      </w:r>
    </w:p>
  </w:footnote>
  <w:footnote w:id="11">
    <w:p w14:paraId="4141337F" w14:textId="77777777" w:rsidR="00FB0F35" w:rsidRPr="00992151" w:rsidRDefault="00FB0F35" w:rsidP="00FB0F35">
      <w:pPr>
        <w:pStyle w:val="Voetnoottekst"/>
        <w:rPr>
          <w:sz w:val="14"/>
          <w:szCs w:val="14"/>
        </w:rPr>
      </w:pPr>
      <w:r w:rsidRPr="00992151">
        <w:rPr>
          <w:rStyle w:val="Voetnootmarkering"/>
          <w:sz w:val="14"/>
          <w:szCs w:val="14"/>
        </w:rPr>
        <w:footnoteRef/>
      </w:r>
      <w:r w:rsidRPr="00992151">
        <w:rPr>
          <w:sz w:val="14"/>
          <w:szCs w:val="14"/>
        </w:rPr>
        <w:t xml:space="preserve"> </w:t>
      </w:r>
      <w:r w:rsidRPr="004228BB">
        <w:rPr>
          <w:sz w:val="14"/>
          <w:szCs w:val="14"/>
        </w:rPr>
        <w:t xml:space="preserve">Het totale toegezegde kapitaal van € 9,5 miljard storten de investeerders niet in één keer, maar in fases. De eerste storting is naar verwachting in de eerste helft van 2026. Tot de daadwerkelijke stortingen wordt </w:t>
      </w:r>
      <w:proofErr w:type="spellStart"/>
      <w:r w:rsidRPr="004228BB">
        <w:rPr>
          <w:sz w:val="14"/>
          <w:szCs w:val="14"/>
        </w:rPr>
        <w:t>TenneT</w:t>
      </w:r>
      <w:proofErr w:type="spellEnd"/>
      <w:r w:rsidRPr="004228BB">
        <w:rPr>
          <w:sz w:val="14"/>
          <w:szCs w:val="14"/>
        </w:rPr>
        <w:t xml:space="preserve"> Duitsland meer waard. Om deze waardestijging te reflecteren is overeengekomen dat de aandeelhouderswaarde met 8% per jaar stijgt.</w:t>
      </w:r>
    </w:p>
  </w:footnote>
  <w:footnote w:id="12">
    <w:p w14:paraId="7D615D0F" w14:textId="77777777" w:rsidR="00A7794E" w:rsidRPr="004228BB" w:rsidRDefault="00A7794E" w:rsidP="00A7794E">
      <w:pPr>
        <w:pStyle w:val="Voetnoottekst"/>
        <w:rPr>
          <w:sz w:val="14"/>
          <w:szCs w:val="14"/>
        </w:rPr>
      </w:pPr>
      <w:r w:rsidRPr="004228BB">
        <w:rPr>
          <w:rStyle w:val="Voetnootmarkering"/>
          <w:sz w:val="14"/>
          <w:szCs w:val="14"/>
        </w:rPr>
        <w:footnoteRef/>
      </w:r>
      <w:r w:rsidRPr="004228BB">
        <w:rPr>
          <w:sz w:val="14"/>
          <w:szCs w:val="14"/>
        </w:rPr>
        <w:t xml:space="preserve"> Een deel van de lening 2025 wordt gebruikt voor de tijdelijke financiering van </w:t>
      </w:r>
      <w:proofErr w:type="spellStart"/>
      <w:r w:rsidRPr="004228BB">
        <w:rPr>
          <w:sz w:val="14"/>
          <w:szCs w:val="14"/>
        </w:rPr>
        <w:t>TenneT</w:t>
      </w:r>
      <w:proofErr w:type="spellEnd"/>
      <w:r w:rsidRPr="004228BB">
        <w:rPr>
          <w:sz w:val="14"/>
          <w:szCs w:val="14"/>
        </w:rPr>
        <w:t xml:space="preserve"> Nederland.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21F3" w14:textId="77777777" w:rsidR="009C16D0" w:rsidRPr="00BD0A77" w:rsidRDefault="00C5291D">
    <w:r w:rsidRPr="00B26033">
      <w:rPr>
        <w:noProof/>
      </w:rPr>
      <mc:AlternateContent>
        <mc:Choice Requires="wps">
          <w:drawing>
            <wp:anchor distT="0" distB="0" distL="0" distR="0" simplePos="0" relativeHeight="251658240" behindDoc="0" locked="1" layoutInCell="1" allowOverlap="1" wp14:anchorId="046B2903" wp14:editId="1E1116F5">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89AC69F" w14:textId="77777777" w:rsidR="009C16D0" w:rsidRPr="00BD0A77" w:rsidRDefault="00C5291D">
                          <w:pPr>
                            <w:pStyle w:val="StandaardReferentiegegevensKop"/>
                          </w:pPr>
                          <w:r w:rsidRPr="00BD0A77">
                            <w:t>Ons kenmerk</w:t>
                          </w:r>
                        </w:p>
                        <w:p w14:paraId="14C2A81E" w14:textId="0405A250" w:rsidR="009D7C67" w:rsidRDefault="002368FF">
                          <w:pPr>
                            <w:pStyle w:val="StandaardReferentiegegevens"/>
                          </w:pPr>
                          <w:r>
                            <w:fldChar w:fldCharType="begin"/>
                          </w:r>
                          <w:r>
                            <w:instrText xml:space="preserve"> DOCPROPERTY  "Kenmerk"  \* MERGEFORMAT </w:instrText>
                          </w:r>
                          <w:r>
                            <w:fldChar w:fldCharType="separate"/>
                          </w:r>
                          <w:r w:rsidR="002D239E">
                            <w:t>2025-0000455832</w:t>
                          </w:r>
                          <w:r>
                            <w:fldChar w:fldCharType="end"/>
                          </w:r>
                        </w:p>
                      </w:txbxContent>
                    </wps:txbx>
                    <wps:bodyPr vert="horz" wrap="square" lIns="0" tIns="0" rIns="0" bIns="0" anchor="t" anchorCtr="0"/>
                  </wps:wsp>
                </a:graphicData>
              </a:graphic>
            </wp:anchor>
          </w:drawing>
        </mc:Choice>
        <mc:Fallback>
          <w:pict>
            <v:shapetype w14:anchorId="046B2903"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89AC69F" w14:textId="77777777" w:rsidR="009C16D0" w:rsidRPr="00BD0A77" w:rsidRDefault="00C5291D">
                    <w:pPr>
                      <w:pStyle w:val="StandaardReferentiegegevensKop"/>
                    </w:pPr>
                    <w:r w:rsidRPr="00BD0A77">
                      <w:t>Ons kenmerk</w:t>
                    </w:r>
                  </w:p>
                  <w:p w14:paraId="14C2A81E" w14:textId="0405A250" w:rsidR="009D7C67" w:rsidRDefault="002368FF">
                    <w:pPr>
                      <w:pStyle w:val="StandaardReferentiegegevens"/>
                    </w:pPr>
                    <w:r>
                      <w:fldChar w:fldCharType="begin"/>
                    </w:r>
                    <w:r>
                      <w:instrText xml:space="preserve"> DOCPROPERTY  "Kenmerk"  \* MERGEFORMAT </w:instrText>
                    </w:r>
                    <w:r>
                      <w:fldChar w:fldCharType="separate"/>
                    </w:r>
                    <w:r w:rsidR="002D239E">
                      <w:t>2025-0000455832</w:t>
                    </w:r>
                    <w:r>
                      <w:fldChar w:fldCharType="end"/>
                    </w:r>
                  </w:p>
                </w:txbxContent>
              </v:textbox>
              <w10:wrap anchorx="page"/>
              <w10:anchorlock/>
            </v:shape>
          </w:pict>
        </mc:Fallback>
      </mc:AlternateContent>
    </w:r>
    <w:r w:rsidRPr="00B26033">
      <w:rPr>
        <w:noProof/>
      </w:rPr>
      <mc:AlternateContent>
        <mc:Choice Requires="wps">
          <w:drawing>
            <wp:anchor distT="0" distB="0" distL="0" distR="0" simplePos="0" relativeHeight="251658241" behindDoc="0" locked="1" layoutInCell="1" allowOverlap="1" wp14:anchorId="10AA77B1" wp14:editId="76BE8E19">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9567E87" w14:textId="77777777" w:rsidR="009D7C67" w:rsidRDefault="002368F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0AA77B1"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9567E87" w14:textId="77777777" w:rsidR="009D7C67" w:rsidRDefault="002368F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sidRPr="00B26033">
      <w:rPr>
        <w:noProof/>
      </w:rPr>
      <mc:AlternateContent>
        <mc:Choice Requires="wps">
          <w:drawing>
            <wp:anchor distT="0" distB="0" distL="0" distR="0" simplePos="0" relativeHeight="251658242" behindDoc="0" locked="1" layoutInCell="1" allowOverlap="1" wp14:anchorId="075E5C42" wp14:editId="4A05F72A">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2FCCC0B" w14:textId="4A84F5B8" w:rsidR="009D7C67" w:rsidRDefault="002368F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75E5C42"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2FCCC0B" w14:textId="4A84F5B8" w:rsidR="009D7C67" w:rsidRDefault="002368FF">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FB7E" w14:textId="77777777" w:rsidR="009C16D0" w:rsidRPr="00BD0A77" w:rsidRDefault="00C5291D">
    <w:pPr>
      <w:spacing w:after="7029" w:line="14" w:lineRule="exact"/>
    </w:pPr>
    <w:r w:rsidRPr="00B26033">
      <w:rPr>
        <w:noProof/>
      </w:rPr>
      <mc:AlternateContent>
        <mc:Choice Requires="wps">
          <w:drawing>
            <wp:anchor distT="0" distB="0" distL="0" distR="0" simplePos="0" relativeHeight="251658243" behindDoc="0" locked="1" layoutInCell="1" allowOverlap="1" wp14:anchorId="61E7E005" wp14:editId="178A10E3">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ACCB415" w14:textId="77777777" w:rsidR="009C16D0" w:rsidRPr="00BD0A77" w:rsidRDefault="00C5291D">
                          <w:pPr>
                            <w:spacing w:line="240" w:lineRule="auto"/>
                          </w:pPr>
                          <w:r w:rsidRPr="00B26033">
                            <w:rPr>
                              <w:noProof/>
                            </w:rPr>
                            <w:drawing>
                              <wp:inline distT="0" distB="0" distL="0" distR="0" wp14:anchorId="57FD80E2" wp14:editId="33463B1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1E7E005"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ACCB415" w14:textId="77777777" w:rsidR="009C16D0" w:rsidRPr="00BD0A77" w:rsidRDefault="00C5291D">
                    <w:pPr>
                      <w:spacing w:line="240" w:lineRule="auto"/>
                    </w:pPr>
                    <w:r w:rsidRPr="00B26033">
                      <w:rPr>
                        <w:noProof/>
                      </w:rPr>
                      <w:drawing>
                        <wp:inline distT="0" distB="0" distL="0" distR="0" wp14:anchorId="57FD80E2" wp14:editId="33463B1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sidRPr="00B26033">
      <w:rPr>
        <w:noProof/>
      </w:rPr>
      <mc:AlternateContent>
        <mc:Choice Requires="wps">
          <w:drawing>
            <wp:anchor distT="0" distB="0" distL="0" distR="0" simplePos="0" relativeHeight="251658244" behindDoc="0" locked="1" layoutInCell="1" allowOverlap="1" wp14:anchorId="26B68B9D" wp14:editId="4416D3E3">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2DC7883" w14:textId="77777777" w:rsidR="00C5291D" w:rsidRPr="00BD0A77" w:rsidRDefault="00C5291D"/>
                      </w:txbxContent>
                    </wps:txbx>
                    <wps:bodyPr vert="horz" wrap="square" lIns="0" tIns="0" rIns="0" bIns="0" anchor="t" anchorCtr="0"/>
                  </wps:wsp>
                </a:graphicData>
              </a:graphic>
            </wp:anchor>
          </w:drawing>
        </mc:Choice>
        <mc:Fallback>
          <w:pict>
            <v:shape w14:anchorId="26B68B9D"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2DC7883" w14:textId="77777777" w:rsidR="00C5291D" w:rsidRPr="00BD0A77" w:rsidRDefault="00C5291D"/>
                </w:txbxContent>
              </v:textbox>
              <w10:wrap anchorx="page"/>
              <w10:anchorlock/>
            </v:shape>
          </w:pict>
        </mc:Fallback>
      </mc:AlternateContent>
    </w:r>
    <w:r w:rsidRPr="00B26033">
      <w:rPr>
        <w:noProof/>
      </w:rPr>
      <mc:AlternateContent>
        <mc:Choice Requires="wps">
          <w:drawing>
            <wp:anchor distT="0" distB="0" distL="0" distR="0" simplePos="0" relativeHeight="251658245" behindDoc="0" locked="1" layoutInCell="1" allowOverlap="1" wp14:anchorId="3ACB7ABD" wp14:editId="2B30853F">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6175B07" w14:textId="77777777" w:rsidR="009C16D0" w:rsidRPr="00BD0A77" w:rsidRDefault="00C5291D">
                          <w:pPr>
                            <w:pStyle w:val="StandaardReferentiegegevens"/>
                          </w:pPr>
                          <w:r w:rsidRPr="00BD0A77">
                            <w:t>Korte Voorhout 7</w:t>
                          </w:r>
                        </w:p>
                        <w:p w14:paraId="690BEA97" w14:textId="77777777" w:rsidR="009C16D0" w:rsidRPr="00BD0A77" w:rsidRDefault="00C5291D">
                          <w:pPr>
                            <w:pStyle w:val="StandaardReferentiegegevens"/>
                          </w:pPr>
                          <w:r w:rsidRPr="00BD0A77">
                            <w:t>2511 CW  'S-GRAVENHAGE</w:t>
                          </w:r>
                        </w:p>
                        <w:p w14:paraId="093394E6" w14:textId="77777777" w:rsidR="009C16D0" w:rsidRPr="00BD0A77" w:rsidRDefault="00C5291D">
                          <w:pPr>
                            <w:pStyle w:val="StandaardReferentiegegevens"/>
                          </w:pPr>
                          <w:r w:rsidRPr="00BD0A77">
                            <w:t>POSTBUS 20201</w:t>
                          </w:r>
                        </w:p>
                        <w:p w14:paraId="1AE40091" w14:textId="77777777" w:rsidR="009C16D0" w:rsidRPr="003C26BF" w:rsidRDefault="00C5291D">
                          <w:pPr>
                            <w:pStyle w:val="StandaardReferentiegegevens"/>
                            <w:rPr>
                              <w:lang w:val="es-ES"/>
                            </w:rPr>
                          </w:pPr>
                          <w:r w:rsidRPr="003C26BF">
                            <w:rPr>
                              <w:lang w:val="es-ES"/>
                            </w:rPr>
                            <w:t xml:space="preserve">2500 </w:t>
                          </w:r>
                          <w:proofErr w:type="gramStart"/>
                          <w:r w:rsidRPr="003C26BF">
                            <w:rPr>
                              <w:lang w:val="es-ES"/>
                            </w:rPr>
                            <w:t>EE  '</w:t>
                          </w:r>
                          <w:proofErr w:type="gramEnd"/>
                          <w:r w:rsidRPr="003C26BF">
                            <w:rPr>
                              <w:lang w:val="es-ES"/>
                            </w:rPr>
                            <w:t>S-GRAVENHAGE</w:t>
                          </w:r>
                        </w:p>
                        <w:p w14:paraId="37F67951" w14:textId="77777777" w:rsidR="009C16D0" w:rsidRPr="003C26BF" w:rsidRDefault="00C5291D">
                          <w:pPr>
                            <w:pStyle w:val="StandaardReferentiegegevens"/>
                            <w:rPr>
                              <w:lang w:val="es-ES"/>
                            </w:rPr>
                          </w:pPr>
                          <w:r w:rsidRPr="003C26BF">
                            <w:rPr>
                              <w:lang w:val="es-ES"/>
                            </w:rPr>
                            <w:t>www.rijksoverheid.nl/fin</w:t>
                          </w:r>
                        </w:p>
                        <w:p w14:paraId="0598EC93" w14:textId="77777777" w:rsidR="009C16D0" w:rsidRPr="003C26BF" w:rsidRDefault="009C16D0">
                          <w:pPr>
                            <w:pStyle w:val="WitregelW2"/>
                            <w:rPr>
                              <w:lang w:val="es-ES"/>
                            </w:rPr>
                          </w:pPr>
                        </w:p>
                        <w:p w14:paraId="56B87634" w14:textId="77777777" w:rsidR="009C16D0" w:rsidRPr="00BD0A77" w:rsidRDefault="00C5291D">
                          <w:pPr>
                            <w:pStyle w:val="StandaardReferentiegegevensKop"/>
                          </w:pPr>
                          <w:r w:rsidRPr="00BD0A77">
                            <w:t>Ons kenmerk</w:t>
                          </w:r>
                        </w:p>
                        <w:p w14:paraId="7D9B8892" w14:textId="72318111" w:rsidR="009D7C67" w:rsidRDefault="002368FF">
                          <w:pPr>
                            <w:pStyle w:val="StandaardReferentiegegevens"/>
                          </w:pPr>
                          <w:r>
                            <w:fldChar w:fldCharType="begin"/>
                          </w:r>
                          <w:r>
                            <w:instrText xml:space="preserve"> DOCPROPERTY  "Kenmerk"  \* MERGEFORMAT </w:instrText>
                          </w:r>
                          <w:r>
                            <w:fldChar w:fldCharType="separate"/>
                          </w:r>
                          <w:r w:rsidR="002D239E">
                            <w:t>2025-0000455832</w:t>
                          </w:r>
                          <w:r>
                            <w:fldChar w:fldCharType="end"/>
                          </w:r>
                        </w:p>
                        <w:p w14:paraId="52D34784" w14:textId="77777777" w:rsidR="009C16D0" w:rsidRPr="00BD0A77" w:rsidRDefault="009C16D0">
                          <w:pPr>
                            <w:pStyle w:val="WitregelW1"/>
                          </w:pPr>
                        </w:p>
                        <w:p w14:paraId="0E6B842C" w14:textId="77777777" w:rsidR="009C16D0" w:rsidRPr="00BD0A77" w:rsidRDefault="00C5291D">
                          <w:pPr>
                            <w:pStyle w:val="StandaardReferentiegegevensKop"/>
                          </w:pPr>
                          <w:r w:rsidRPr="00BD0A77">
                            <w:t>Uw brief (kenmerk)</w:t>
                          </w:r>
                        </w:p>
                        <w:p w14:paraId="4DBA5111" w14:textId="31514F3F" w:rsidR="009D7C67" w:rsidRDefault="002368FF">
                          <w:pPr>
                            <w:pStyle w:val="StandaardReferentiegegevens"/>
                          </w:pPr>
                          <w:r>
                            <w:fldChar w:fldCharType="begin"/>
                          </w:r>
                          <w:r>
                            <w:instrText xml:space="preserve"> DOCPROPERTY  "UwKenmerk"  \* MERGEFORMAT </w:instrText>
                          </w:r>
                          <w:r>
                            <w:fldChar w:fldCharType="end"/>
                          </w:r>
                        </w:p>
                        <w:p w14:paraId="7FC4E525" w14:textId="77777777" w:rsidR="009C16D0" w:rsidRPr="00BD0A77" w:rsidRDefault="009C16D0">
                          <w:pPr>
                            <w:pStyle w:val="WitregelW1"/>
                          </w:pPr>
                        </w:p>
                        <w:p w14:paraId="3F97B2D4" w14:textId="77777777" w:rsidR="009C16D0" w:rsidRPr="00BD0A77" w:rsidRDefault="00C5291D">
                          <w:pPr>
                            <w:pStyle w:val="StandaardReferentiegegevensKop"/>
                          </w:pPr>
                          <w:r w:rsidRPr="00BD0A77">
                            <w:t>Bijlagen</w:t>
                          </w:r>
                        </w:p>
                        <w:p w14:paraId="39B4488E" w14:textId="77777777" w:rsidR="009C16D0" w:rsidRPr="00BD0A77" w:rsidRDefault="00C5291D">
                          <w:pPr>
                            <w:pStyle w:val="StandaardReferentiegegevens"/>
                          </w:pPr>
                          <w:r w:rsidRPr="00BD0A77">
                            <w:t>(</w:t>
                          </w:r>
                          <w:proofErr w:type="gramStart"/>
                          <w:r w:rsidRPr="00BD0A77">
                            <w:t>geen</w:t>
                          </w:r>
                          <w:proofErr w:type="gramEnd"/>
                          <w:r w:rsidRPr="00BD0A77">
                            <w:t>)</w:t>
                          </w:r>
                        </w:p>
                      </w:txbxContent>
                    </wps:txbx>
                    <wps:bodyPr vert="horz" wrap="square" lIns="0" tIns="0" rIns="0" bIns="0" anchor="t" anchorCtr="0"/>
                  </wps:wsp>
                </a:graphicData>
              </a:graphic>
            </wp:anchor>
          </w:drawing>
        </mc:Choice>
        <mc:Fallback>
          <w:pict>
            <v:shape w14:anchorId="3ACB7ABD"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6175B07" w14:textId="77777777" w:rsidR="009C16D0" w:rsidRPr="00BD0A77" w:rsidRDefault="00C5291D">
                    <w:pPr>
                      <w:pStyle w:val="StandaardReferentiegegevens"/>
                    </w:pPr>
                    <w:r w:rsidRPr="00BD0A77">
                      <w:t>Korte Voorhout 7</w:t>
                    </w:r>
                  </w:p>
                  <w:p w14:paraId="690BEA97" w14:textId="77777777" w:rsidR="009C16D0" w:rsidRPr="00BD0A77" w:rsidRDefault="00C5291D">
                    <w:pPr>
                      <w:pStyle w:val="StandaardReferentiegegevens"/>
                    </w:pPr>
                    <w:r w:rsidRPr="00BD0A77">
                      <w:t>2511 CW  'S-GRAVENHAGE</w:t>
                    </w:r>
                  </w:p>
                  <w:p w14:paraId="093394E6" w14:textId="77777777" w:rsidR="009C16D0" w:rsidRPr="00BD0A77" w:rsidRDefault="00C5291D">
                    <w:pPr>
                      <w:pStyle w:val="StandaardReferentiegegevens"/>
                    </w:pPr>
                    <w:r w:rsidRPr="00BD0A77">
                      <w:t>POSTBUS 20201</w:t>
                    </w:r>
                  </w:p>
                  <w:p w14:paraId="1AE40091" w14:textId="77777777" w:rsidR="009C16D0" w:rsidRPr="003C26BF" w:rsidRDefault="00C5291D">
                    <w:pPr>
                      <w:pStyle w:val="StandaardReferentiegegevens"/>
                      <w:rPr>
                        <w:lang w:val="es-ES"/>
                      </w:rPr>
                    </w:pPr>
                    <w:r w:rsidRPr="003C26BF">
                      <w:rPr>
                        <w:lang w:val="es-ES"/>
                      </w:rPr>
                      <w:t xml:space="preserve">2500 </w:t>
                    </w:r>
                    <w:proofErr w:type="gramStart"/>
                    <w:r w:rsidRPr="003C26BF">
                      <w:rPr>
                        <w:lang w:val="es-ES"/>
                      </w:rPr>
                      <w:t>EE  '</w:t>
                    </w:r>
                    <w:proofErr w:type="gramEnd"/>
                    <w:r w:rsidRPr="003C26BF">
                      <w:rPr>
                        <w:lang w:val="es-ES"/>
                      </w:rPr>
                      <w:t>S-GRAVENHAGE</w:t>
                    </w:r>
                  </w:p>
                  <w:p w14:paraId="37F67951" w14:textId="77777777" w:rsidR="009C16D0" w:rsidRPr="003C26BF" w:rsidRDefault="00C5291D">
                    <w:pPr>
                      <w:pStyle w:val="StandaardReferentiegegevens"/>
                      <w:rPr>
                        <w:lang w:val="es-ES"/>
                      </w:rPr>
                    </w:pPr>
                    <w:r w:rsidRPr="003C26BF">
                      <w:rPr>
                        <w:lang w:val="es-ES"/>
                      </w:rPr>
                      <w:t>www.rijksoverheid.nl/fin</w:t>
                    </w:r>
                  </w:p>
                  <w:p w14:paraId="0598EC93" w14:textId="77777777" w:rsidR="009C16D0" w:rsidRPr="003C26BF" w:rsidRDefault="009C16D0">
                    <w:pPr>
                      <w:pStyle w:val="WitregelW2"/>
                      <w:rPr>
                        <w:lang w:val="es-ES"/>
                      </w:rPr>
                    </w:pPr>
                  </w:p>
                  <w:p w14:paraId="56B87634" w14:textId="77777777" w:rsidR="009C16D0" w:rsidRPr="00BD0A77" w:rsidRDefault="00C5291D">
                    <w:pPr>
                      <w:pStyle w:val="StandaardReferentiegegevensKop"/>
                    </w:pPr>
                    <w:r w:rsidRPr="00BD0A77">
                      <w:t>Ons kenmerk</w:t>
                    </w:r>
                  </w:p>
                  <w:p w14:paraId="7D9B8892" w14:textId="72318111" w:rsidR="009D7C67" w:rsidRDefault="002368FF">
                    <w:pPr>
                      <w:pStyle w:val="StandaardReferentiegegevens"/>
                    </w:pPr>
                    <w:r>
                      <w:fldChar w:fldCharType="begin"/>
                    </w:r>
                    <w:r>
                      <w:instrText xml:space="preserve"> DOCPROPERTY  "Kenmerk"  \* MERGEFORMAT </w:instrText>
                    </w:r>
                    <w:r>
                      <w:fldChar w:fldCharType="separate"/>
                    </w:r>
                    <w:r w:rsidR="002D239E">
                      <w:t>2025-0000455832</w:t>
                    </w:r>
                    <w:r>
                      <w:fldChar w:fldCharType="end"/>
                    </w:r>
                  </w:p>
                  <w:p w14:paraId="52D34784" w14:textId="77777777" w:rsidR="009C16D0" w:rsidRPr="00BD0A77" w:rsidRDefault="009C16D0">
                    <w:pPr>
                      <w:pStyle w:val="WitregelW1"/>
                    </w:pPr>
                  </w:p>
                  <w:p w14:paraId="0E6B842C" w14:textId="77777777" w:rsidR="009C16D0" w:rsidRPr="00BD0A77" w:rsidRDefault="00C5291D">
                    <w:pPr>
                      <w:pStyle w:val="StandaardReferentiegegevensKop"/>
                    </w:pPr>
                    <w:r w:rsidRPr="00BD0A77">
                      <w:t>Uw brief (kenmerk)</w:t>
                    </w:r>
                  </w:p>
                  <w:p w14:paraId="4DBA5111" w14:textId="31514F3F" w:rsidR="009D7C67" w:rsidRDefault="002368FF">
                    <w:pPr>
                      <w:pStyle w:val="StandaardReferentiegegevens"/>
                    </w:pPr>
                    <w:r>
                      <w:fldChar w:fldCharType="begin"/>
                    </w:r>
                    <w:r>
                      <w:instrText xml:space="preserve"> DOCPROPERTY  "UwKenmerk"  \* MERGEFORMAT </w:instrText>
                    </w:r>
                    <w:r>
                      <w:fldChar w:fldCharType="end"/>
                    </w:r>
                  </w:p>
                  <w:p w14:paraId="7FC4E525" w14:textId="77777777" w:rsidR="009C16D0" w:rsidRPr="00BD0A77" w:rsidRDefault="009C16D0">
                    <w:pPr>
                      <w:pStyle w:val="WitregelW1"/>
                    </w:pPr>
                  </w:p>
                  <w:p w14:paraId="3F97B2D4" w14:textId="77777777" w:rsidR="009C16D0" w:rsidRPr="00BD0A77" w:rsidRDefault="00C5291D">
                    <w:pPr>
                      <w:pStyle w:val="StandaardReferentiegegevensKop"/>
                    </w:pPr>
                    <w:r w:rsidRPr="00BD0A77">
                      <w:t>Bijlagen</w:t>
                    </w:r>
                  </w:p>
                  <w:p w14:paraId="39B4488E" w14:textId="77777777" w:rsidR="009C16D0" w:rsidRPr="00BD0A77" w:rsidRDefault="00C5291D">
                    <w:pPr>
                      <w:pStyle w:val="StandaardReferentiegegevens"/>
                    </w:pPr>
                    <w:r w:rsidRPr="00BD0A77">
                      <w:t>(</w:t>
                    </w:r>
                    <w:proofErr w:type="gramStart"/>
                    <w:r w:rsidRPr="00BD0A77">
                      <w:t>geen</w:t>
                    </w:r>
                    <w:proofErr w:type="gramEnd"/>
                    <w:r w:rsidRPr="00BD0A77">
                      <w:t>)</w:t>
                    </w:r>
                  </w:p>
                </w:txbxContent>
              </v:textbox>
              <w10:wrap anchorx="page"/>
              <w10:anchorlock/>
            </v:shape>
          </w:pict>
        </mc:Fallback>
      </mc:AlternateContent>
    </w:r>
    <w:r w:rsidRPr="00B26033">
      <w:rPr>
        <w:noProof/>
      </w:rPr>
      <mc:AlternateContent>
        <mc:Choice Requires="wps">
          <w:drawing>
            <wp:anchor distT="0" distB="0" distL="0" distR="0" simplePos="0" relativeHeight="251658246" behindDoc="0" locked="1" layoutInCell="1" allowOverlap="1" wp14:anchorId="7F747A87" wp14:editId="328D9989">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776C843" w14:textId="77777777" w:rsidR="009C16D0" w:rsidRPr="00BD0A77" w:rsidRDefault="00C5291D">
                          <w:pPr>
                            <w:pStyle w:val="StandaardReferentiegegevens"/>
                          </w:pPr>
                          <w:r w:rsidRPr="00BD0A77">
                            <w:t xml:space="preserve">&gt; Retouradres POSTBUS 20201 2500 EE  'S-GRAVENHAGE </w:t>
                          </w:r>
                        </w:p>
                      </w:txbxContent>
                    </wps:txbx>
                    <wps:bodyPr vert="horz" wrap="square" lIns="0" tIns="0" rIns="0" bIns="0" anchor="t" anchorCtr="0"/>
                  </wps:wsp>
                </a:graphicData>
              </a:graphic>
            </wp:anchor>
          </w:drawing>
        </mc:Choice>
        <mc:Fallback>
          <w:pict>
            <v:shape w14:anchorId="7F747A87"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776C843" w14:textId="77777777" w:rsidR="009C16D0" w:rsidRPr="00BD0A77" w:rsidRDefault="00C5291D">
                    <w:pPr>
                      <w:pStyle w:val="StandaardReferentiegegevens"/>
                    </w:pPr>
                    <w:r w:rsidRPr="00BD0A77">
                      <w:t xml:space="preserve">&gt; Retouradres POSTBUS 20201 2500 EE  'S-GRAVENHAGE </w:t>
                    </w:r>
                  </w:p>
                </w:txbxContent>
              </v:textbox>
              <w10:wrap anchorx="page"/>
              <w10:anchorlock/>
            </v:shape>
          </w:pict>
        </mc:Fallback>
      </mc:AlternateContent>
    </w:r>
    <w:r w:rsidRPr="00B26033">
      <w:rPr>
        <w:noProof/>
      </w:rPr>
      <mc:AlternateContent>
        <mc:Choice Requires="wps">
          <w:drawing>
            <wp:anchor distT="0" distB="0" distL="0" distR="0" simplePos="0" relativeHeight="251658247" behindDoc="0" locked="1" layoutInCell="1" allowOverlap="1" wp14:anchorId="7D47E66C" wp14:editId="4A5FAC47">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C308904" w14:textId="71876454" w:rsidR="009D7C67" w:rsidRDefault="002368FF">
                          <w:pPr>
                            <w:pStyle w:val="Rubricering"/>
                          </w:pPr>
                          <w:r>
                            <w:fldChar w:fldCharType="begin"/>
                          </w:r>
                          <w:r>
                            <w:instrText xml:space="preserve"> DOCPROPERTY  "Rubricering"  \* MERGEFORMAT </w:instrText>
                          </w:r>
                          <w:r>
                            <w:fldChar w:fldCharType="end"/>
                          </w:r>
                        </w:p>
                        <w:p w14:paraId="7036107D" w14:textId="77777777" w:rsidR="002D239E" w:rsidRDefault="006079EF">
                          <w:r w:rsidRPr="006079EF">
                            <w:t>Voorzitter van de Tweede Kamer der Staten-</w:t>
                          </w:r>
                          <w:proofErr w:type="spellStart"/>
                          <w:r w:rsidRPr="006079EF">
                            <w:t>Generaal</w:t>
                          </w:r>
                          <w:r w:rsidR="00C5291D" w:rsidRPr="00BD0A77">
                            <w:fldChar w:fldCharType="begin"/>
                          </w:r>
                          <w:r>
                            <w:instrText xml:space="preserve"> DOCPROPERTY  "Aan"  \* MERGEFORMAT </w:instrText>
                          </w:r>
                          <w:r w:rsidR="00C5291D" w:rsidRPr="00BD0A77">
                            <w:fldChar w:fldCharType="separate"/>
                          </w:r>
                          <w:r w:rsidR="002D239E">
                            <w:t>Voorzitter</w:t>
                          </w:r>
                          <w:proofErr w:type="spellEnd"/>
                          <w:r w:rsidR="002D239E">
                            <w:t xml:space="preserve"> van de Tweede Kamer der Staten-Generaal</w:t>
                          </w:r>
                        </w:p>
                        <w:p w14:paraId="1F8D5956" w14:textId="77777777" w:rsidR="002D239E" w:rsidRPr="002D239E" w:rsidRDefault="002D239E">
                          <w:pPr>
                            <w:rPr>
                              <w:lang w:val="de-DE"/>
                            </w:rPr>
                          </w:pPr>
                          <w:r w:rsidRPr="002D239E">
                            <w:rPr>
                              <w:lang w:val="de-DE"/>
                            </w:rPr>
                            <w:t>Postbus 20018</w:t>
                          </w:r>
                        </w:p>
                        <w:p w14:paraId="4A0B4520" w14:textId="77777777" w:rsidR="002D239E" w:rsidRPr="002D239E" w:rsidRDefault="002D239E">
                          <w:pPr>
                            <w:rPr>
                              <w:lang w:val="de-DE"/>
                            </w:rPr>
                          </w:pPr>
                          <w:r w:rsidRPr="002D239E">
                            <w:rPr>
                              <w:lang w:val="de-DE"/>
                            </w:rPr>
                            <w:t xml:space="preserve">2500 </w:t>
                          </w:r>
                          <w:proofErr w:type="gramStart"/>
                          <w:r w:rsidRPr="002D239E">
                            <w:rPr>
                              <w:lang w:val="de-DE"/>
                            </w:rPr>
                            <w:t>EA  DEN</w:t>
                          </w:r>
                          <w:proofErr w:type="gramEnd"/>
                          <w:r w:rsidRPr="002D239E">
                            <w:rPr>
                              <w:lang w:val="de-DE"/>
                            </w:rPr>
                            <w:t xml:space="preserve"> HAAG</w:t>
                          </w:r>
                        </w:p>
                        <w:p w14:paraId="4D94C6F7" w14:textId="77777777" w:rsidR="009C16D0" w:rsidRPr="00BD0A77" w:rsidRDefault="00C5291D">
                          <w:r w:rsidRPr="00BD0A77">
                            <w:fldChar w:fldCharType="end"/>
                          </w:r>
                        </w:p>
                      </w:txbxContent>
                    </wps:txbx>
                    <wps:bodyPr vert="horz" wrap="square" lIns="0" tIns="0" rIns="0" bIns="0" anchor="t" anchorCtr="0"/>
                  </wps:wsp>
                </a:graphicData>
              </a:graphic>
            </wp:anchor>
          </w:drawing>
        </mc:Choice>
        <mc:Fallback>
          <w:pict>
            <v:shape w14:anchorId="7D47E66C"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C308904" w14:textId="71876454" w:rsidR="009D7C67" w:rsidRDefault="002368FF">
                    <w:pPr>
                      <w:pStyle w:val="Rubricering"/>
                    </w:pPr>
                    <w:r>
                      <w:fldChar w:fldCharType="begin"/>
                    </w:r>
                    <w:r>
                      <w:instrText xml:space="preserve"> DOCPROPERTY  "Rubricering"  \* MERGEFORMAT </w:instrText>
                    </w:r>
                    <w:r>
                      <w:fldChar w:fldCharType="end"/>
                    </w:r>
                  </w:p>
                  <w:p w14:paraId="7036107D" w14:textId="77777777" w:rsidR="002D239E" w:rsidRDefault="006079EF">
                    <w:r w:rsidRPr="006079EF">
                      <w:t>Voorzitter van de Tweede Kamer der Staten-</w:t>
                    </w:r>
                    <w:proofErr w:type="spellStart"/>
                    <w:r w:rsidRPr="006079EF">
                      <w:t>Generaal</w:t>
                    </w:r>
                    <w:r w:rsidR="00C5291D" w:rsidRPr="00BD0A77">
                      <w:fldChar w:fldCharType="begin"/>
                    </w:r>
                    <w:r>
                      <w:instrText xml:space="preserve"> DOCPROPERTY  "Aan"  \* MERGEFORMAT </w:instrText>
                    </w:r>
                    <w:r w:rsidR="00C5291D" w:rsidRPr="00BD0A77">
                      <w:fldChar w:fldCharType="separate"/>
                    </w:r>
                    <w:r w:rsidR="002D239E">
                      <w:t>Voorzitter</w:t>
                    </w:r>
                    <w:proofErr w:type="spellEnd"/>
                    <w:r w:rsidR="002D239E">
                      <w:t xml:space="preserve"> van de Tweede Kamer der Staten-Generaal</w:t>
                    </w:r>
                  </w:p>
                  <w:p w14:paraId="1F8D5956" w14:textId="77777777" w:rsidR="002D239E" w:rsidRPr="002D239E" w:rsidRDefault="002D239E">
                    <w:pPr>
                      <w:rPr>
                        <w:lang w:val="de-DE"/>
                      </w:rPr>
                    </w:pPr>
                    <w:r w:rsidRPr="002D239E">
                      <w:rPr>
                        <w:lang w:val="de-DE"/>
                      </w:rPr>
                      <w:t>Postbus 20018</w:t>
                    </w:r>
                  </w:p>
                  <w:p w14:paraId="4A0B4520" w14:textId="77777777" w:rsidR="002D239E" w:rsidRPr="002D239E" w:rsidRDefault="002D239E">
                    <w:pPr>
                      <w:rPr>
                        <w:lang w:val="de-DE"/>
                      </w:rPr>
                    </w:pPr>
                    <w:r w:rsidRPr="002D239E">
                      <w:rPr>
                        <w:lang w:val="de-DE"/>
                      </w:rPr>
                      <w:t xml:space="preserve">2500 </w:t>
                    </w:r>
                    <w:proofErr w:type="gramStart"/>
                    <w:r w:rsidRPr="002D239E">
                      <w:rPr>
                        <w:lang w:val="de-DE"/>
                      </w:rPr>
                      <w:t>EA  DEN</w:t>
                    </w:r>
                    <w:proofErr w:type="gramEnd"/>
                    <w:r w:rsidRPr="002D239E">
                      <w:rPr>
                        <w:lang w:val="de-DE"/>
                      </w:rPr>
                      <w:t xml:space="preserve"> HAAG</w:t>
                    </w:r>
                  </w:p>
                  <w:p w14:paraId="4D94C6F7" w14:textId="77777777" w:rsidR="009C16D0" w:rsidRPr="00BD0A77" w:rsidRDefault="00C5291D">
                    <w:r w:rsidRPr="00BD0A77">
                      <w:fldChar w:fldCharType="end"/>
                    </w:r>
                  </w:p>
                </w:txbxContent>
              </v:textbox>
              <w10:wrap anchorx="page"/>
              <w10:anchorlock/>
            </v:shape>
          </w:pict>
        </mc:Fallback>
      </mc:AlternateContent>
    </w:r>
    <w:r w:rsidRPr="00B26033">
      <w:rPr>
        <w:noProof/>
      </w:rPr>
      <mc:AlternateContent>
        <mc:Choice Requires="wps">
          <w:drawing>
            <wp:anchor distT="0" distB="0" distL="0" distR="0" simplePos="0" relativeHeight="251658248" behindDoc="0" locked="1" layoutInCell="1" allowOverlap="1" wp14:anchorId="53610120" wp14:editId="4B750097">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AF7A9A3" w14:textId="77777777" w:rsidR="009D7C67" w:rsidRDefault="002368F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3610120"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AF7A9A3" w14:textId="77777777" w:rsidR="009D7C67" w:rsidRDefault="002368F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sidRPr="00B26033">
      <w:rPr>
        <w:noProof/>
      </w:rPr>
      <mc:AlternateContent>
        <mc:Choice Requires="wps">
          <w:drawing>
            <wp:anchor distT="0" distB="0" distL="0" distR="0" simplePos="0" relativeHeight="251658249" behindDoc="0" locked="1" layoutInCell="1" allowOverlap="1" wp14:anchorId="62A48422" wp14:editId="5C6E000A">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C16D0" w:rsidRPr="00BD0A77" w14:paraId="54FA497A" w14:textId="77777777">
                            <w:trPr>
                              <w:trHeight w:val="200"/>
                            </w:trPr>
                            <w:tc>
                              <w:tcPr>
                                <w:tcW w:w="1140" w:type="dxa"/>
                              </w:tcPr>
                              <w:p w14:paraId="5A904FF0" w14:textId="77777777" w:rsidR="009C16D0" w:rsidRPr="00BD0A77" w:rsidRDefault="009C16D0"/>
                            </w:tc>
                            <w:tc>
                              <w:tcPr>
                                <w:tcW w:w="5400" w:type="dxa"/>
                              </w:tcPr>
                              <w:p w14:paraId="6D579BA0" w14:textId="77777777" w:rsidR="009C16D0" w:rsidRPr="00BD0A77" w:rsidRDefault="009C16D0"/>
                            </w:tc>
                          </w:tr>
                          <w:tr w:rsidR="009C16D0" w:rsidRPr="00BD0A77" w14:paraId="5D755489" w14:textId="77777777">
                            <w:trPr>
                              <w:trHeight w:val="240"/>
                            </w:trPr>
                            <w:tc>
                              <w:tcPr>
                                <w:tcW w:w="1140" w:type="dxa"/>
                              </w:tcPr>
                              <w:p w14:paraId="20E1AD02" w14:textId="77777777" w:rsidR="009C16D0" w:rsidRPr="00BD0A77" w:rsidRDefault="00C5291D">
                                <w:r w:rsidRPr="00BD0A77">
                                  <w:t>Datum</w:t>
                                </w:r>
                              </w:p>
                            </w:tc>
                            <w:tc>
                              <w:tcPr>
                                <w:tcW w:w="5400" w:type="dxa"/>
                              </w:tcPr>
                              <w:p w14:paraId="0CB6D77B" w14:textId="4400BC89" w:rsidR="009C16D0" w:rsidRPr="00BD0A77" w:rsidRDefault="00303D89">
                                <w:r>
                                  <w:t>24 september 2025</w:t>
                                </w:r>
                              </w:p>
                            </w:tc>
                          </w:tr>
                          <w:tr w:rsidR="009C16D0" w:rsidRPr="00BD0A77" w14:paraId="1B0C34BE" w14:textId="77777777">
                            <w:trPr>
                              <w:trHeight w:val="240"/>
                            </w:trPr>
                            <w:tc>
                              <w:tcPr>
                                <w:tcW w:w="1140" w:type="dxa"/>
                              </w:tcPr>
                              <w:p w14:paraId="7938F737" w14:textId="77777777" w:rsidR="009C16D0" w:rsidRPr="00BD0A77" w:rsidRDefault="00C5291D">
                                <w:r w:rsidRPr="00BD0A77">
                                  <w:t>Betreft</w:t>
                                </w:r>
                              </w:p>
                            </w:tc>
                            <w:tc>
                              <w:tcPr>
                                <w:tcW w:w="5400" w:type="dxa"/>
                              </w:tcPr>
                              <w:p w14:paraId="1970E4F4" w14:textId="77777777" w:rsidR="00AC365D" w:rsidRDefault="0030707C">
                                <w:r>
                                  <w:t xml:space="preserve">Deelname private investeerders </w:t>
                                </w:r>
                                <w:proofErr w:type="spellStart"/>
                                <w:r>
                                  <w:t>TenneT</w:t>
                                </w:r>
                                <w:proofErr w:type="spellEnd"/>
                                <w:r>
                                  <w:t xml:space="preserve"> Duitsland  </w:t>
                                </w:r>
                              </w:p>
                            </w:tc>
                          </w:tr>
                          <w:tr w:rsidR="009C16D0" w:rsidRPr="00BD0A77" w14:paraId="04DAD1A6" w14:textId="77777777">
                            <w:trPr>
                              <w:trHeight w:val="200"/>
                            </w:trPr>
                            <w:tc>
                              <w:tcPr>
                                <w:tcW w:w="1140" w:type="dxa"/>
                              </w:tcPr>
                              <w:p w14:paraId="3E50172B" w14:textId="77777777" w:rsidR="009C16D0" w:rsidRPr="00BD0A77" w:rsidRDefault="009C16D0"/>
                            </w:tc>
                            <w:tc>
                              <w:tcPr>
                                <w:tcW w:w="4738" w:type="dxa"/>
                              </w:tcPr>
                              <w:p w14:paraId="2195A4AA" w14:textId="77777777" w:rsidR="009C16D0" w:rsidRPr="00BD0A77" w:rsidRDefault="009C16D0"/>
                            </w:tc>
                          </w:tr>
                        </w:tbl>
                        <w:p w14:paraId="59A97025" w14:textId="77777777" w:rsidR="00C5291D" w:rsidRPr="00BD0A77" w:rsidRDefault="00C5291D"/>
                      </w:txbxContent>
                    </wps:txbx>
                    <wps:bodyPr vert="horz" wrap="square" lIns="0" tIns="0" rIns="0" bIns="0" anchor="t" anchorCtr="0"/>
                  </wps:wsp>
                </a:graphicData>
              </a:graphic>
            </wp:anchor>
          </w:drawing>
        </mc:Choice>
        <mc:Fallback>
          <w:pict>
            <v:shape w14:anchorId="62A48422"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9C16D0" w:rsidRPr="00BD0A77" w14:paraId="54FA497A" w14:textId="77777777">
                      <w:trPr>
                        <w:trHeight w:val="200"/>
                      </w:trPr>
                      <w:tc>
                        <w:tcPr>
                          <w:tcW w:w="1140" w:type="dxa"/>
                        </w:tcPr>
                        <w:p w14:paraId="5A904FF0" w14:textId="77777777" w:rsidR="009C16D0" w:rsidRPr="00BD0A77" w:rsidRDefault="009C16D0"/>
                      </w:tc>
                      <w:tc>
                        <w:tcPr>
                          <w:tcW w:w="5400" w:type="dxa"/>
                        </w:tcPr>
                        <w:p w14:paraId="6D579BA0" w14:textId="77777777" w:rsidR="009C16D0" w:rsidRPr="00BD0A77" w:rsidRDefault="009C16D0"/>
                      </w:tc>
                    </w:tr>
                    <w:tr w:rsidR="009C16D0" w:rsidRPr="00BD0A77" w14:paraId="5D755489" w14:textId="77777777">
                      <w:trPr>
                        <w:trHeight w:val="240"/>
                      </w:trPr>
                      <w:tc>
                        <w:tcPr>
                          <w:tcW w:w="1140" w:type="dxa"/>
                        </w:tcPr>
                        <w:p w14:paraId="20E1AD02" w14:textId="77777777" w:rsidR="009C16D0" w:rsidRPr="00BD0A77" w:rsidRDefault="00C5291D">
                          <w:r w:rsidRPr="00BD0A77">
                            <w:t>Datum</w:t>
                          </w:r>
                        </w:p>
                      </w:tc>
                      <w:tc>
                        <w:tcPr>
                          <w:tcW w:w="5400" w:type="dxa"/>
                        </w:tcPr>
                        <w:p w14:paraId="0CB6D77B" w14:textId="4400BC89" w:rsidR="009C16D0" w:rsidRPr="00BD0A77" w:rsidRDefault="00303D89">
                          <w:r>
                            <w:t>24 september 2025</w:t>
                          </w:r>
                        </w:p>
                      </w:tc>
                    </w:tr>
                    <w:tr w:rsidR="009C16D0" w:rsidRPr="00BD0A77" w14:paraId="1B0C34BE" w14:textId="77777777">
                      <w:trPr>
                        <w:trHeight w:val="240"/>
                      </w:trPr>
                      <w:tc>
                        <w:tcPr>
                          <w:tcW w:w="1140" w:type="dxa"/>
                        </w:tcPr>
                        <w:p w14:paraId="7938F737" w14:textId="77777777" w:rsidR="009C16D0" w:rsidRPr="00BD0A77" w:rsidRDefault="00C5291D">
                          <w:r w:rsidRPr="00BD0A77">
                            <w:t>Betreft</w:t>
                          </w:r>
                        </w:p>
                      </w:tc>
                      <w:tc>
                        <w:tcPr>
                          <w:tcW w:w="5400" w:type="dxa"/>
                        </w:tcPr>
                        <w:p w14:paraId="1970E4F4" w14:textId="77777777" w:rsidR="00AC365D" w:rsidRDefault="0030707C">
                          <w:r>
                            <w:t xml:space="preserve">Deelname private investeerders </w:t>
                          </w:r>
                          <w:proofErr w:type="spellStart"/>
                          <w:r>
                            <w:t>TenneT</w:t>
                          </w:r>
                          <w:proofErr w:type="spellEnd"/>
                          <w:r>
                            <w:t xml:space="preserve"> Duitsland  </w:t>
                          </w:r>
                        </w:p>
                      </w:tc>
                    </w:tr>
                    <w:tr w:rsidR="009C16D0" w:rsidRPr="00BD0A77" w14:paraId="04DAD1A6" w14:textId="77777777">
                      <w:trPr>
                        <w:trHeight w:val="200"/>
                      </w:trPr>
                      <w:tc>
                        <w:tcPr>
                          <w:tcW w:w="1140" w:type="dxa"/>
                        </w:tcPr>
                        <w:p w14:paraId="3E50172B" w14:textId="77777777" w:rsidR="009C16D0" w:rsidRPr="00BD0A77" w:rsidRDefault="009C16D0"/>
                      </w:tc>
                      <w:tc>
                        <w:tcPr>
                          <w:tcW w:w="4738" w:type="dxa"/>
                        </w:tcPr>
                        <w:p w14:paraId="2195A4AA" w14:textId="77777777" w:rsidR="009C16D0" w:rsidRPr="00BD0A77" w:rsidRDefault="009C16D0"/>
                      </w:tc>
                    </w:tr>
                  </w:tbl>
                  <w:p w14:paraId="59A97025" w14:textId="77777777" w:rsidR="00C5291D" w:rsidRPr="00BD0A77" w:rsidRDefault="00C5291D"/>
                </w:txbxContent>
              </v:textbox>
              <w10:wrap anchorx="page"/>
              <w10:anchorlock/>
            </v:shape>
          </w:pict>
        </mc:Fallback>
      </mc:AlternateContent>
    </w:r>
    <w:r w:rsidRPr="00B26033">
      <w:rPr>
        <w:noProof/>
      </w:rPr>
      <mc:AlternateContent>
        <mc:Choice Requires="wps">
          <w:drawing>
            <wp:anchor distT="0" distB="0" distL="0" distR="0" simplePos="0" relativeHeight="251658250" behindDoc="0" locked="1" layoutInCell="1" allowOverlap="1" wp14:anchorId="03046ADC" wp14:editId="5B842AA0">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C267E2E" w14:textId="7D5735D7" w:rsidR="009D7C67" w:rsidRDefault="002368F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3046ADC"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C267E2E" w14:textId="7D5735D7" w:rsidR="009D7C67" w:rsidRDefault="002368FF">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sidRPr="00B26033">
      <w:rPr>
        <w:noProof/>
      </w:rPr>
      <mc:AlternateContent>
        <mc:Choice Requires="wps">
          <w:drawing>
            <wp:anchor distT="0" distB="0" distL="0" distR="0" simplePos="0" relativeHeight="251658251" behindDoc="0" locked="1" layoutInCell="1" allowOverlap="1" wp14:anchorId="78641883" wp14:editId="330D4902">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40C2611" w14:textId="77777777" w:rsidR="00C5291D" w:rsidRPr="00BD0A77" w:rsidRDefault="00C5291D"/>
                      </w:txbxContent>
                    </wps:txbx>
                    <wps:bodyPr vert="horz" wrap="square" lIns="0" tIns="0" rIns="0" bIns="0" anchor="t" anchorCtr="0"/>
                  </wps:wsp>
                </a:graphicData>
              </a:graphic>
            </wp:anchor>
          </w:drawing>
        </mc:Choice>
        <mc:Fallback>
          <w:pict>
            <v:shape w14:anchorId="78641883"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40C2611" w14:textId="77777777" w:rsidR="00C5291D" w:rsidRPr="00BD0A77" w:rsidRDefault="00C5291D"/>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71C3CD"/>
    <w:multiLevelType w:val="multilevel"/>
    <w:tmpl w:val="A9CEEF5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A1A08"/>
    <w:multiLevelType w:val="hybridMultilevel"/>
    <w:tmpl w:val="F3BC07DC"/>
    <w:lvl w:ilvl="0" w:tplc="0242EC4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CB4DD9"/>
    <w:multiLevelType w:val="hybridMultilevel"/>
    <w:tmpl w:val="EE54B6A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D4C1EEF"/>
    <w:multiLevelType w:val="hybridMultilevel"/>
    <w:tmpl w:val="ED36EB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2B52CB"/>
    <w:multiLevelType w:val="hybridMultilevel"/>
    <w:tmpl w:val="D330609C"/>
    <w:lvl w:ilvl="0" w:tplc="1E340D68">
      <w:start w:val="1"/>
      <w:numFmt w:val="lowerLetter"/>
      <w:lvlText w:val="%1."/>
      <w:lvlJc w:val="left"/>
      <w:pPr>
        <w:ind w:left="720" w:hanging="360"/>
      </w:pPr>
      <w:rPr>
        <w:b w:val="0"/>
        <w: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26676B9C"/>
    <w:multiLevelType w:val="hybridMultilevel"/>
    <w:tmpl w:val="79624A7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3F4E16"/>
    <w:multiLevelType w:val="hybridMultilevel"/>
    <w:tmpl w:val="9B3608E2"/>
    <w:lvl w:ilvl="0" w:tplc="698EF136">
      <w:start w:val="1"/>
      <w:numFmt w:val="lowerLetter"/>
      <w:lvlText w:val="%1."/>
      <w:lvlJc w:val="left"/>
      <w:pPr>
        <w:ind w:left="720" w:hanging="360"/>
      </w:pPr>
      <w:rPr>
        <w:i/>
        <w:iCs/>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8254213"/>
    <w:multiLevelType w:val="multilevel"/>
    <w:tmpl w:val="86A4B0B4"/>
    <w:lvl w:ilvl="0">
      <w:start w:val="1"/>
      <w:numFmt w:val="decimal"/>
      <w:lvlText w:val="%1."/>
      <w:lvlJc w:val="left"/>
      <w:pPr>
        <w:ind w:left="360" w:hanging="360"/>
      </w:pPr>
      <w:rPr>
        <w:b/>
        <w:bCs/>
      </w:rPr>
    </w:lvl>
    <w:lvl w:ilvl="1">
      <w:start w:val="1"/>
      <w:numFmt w:val="decimal"/>
      <w:lvlText w:val="%1.%2."/>
      <w:lvlJc w:val="left"/>
      <w:pPr>
        <w:ind w:left="574" w:hanging="432"/>
      </w:pPr>
      <w:rPr>
        <w:b/>
        <w:bCs/>
        <w:i/>
        <w:iCs/>
      </w:rPr>
    </w:lvl>
    <w:lvl w:ilvl="2">
      <w:start w:val="1"/>
      <w:numFmt w:val="decimal"/>
      <w:lvlText w:val="%1.%2.%3."/>
      <w:lvlJc w:val="left"/>
      <w:pPr>
        <w:ind w:left="1224" w:hanging="504"/>
      </w:pPr>
      <w:rPr>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C40721"/>
    <w:multiLevelType w:val="hybridMultilevel"/>
    <w:tmpl w:val="A6F804B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B8D7EBF"/>
    <w:multiLevelType w:val="hybridMultilevel"/>
    <w:tmpl w:val="4FDE899A"/>
    <w:lvl w:ilvl="0" w:tplc="04130001">
      <w:start w:val="1"/>
      <w:numFmt w:val="bullet"/>
      <w:lvlText w:val=""/>
      <w:lvlJc w:val="left"/>
      <w:pPr>
        <w:ind w:left="494" w:hanging="360"/>
      </w:pPr>
      <w:rPr>
        <w:rFonts w:ascii="Symbol" w:hAnsi="Symbol" w:hint="default"/>
      </w:rPr>
    </w:lvl>
    <w:lvl w:ilvl="1" w:tplc="04130003" w:tentative="1">
      <w:start w:val="1"/>
      <w:numFmt w:val="bullet"/>
      <w:lvlText w:val="o"/>
      <w:lvlJc w:val="left"/>
      <w:pPr>
        <w:ind w:left="1214" w:hanging="360"/>
      </w:pPr>
      <w:rPr>
        <w:rFonts w:ascii="Courier New" w:hAnsi="Courier New" w:cs="Courier New" w:hint="default"/>
      </w:rPr>
    </w:lvl>
    <w:lvl w:ilvl="2" w:tplc="04130005" w:tentative="1">
      <w:start w:val="1"/>
      <w:numFmt w:val="bullet"/>
      <w:lvlText w:val=""/>
      <w:lvlJc w:val="left"/>
      <w:pPr>
        <w:ind w:left="1934" w:hanging="360"/>
      </w:pPr>
      <w:rPr>
        <w:rFonts w:ascii="Wingdings" w:hAnsi="Wingdings" w:hint="default"/>
      </w:rPr>
    </w:lvl>
    <w:lvl w:ilvl="3" w:tplc="04130001" w:tentative="1">
      <w:start w:val="1"/>
      <w:numFmt w:val="bullet"/>
      <w:lvlText w:val=""/>
      <w:lvlJc w:val="left"/>
      <w:pPr>
        <w:ind w:left="2654" w:hanging="360"/>
      </w:pPr>
      <w:rPr>
        <w:rFonts w:ascii="Symbol" w:hAnsi="Symbol" w:hint="default"/>
      </w:rPr>
    </w:lvl>
    <w:lvl w:ilvl="4" w:tplc="04130003" w:tentative="1">
      <w:start w:val="1"/>
      <w:numFmt w:val="bullet"/>
      <w:lvlText w:val="o"/>
      <w:lvlJc w:val="left"/>
      <w:pPr>
        <w:ind w:left="3374" w:hanging="360"/>
      </w:pPr>
      <w:rPr>
        <w:rFonts w:ascii="Courier New" w:hAnsi="Courier New" w:cs="Courier New" w:hint="default"/>
      </w:rPr>
    </w:lvl>
    <w:lvl w:ilvl="5" w:tplc="04130005" w:tentative="1">
      <w:start w:val="1"/>
      <w:numFmt w:val="bullet"/>
      <w:lvlText w:val=""/>
      <w:lvlJc w:val="left"/>
      <w:pPr>
        <w:ind w:left="4094" w:hanging="360"/>
      </w:pPr>
      <w:rPr>
        <w:rFonts w:ascii="Wingdings" w:hAnsi="Wingdings" w:hint="default"/>
      </w:rPr>
    </w:lvl>
    <w:lvl w:ilvl="6" w:tplc="04130001" w:tentative="1">
      <w:start w:val="1"/>
      <w:numFmt w:val="bullet"/>
      <w:lvlText w:val=""/>
      <w:lvlJc w:val="left"/>
      <w:pPr>
        <w:ind w:left="4814" w:hanging="360"/>
      </w:pPr>
      <w:rPr>
        <w:rFonts w:ascii="Symbol" w:hAnsi="Symbol" w:hint="default"/>
      </w:rPr>
    </w:lvl>
    <w:lvl w:ilvl="7" w:tplc="04130003" w:tentative="1">
      <w:start w:val="1"/>
      <w:numFmt w:val="bullet"/>
      <w:lvlText w:val="o"/>
      <w:lvlJc w:val="left"/>
      <w:pPr>
        <w:ind w:left="5534" w:hanging="360"/>
      </w:pPr>
      <w:rPr>
        <w:rFonts w:ascii="Courier New" w:hAnsi="Courier New" w:cs="Courier New" w:hint="default"/>
      </w:rPr>
    </w:lvl>
    <w:lvl w:ilvl="8" w:tplc="04130005" w:tentative="1">
      <w:start w:val="1"/>
      <w:numFmt w:val="bullet"/>
      <w:lvlText w:val=""/>
      <w:lvlJc w:val="left"/>
      <w:pPr>
        <w:ind w:left="6254" w:hanging="360"/>
      </w:pPr>
      <w:rPr>
        <w:rFonts w:ascii="Wingdings" w:hAnsi="Wingdings" w:hint="default"/>
      </w:rPr>
    </w:lvl>
  </w:abstractNum>
  <w:abstractNum w:abstractNumId="10" w15:restartNumberingAfterBreak="0">
    <w:nsid w:val="2C7969A7"/>
    <w:multiLevelType w:val="multilevel"/>
    <w:tmpl w:val="EE6E9A14"/>
    <w:lvl w:ilvl="0">
      <w:start w:val="4"/>
      <w:numFmt w:val="decimal"/>
      <w:lvlText w:val="%1"/>
      <w:lvlJc w:val="left"/>
      <w:pPr>
        <w:ind w:left="360" w:hanging="360"/>
      </w:pPr>
      <w:rPr>
        <w:i/>
      </w:rPr>
    </w:lvl>
    <w:lvl w:ilvl="1">
      <w:start w:val="1"/>
      <w:numFmt w:val="decimal"/>
      <w:lvlText w:val="%1.%2"/>
      <w:lvlJc w:val="left"/>
      <w:pPr>
        <w:ind w:left="720" w:hanging="720"/>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800" w:hanging="180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11" w15:restartNumberingAfterBreak="0">
    <w:nsid w:val="2D29AD50"/>
    <w:multiLevelType w:val="multilevel"/>
    <w:tmpl w:val="7F79079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14B47"/>
    <w:multiLevelType w:val="hybridMultilevel"/>
    <w:tmpl w:val="E3A23B9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37D22CD8"/>
    <w:multiLevelType w:val="multilevel"/>
    <w:tmpl w:val="3230DB8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6FC0689"/>
    <w:multiLevelType w:val="hybridMultilevel"/>
    <w:tmpl w:val="FFBC6064"/>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9AE6B9C"/>
    <w:multiLevelType w:val="hybridMultilevel"/>
    <w:tmpl w:val="3536BDAA"/>
    <w:lvl w:ilvl="0" w:tplc="B8F2C0E6">
      <w:start w:val="1"/>
      <w:numFmt w:val="decimal"/>
      <w:lvlText w:val="%1."/>
      <w:lvlJc w:val="left"/>
      <w:pPr>
        <w:ind w:left="720" w:hanging="360"/>
      </w:pPr>
      <w:rPr>
        <w:b w:val="0"/>
        <w:bCs w:val="0"/>
      </w:rPr>
    </w:lvl>
    <w:lvl w:ilvl="1" w:tplc="0413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0907A28"/>
    <w:multiLevelType w:val="multilevel"/>
    <w:tmpl w:val="C70EFA22"/>
    <w:lvl w:ilvl="0">
      <w:start w:val="1"/>
      <w:numFmt w:val="lowerLetter"/>
      <w:lvlText w:val="%1."/>
      <w:lvlJc w:val="left"/>
      <w:pPr>
        <w:ind w:left="360" w:hanging="360"/>
      </w:pPr>
      <w:rPr>
        <w:i/>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8105E9"/>
    <w:multiLevelType w:val="hybridMultilevel"/>
    <w:tmpl w:val="D6E6CE9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52306BFC"/>
    <w:multiLevelType w:val="multilevel"/>
    <w:tmpl w:val="BFC78163"/>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C10372"/>
    <w:multiLevelType w:val="hybridMultilevel"/>
    <w:tmpl w:val="CEC60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733401"/>
    <w:multiLevelType w:val="multilevel"/>
    <w:tmpl w:val="2023B34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67480796"/>
    <w:multiLevelType w:val="hybridMultilevel"/>
    <w:tmpl w:val="87E01C1C"/>
    <w:lvl w:ilvl="0" w:tplc="04130001">
      <w:start w:val="1"/>
      <w:numFmt w:val="bullet"/>
      <w:lvlText w:val=""/>
      <w:lvlJc w:val="left"/>
      <w:pPr>
        <w:ind w:left="492" w:hanging="360"/>
      </w:pPr>
      <w:rPr>
        <w:rFonts w:ascii="Symbol" w:hAnsi="Symbol" w:hint="default"/>
      </w:rPr>
    </w:lvl>
    <w:lvl w:ilvl="1" w:tplc="04130003" w:tentative="1">
      <w:start w:val="1"/>
      <w:numFmt w:val="bullet"/>
      <w:lvlText w:val="o"/>
      <w:lvlJc w:val="left"/>
      <w:pPr>
        <w:ind w:left="1212" w:hanging="360"/>
      </w:pPr>
      <w:rPr>
        <w:rFonts w:ascii="Courier New" w:hAnsi="Courier New" w:cs="Courier New" w:hint="default"/>
      </w:rPr>
    </w:lvl>
    <w:lvl w:ilvl="2" w:tplc="04130005" w:tentative="1">
      <w:start w:val="1"/>
      <w:numFmt w:val="bullet"/>
      <w:lvlText w:val=""/>
      <w:lvlJc w:val="left"/>
      <w:pPr>
        <w:ind w:left="1932" w:hanging="360"/>
      </w:pPr>
      <w:rPr>
        <w:rFonts w:ascii="Wingdings" w:hAnsi="Wingdings" w:hint="default"/>
      </w:rPr>
    </w:lvl>
    <w:lvl w:ilvl="3" w:tplc="04130001" w:tentative="1">
      <w:start w:val="1"/>
      <w:numFmt w:val="bullet"/>
      <w:lvlText w:val=""/>
      <w:lvlJc w:val="left"/>
      <w:pPr>
        <w:ind w:left="2652" w:hanging="360"/>
      </w:pPr>
      <w:rPr>
        <w:rFonts w:ascii="Symbol" w:hAnsi="Symbol" w:hint="default"/>
      </w:rPr>
    </w:lvl>
    <w:lvl w:ilvl="4" w:tplc="04130003" w:tentative="1">
      <w:start w:val="1"/>
      <w:numFmt w:val="bullet"/>
      <w:lvlText w:val="o"/>
      <w:lvlJc w:val="left"/>
      <w:pPr>
        <w:ind w:left="3372" w:hanging="360"/>
      </w:pPr>
      <w:rPr>
        <w:rFonts w:ascii="Courier New" w:hAnsi="Courier New" w:cs="Courier New" w:hint="default"/>
      </w:rPr>
    </w:lvl>
    <w:lvl w:ilvl="5" w:tplc="04130005" w:tentative="1">
      <w:start w:val="1"/>
      <w:numFmt w:val="bullet"/>
      <w:lvlText w:val=""/>
      <w:lvlJc w:val="left"/>
      <w:pPr>
        <w:ind w:left="4092" w:hanging="360"/>
      </w:pPr>
      <w:rPr>
        <w:rFonts w:ascii="Wingdings" w:hAnsi="Wingdings" w:hint="default"/>
      </w:rPr>
    </w:lvl>
    <w:lvl w:ilvl="6" w:tplc="04130001" w:tentative="1">
      <w:start w:val="1"/>
      <w:numFmt w:val="bullet"/>
      <w:lvlText w:val=""/>
      <w:lvlJc w:val="left"/>
      <w:pPr>
        <w:ind w:left="4812" w:hanging="360"/>
      </w:pPr>
      <w:rPr>
        <w:rFonts w:ascii="Symbol" w:hAnsi="Symbol" w:hint="default"/>
      </w:rPr>
    </w:lvl>
    <w:lvl w:ilvl="7" w:tplc="04130003" w:tentative="1">
      <w:start w:val="1"/>
      <w:numFmt w:val="bullet"/>
      <w:lvlText w:val="o"/>
      <w:lvlJc w:val="left"/>
      <w:pPr>
        <w:ind w:left="5532" w:hanging="360"/>
      </w:pPr>
      <w:rPr>
        <w:rFonts w:ascii="Courier New" w:hAnsi="Courier New" w:cs="Courier New" w:hint="default"/>
      </w:rPr>
    </w:lvl>
    <w:lvl w:ilvl="8" w:tplc="04130005" w:tentative="1">
      <w:start w:val="1"/>
      <w:numFmt w:val="bullet"/>
      <w:lvlText w:val=""/>
      <w:lvlJc w:val="left"/>
      <w:pPr>
        <w:ind w:left="6252" w:hanging="360"/>
      </w:pPr>
      <w:rPr>
        <w:rFonts w:ascii="Wingdings" w:hAnsi="Wingdings" w:hint="default"/>
      </w:rPr>
    </w:lvl>
  </w:abstractNum>
  <w:abstractNum w:abstractNumId="22" w15:restartNumberingAfterBreak="0">
    <w:nsid w:val="71885CE6"/>
    <w:multiLevelType w:val="multilevel"/>
    <w:tmpl w:val="FA82AC4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3" w15:restartNumberingAfterBreak="0">
    <w:nsid w:val="78898D8E"/>
    <w:multiLevelType w:val="multilevel"/>
    <w:tmpl w:val="49A97C1B"/>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F13AC9"/>
    <w:multiLevelType w:val="hybridMultilevel"/>
    <w:tmpl w:val="F11C47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67431753">
    <w:abstractNumId w:val="11"/>
  </w:num>
  <w:num w:numId="2" w16cid:durableId="800657518">
    <w:abstractNumId w:val="18"/>
  </w:num>
  <w:num w:numId="3" w16cid:durableId="1571962887">
    <w:abstractNumId w:val="22"/>
  </w:num>
  <w:num w:numId="4" w16cid:durableId="957838782">
    <w:abstractNumId w:val="20"/>
  </w:num>
  <w:num w:numId="5" w16cid:durableId="1789005562">
    <w:abstractNumId w:val="23"/>
  </w:num>
  <w:num w:numId="6" w16cid:durableId="685521751">
    <w:abstractNumId w:val="0"/>
  </w:num>
  <w:num w:numId="7" w16cid:durableId="16643167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2976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712053">
    <w:abstractNumId w:val="24"/>
  </w:num>
  <w:num w:numId="10" w16cid:durableId="1677918439">
    <w:abstractNumId w:val="3"/>
  </w:num>
  <w:num w:numId="11" w16cid:durableId="1618830923">
    <w:abstractNumId w:val="6"/>
    <w:lvlOverride w:ilvl="0">
      <w:startOverride w:val="1"/>
    </w:lvlOverride>
    <w:lvlOverride w:ilvl="1"/>
    <w:lvlOverride w:ilvl="2"/>
    <w:lvlOverride w:ilvl="3"/>
    <w:lvlOverride w:ilvl="4"/>
    <w:lvlOverride w:ilvl="5"/>
    <w:lvlOverride w:ilvl="6"/>
    <w:lvlOverride w:ilvl="7"/>
    <w:lvlOverride w:ilvl="8"/>
  </w:num>
  <w:num w:numId="12" w16cid:durableId="1266227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93365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3515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8253113">
    <w:abstractNumId w:val="8"/>
  </w:num>
  <w:num w:numId="16" w16cid:durableId="9436544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9856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1362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30798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66541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4931610">
    <w:abstractNumId w:val="9"/>
  </w:num>
  <w:num w:numId="22" w16cid:durableId="2015758602">
    <w:abstractNumId w:val="21"/>
  </w:num>
  <w:num w:numId="23" w16cid:durableId="2106462344">
    <w:abstractNumId w:val="19"/>
  </w:num>
  <w:num w:numId="24" w16cid:durableId="868026250">
    <w:abstractNumId w:val="13"/>
  </w:num>
  <w:num w:numId="25" w16cid:durableId="65530662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6D0"/>
    <w:rsid w:val="00000A4C"/>
    <w:rsid w:val="00003F7D"/>
    <w:rsid w:val="0001150B"/>
    <w:rsid w:val="00015F01"/>
    <w:rsid w:val="00017B59"/>
    <w:rsid w:val="00031095"/>
    <w:rsid w:val="00032A3A"/>
    <w:rsid w:val="00035EA2"/>
    <w:rsid w:val="0003785A"/>
    <w:rsid w:val="00045BFB"/>
    <w:rsid w:val="00046031"/>
    <w:rsid w:val="0004736F"/>
    <w:rsid w:val="00050AE6"/>
    <w:rsid w:val="00051F00"/>
    <w:rsid w:val="000605FC"/>
    <w:rsid w:val="0006172E"/>
    <w:rsid w:val="00062213"/>
    <w:rsid w:val="000622FD"/>
    <w:rsid w:val="00071C6B"/>
    <w:rsid w:val="000729E4"/>
    <w:rsid w:val="00084CF4"/>
    <w:rsid w:val="000851EE"/>
    <w:rsid w:val="000863BD"/>
    <w:rsid w:val="000933A4"/>
    <w:rsid w:val="00093EFA"/>
    <w:rsid w:val="00094E81"/>
    <w:rsid w:val="000A4C40"/>
    <w:rsid w:val="000A4C65"/>
    <w:rsid w:val="000B2C0F"/>
    <w:rsid w:val="000C1D39"/>
    <w:rsid w:val="000C26E8"/>
    <w:rsid w:val="000C31FD"/>
    <w:rsid w:val="000C3A4E"/>
    <w:rsid w:val="000C4DDC"/>
    <w:rsid w:val="000D6416"/>
    <w:rsid w:val="000E3517"/>
    <w:rsid w:val="000E44FB"/>
    <w:rsid w:val="000E5BF3"/>
    <w:rsid w:val="000E696C"/>
    <w:rsid w:val="000E73D0"/>
    <w:rsid w:val="000F4BC8"/>
    <w:rsid w:val="00102D7F"/>
    <w:rsid w:val="001043E9"/>
    <w:rsid w:val="001062FE"/>
    <w:rsid w:val="00106F8F"/>
    <w:rsid w:val="00107552"/>
    <w:rsid w:val="00114A51"/>
    <w:rsid w:val="001159AB"/>
    <w:rsid w:val="00121C62"/>
    <w:rsid w:val="0012407E"/>
    <w:rsid w:val="00127FFE"/>
    <w:rsid w:val="00135823"/>
    <w:rsid w:val="0014062A"/>
    <w:rsid w:val="00143F46"/>
    <w:rsid w:val="00145D81"/>
    <w:rsid w:val="00146432"/>
    <w:rsid w:val="00147E30"/>
    <w:rsid w:val="001504E9"/>
    <w:rsid w:val="0015325C"/>
    <w:rsid w:val="001637B0"/>
    <w:rsid w:val="00164046"/>
    <w:rsid w:val="00164E11"/>
    <w:rsid w:val="0016711E"/>
    <w:rsid w:val="001673F0"/>
    <w:rsid w:val="00173AAB"/>
    <w:rsid w:val="001A0FEA"/>
    <w:rsid w:val="001A1D47"/>
    <w:rsid w:val="001A607E"/>
    <w:rsid w:val="001B2F67"/>
    <w:rsid w:val="001B52F6"/>
    <w:rsid w:val="001C3B42"/>
    <w:rsid w:val="001C6169"/>
    <w:rsid w:val="001D3228"/>
    <w:rsid w:val="001D510C"/>
    <w:rsid w:val="001E34A7"/>
    <w:rsid w:val="001E3523"/>
    <w:rsid w:val="001E4CEE"/>
    <w:rsid w:val="001E66B4"/>
    <w:rsid w:val="00201C89"/>
    <w:rsid w:val="00202713"/>
    <w:rsid w:val="00205D27"/>
    <w:rsid w:val="00213246"/>
    <w:rsid w:val="00220428"/>
    <w:rsid w:val="002267A1"/>
    <w:rsid w:val="00232A07"/>
    <w:rsid w:val="00235F50"/>
    <w:rsid w:val="002377CC"/>
    <w:rsid w:val="002435F4"/>
    <w:rsid w:val="00247C23"/>
    <w:rsid w:val="00250349"/>
    <w:rsid w:val="00255E79"/>
    <w:rsid w:val="0026132D"/>
    <w:rsid w:val="002613AF"/>
    <w:rsid w:val="002663F2"/>
    <w:rsid w:val="00270C66"/>
    <w:rsid w:val="00273F8F"/>
    <w:rsid w:val="002823AC"/>
    <w:rsid w:val="002903E3"/>
    <w:rsid w:val="00292343"/>
    <w:rsid w:val="00292727"/>
    <w:rsid w:val="002955AC"/>
    <w:rsid w:val="002B64B9"/>
    <w:rsid w:val="002B6EC4"/>
    <w:rsid w:val="002C1568"/>
    <w:rsid w:val="002C1F75"/>
    <w:rsid w:val="002C4825"/>
    <w:rsid w:val="002C7DE8"/>
    <w:rsid w:val="002D239E"/>
    <w:rsid w:val="002D7502"/>
    <w:rsid w:val="002D79F5"/>
    <w:rsid w:val="002E2DCE"/>
    <w:rsid w:val="002E52D3"/>
    <w:rsid w:val="002F41BF"/>
    <w:rsid w:val="0030184E"/>
    <w:rsid w:val="00302FE9"/>
    <w:rsid w:val="00303D89"/>
    <w:rsid w:val="00303F88"/>
    <w:rsid w:val="0030707C"/>
    <w:rsid w:val="00313125"/>
    <w:rsid w:val="00313147"/>
    <w:rsid w:val="00313EBC"/>
    <w:rsid w:val="003147B6"/>
    <w:rsid w:val="00315A25"/>
    <w:rsid w:val="00315C3D"/>
    <w:rsid w:val="00317471"/>
    <w:rsid w:val="003177B0"/>
    <w:rsid w:val="00320748"/>
    <w:rsid w:val="00321E5C"/>
    <w:rsid w:val="00322EB8"/>
    <w:rsid w:val="00330E6F"/>
    <w:rsid w:val="00335184"/>
    <w:rsid w:val="00337B97"/>
    <w:rsid w:val="00341E67"/>
    <w:rsid w:val="00344859"/>
    <w:rsid w:val="00361A57"/>
    <w:rsid w:val="00373B9B"/>
    <w:rsid w:val="00381918"/>
    <w:rsid w:val="0038709A"/>
    <w:rsid w:val="00390B58"/>
    <w:rsid w:val="00394067"/>
    <w:rsid w:val="003B2E7B"/>
    <w:rsid w:val="003B4746"/>
    <w:rsid w:val="003B477D"/>
    <w:rsid w:val="003B626D"/>
    <w:rsid w:val="003C26BF"/>
    <w:rsid w:val="003C2A60"/>
    <w:rsid w:val="003D1572"/>
    <w:rsid w:val="003E3772"/>
    <w:rsid w:val="003E4ED3"/>
    <w:rsid w:val="003E6F7C"/>
    <w:rsid w:val="003F0D37"/>
    <w:rsid w:val="003F18D3"/>
    <w:rsid w:val="003F36E3"/>
    <w:rsid w:val="003F6FEE"/>
    <w:rsid w:val="00400F45"/>
    <w:rsid w:val="004032F6"/>
    <w:rsid w:val="004077DB"/>
    <w:rsid w:val="00412D4A"/>
    <w:rsid w:val="00413ECB"/>
    <w:rsid w:val="00415A7D"/>
    <w:rsid w:val="00420806"/>
    <w:rsid w:val="004228BB"/>
    <w:rsid w:val="00422A3B"/>
    <w:rsid w:val="00424F63"/>
    <w:rsid w:val="00426159"/>
    <w:rsid w:val="0043278B"/>
    <w:rsid w:val="00435F93"/>
    <w:rsid w:val="0044103D"/>
    <w:rsid w:val="004546A5"/>
    <w:rsid w:val="00460439"/>
    <w:rsid w:val="00464CBE"/>
    <w:rsid w:val="0046612E"/>
    <w:rsid w:val="004717B6"/>
    <w:rsid w:val="00471E0D"/>
    <w:rsid w:val="00476A9A"/>
    <w:rsid w:val="004806E6"/>
    <w:rsid w:val="0048730B"/>
    <w:rsid w:val="004901F4"/>
    <w:rsid w:val="00491230"/>
    <w:rsid w:val="00494802"/>
    <w:rsid w:val="004A0790"/>
    <w:rsid w:val="004A2E2A"/>
    <w:rsid w:val="004A462F"/>
    <w:rsid w:val="004A4B10"/>
    <w:rsid w:val="004B2633"/>
    <w:rsid w:val="004B32D0"/>
    <w:rsid w:val="004B6DC5"/>
    <w:rsid w:val="004C15FF"/>
    <w:rsid w:val="004C1D64"/>
    <w:rsid w:val="004C4C44"/>
    <w:rsid w:val="004D1627"/>
    <w:rsid w:val="004D30CF"/>
    <w:rsid w:val="004D779B"/>
    <w:rsid w:val="004F0114"/>
    <w:rsid w:val="004F09D9"/>
    <w:rsid w:val="004F48D2"/>
    <w:rsid w:val="0050288E"/>
    <w:rsid w:val="005046AD"/>
    <w:rsid w:val="00504C6C"/>
    <w:rsid w:val="00510D5E"/>
    <w:rsid w:val="00510E4E"/>
    <w:rsid w:val="00531726"/>
    <w:rsid w:val="0053542E"/>
    <w:rsid w:val="00537B40"/>
    <w:rsid w:val="005649DA"/>
    <w:rsid w:val="005705B0"/>
    <w:rsid w:val="00573ED7"/>
    <w:rsid w:val="00575D3B"/>
    <w:rsid w:val="005804BD"/>
    <w:rsid w:val="005955FE"/>
    <w:rsid w:val="005B1FE1"/>
    <w:rsid w:val="005B3198"/>
    <w:rsid w:val="005B62F5"/>
    <w:rsid w:val="005C4A54"/>
    <w:rsid w:val="005C6F1D"/>
    <w:rsid w:val="005D120D"/>
    <w:rsid w:val="005D25D6"/>
    <w:rsid w:val="005D3B2A"/>
    <w:rsid w:val="005D5AC9"/>
    <w:rsid w:val="005E1346"/>
    <w:rsid w:val="00601D3F"/>
    <w:rsid w:val="0060212D"/>
    <w:rsid w:val="006079EF"/>
    <w:rsid w:val="00612EC3"/>
    <w:rsid w:val="00612EC8"/>
    <w:rsid w:val="00624D0C"/>
    <w:rsid w:val="00667106"/>
    <w:rsid w:val="0066732E"/>
    <w:rsid w:val="00677D48"/>
    <w:rsid w:val="0068550B"/>
    <w:rsid w:val="0068726D"/>
    <w:rsid w:val="00687347"/>
    <w:rsid w:val="00687924"/>
    <w:rsid w:val="0069671C"/>
    <w:rsid w:val="006969EC"/>
    <w:rsid w:val="00697229"/>
    <w:rsid w:val="006A1F08"/>
    <w:rsid w:val="006A724D"/>
    <w:rsid w:val="006B0ACF"/>
    <w:rsid w:val="006B0D2E"/>
    <w:rsid w:val="006B13FE"/>
    <w:rsid w:val="006B5962"/>
    <w:rsid w:val="006B5DB0"/>
    <w:rsid w:val="006C2F22"/>
    <w:rsid w:val="006D06F1"/>
    <w:rsid w:val="006D5AF0"/>
    <w:rsid w:val="006D6351"/>
    <w:rsid w:val="006D765F"/>
    <w:rsid w:val="006E14DD"/>
    <w:rsid w:val="006E610E"/>
    <w:rsid w:val="006F0ABC"/>
    <w:rsid w:val="006F40E3"/>
    <w:rsid w:val="007004AD"/>
    <w:rsid w:val="00700C78"/>
    <w:rsid w:val="0070193F"/>
    <w:rsid w:val="00703DBE"/>
    <w:rsid w:val="007065DF"/>
    <w:rsid w:val="007135C6"/>
    <w:rsid w:val="00716F35"/>
    <w:rsid w:val="00721F2E"/>
    <w:rsid w:val="007234B8"/>
    <w:rsid w:val="0072623E"/>
    <w:rsid w:val="007320AB"/>
    <w:rsid w:val="0073377F"/>
    <w:rsid w:val="0073422F"/>
    <w:rsid w:val="007430A5"/>
    <w:rsid w:val="0075020E"/>
    <w:rsid w:val="00753BCB"/>
    <w:rsid w:val="00766AEC"/>
    <w:rsid w:val="007711EC"/>
    <w:rsid w:val="007746D0"/>
    <w:rsid w:val="00774E5E"/>
    <w:rsid w:val="00776538"/>
    <w:rsid w:val="0077748F"/>
    <w:rsid w:val="0079221A"/>
    <w:rsid w:val="0079322B"/>
    <w:rsid w:val="007934BA"/>
    <w:rsid w:val="007945C8"/>
    <w:rsid w:val="007A0D1A"/>
    <w:rsid w:val="007A481D"/>
    <w:rsid w:val="007A4B80"/>
    <w:rsid w:val="007A61EC"/>
    <w:rsid w:val="007A6CD3"/>
    <w:rsid w:val="007B49FC"/>
    <w:rsid w:val="007B5086"/>
    <w:rsid w:val="007B7023"/>
    <w:rsid w:val="007C0071"/>
    <w:rsid w:val="007C1ED1"/>
    <w:rsid w:val="007C6B9D"/>
    <w:rsid w:val="007D43E8"/>
    <w:rsid w:val="007D5BF1"/>
    <w:rsid w:val="007E08A4"/>
    <w:rsid w:val="007E126E"/>
    <w:rsid w:val="007F6343"/>
    <w:rsid w:val="00805CBD"/>
    <w:rsid w:val="008164CF"/>
    <w:rsid w:val="0081677E"/>
    <w:rsid w:val="00816B71"/>
    <w:rsid w:val="00822276"/>
    <w:rsid w:val="00826A0C"/>
    <w:rsid w:val="00832A2B"/>
    <w:rsid w:val="00847C76"/>
    <w:rsid w:val="00850B3E"/>
    <w:rsid w:val="00854CC5"/>
    <w:rsid w:val="00861DA6"/>
    <w:rsid w:val="008741FF"/>
    <w:rsid w:val="00882ED6"/>
    <w:rsid w:val="008946D5"/>
    <w:rsid w:val="008A2DCD"/>
    <w:rsid w:val="008A35A8"/>
    <w:rsid w:val="008A4735"/>
    <w:rsid w:val="008B3A51"/>
    <w:rsid w:val="008B424F"/>
    <w:rsid w:val="008C086A"/>
    <w:rsid w:val="008C439A"/>
    <w:rsid w:val="008D232C"/>
    <w:rsid w:val="008D3D1A"/>
    <w:rsid w:val="008D3D2D"/>
    <w:rsid w:val="008D564A"/>
    <w:rsid w:val="008E1BC3"/>
    <w:rsid w:val="008E4943"/>
    <w:rsid w:val="008E64DE"/>
    <w:rsid w:val="008E785D"/>
    <w:rsid w:val="008F0AD1"/>
    <w:rsid w:val="008F0E21"/>
    <w:rsid w:val="008F49D5"/>
    <w:rsid w:val="008F4DCD"/>
    <w:rsid w:val="008F69C7"/>
    <w:rsid w:val="0090282A"/>
    <w:rsid w:val="0091227A"/>
    <w:rsid w:val="00913DF1"/>
    <w:rsid w:val="00914FCB"/>
    <w:rsid w:val="00917AE5"/>
    <w:rsid w:val="009218E6"/>
    <w:rsid w:val="0092755B"/>
    <w:rsid w:val="00936A0A"/>
    <w:rsid w:val="00942173"/>
    <w:rsid w:val="009469B6"/>
    <w:rsid w:val="00950C65"/>
    <w:rsid w:val="0095773E"/>
    <w:rsid w:val="00961BD8"/>
    <w:rsid w:val="00963802"/>
    <w:rsid w:val="00966144"/>
    <w:rsid w:val="0096711C"/>
    <w:rsid w:val="009714ED"/>
    <w:rsid w:val="00974819"/>
    <w:rsid w:val="00976561"/>
    <w:rsid w:val="009800EE"/>
    <w:rsid w:val="009816E1"/>
    <w:rsid w:val="009825C0"/>
    <w:rsid w:val="009834B7"/>
    <w:rsid w:val="00983A04"/>
    <w:rsid w:val="00985C16"/>
    <w:rsid w:val="009933CC"/>
    <w:rsid w:val="009944D0"/>
    <w:rsid w:val="009A1FF7"/>
    <w:rsid w:val="009A4597"/>
    <w:rsid w:val="009A4A7E"/>
    <w:rsid w:val="009B1728"/>
    <w:rsid w:val="009B6728"/>
    <w:rsid w:val="009B6D32"/>
    <w:rsid w:val="009B7EF4"/>
    <w:rsid w:val="009C10EC"/>
    <w:rsid w:val="009C16D0"/>
    <w:rsid w:val="009C5AAC"/>
    <w:rsid w:val="009C63E7"/>
    <w:rsid w:val="009D006B"/>
    <w:rsid w:val="009D3232"/>
    <w:rsid w:val="009D71DA"/>
    <w:rsid w:val="009D7C67"/>
    <w:rsid w:val="009F7EDF"/>
    <w:rsid w:val="00A03E00"/>
    <w:rsid w:val="00A1631F"/>
    <w:rsid w:val="00A168A3"/>
    <w:rsid w:val="00A17D11"/>
    <w:rsid w:val="00A17D30"/>
    <w:rsid w:val="00A23B5C"/>
    <w:rsid w:val="00A27F71"/>
    <w:rsid w:val="00A344B5"/>
    <w:rsid w:val="00A4713B"/>
    <w:rsid w:val="00A53601"/>
    <w:rsid w:val="00A56E23"/>
    <w:rsid w:val="00A571DC"/>
    <w:rsid w:val="00A6639A"/>
    <w:rsid w:val="00A7033C"/>
    <w:rsid w:val="00A71251"/>
    <w:rsid w:val="00A73410"/>
    <w:rsid w:val="00A74187"/>
    <w:rsid w:val="00A777CC"/>
    <w:rsid w:val="00A7794E"/>
    <w:rsid w:val="00A82F1A"/>
    <w:rsid w:val="00A860EA"/>
    <w:rsid w:val="00A90749"/>
    <w:rsid w:val="00A959B1"/>
    <w:rsid w:val="00AA5744"/>
    <w:rsid w:val="00AA6AC8"/>
    <w:rsid w:val="00AA6C14"/>
    <w:rsid w:val="00AB17A6"/>
    <w:rsid w:val="00AC365D"/>
    <w:rsid w:val="00AC6392"/>
    <w:rsid w:val="00AC6759"/>
    <w:rsid w:val="00AD1EB2"/>
    <w:rsid w:val="00AD4126"/>
    <w:rsid w:val="00AD64F8"/>
    <w:rsid w:val="00AE28A9"/>
    <w:rsid w:val="00AF4031"/>
    <w:rsid w:val="00AF58E2"/>
    <w:rsid w:val="00AF7583"/>
    <w:rsid w:val="00B111D9"/>
    <w:rsid w:val="00B23136"/>
    <w:rsid w:val="00B23298"/>
    <w:rsid w:val="00B25907"/>
    <w:rsid w:val="00B26033"/>
    <w:rsid w:val="00B318C3"/>
    <w:rsid w:val="00B32ECD"/>
    <w:rsid w:val="00B33EFA"/>
    <w:rsid w:val="00B36970"/>
    <w:rsid w:val="00B3772B"/>
    <w:rsid w:val="00B421C0"/>
    <w:rsid w:val="00B44B3A"/>
    <w:rsid w:val="00B467C5"/>
    <w:rsid w:val="00B53231"/>
    <w:rsid w:val="00B55284"/>
    <w:rsid w:val="00B61BA2"/>
    <w:rsid w:val="00B62F02"/>
    <w:rsid w:val="00B677BC"/>
    <w:rsid w:val="00B70BDB"/>
    <w:rsid w:val="00B74495"/>
    <w:rsid w:val="00B74524"/>
    <w:rsid w:val="00B74BF8"/>
    <w:rsid w:val="00B76059"/>
    <w:rsid w:val="00B77ADD"/>
    <w:rsid w:val="00B800C9"/>
    <w:rsid w:val="00B8485C"/>
    <w:rsid w:val="00B849DA"/>
    <w:rsid w:val="00B84B0A"/>
    <w:rsid w:val="00B87AE0"/>
    <w:rsid w:val="00B95D9C"/>
    <w:rsid w:val="00B972EF"/>
    <w:rsid w:val="00BA1566"/>
    <w:rsid w:val="00BA6B9D"/>
    <w:rsid w:val="00BA7E67"/>
    <w:rsid w:val="00BB46FB"/>
    <w:rsid w:val="00BC7BA7"/>
    <w:rsid w:val="00BD0A77"/>
    <w:rsid w:val="00BD3CF9"/>
    <w:rsid w:val="00BD44AF"/>
    <w:rsid w:val="00BD55E6"/>
    <w:rsid w:val="00BE396B"/>
    <w:rsid w:val="00BE4576"/>
    <w:rsid w:val="00BE6539"/>
    <w:rsid w:val="00BE6903"/>
    <w:rsid w:val="00BF066E"/>
    <w:rsid w:val="00BF2C8B"/>
    <w:rsid w:val="00BF32A1"/>
    <w:rsid w:val="00BF46F7"/>
    <w:rsid w:val="00BF5282"/>
    <w:rsid w:val="00C0015F"/>
    <w:rsid w:val="00C02CA0"/>
    <w:rsid w:val="00C0712C"/>
    <w:rsid w:val="00C07E3C"/>
    <w:rsid w:val="00C1397B"/>
    <w:rsid w:val="00C13FDA"/>
    <w:rsid w:val="00C30CEE"/>
    <w:rsid w:val="00C319F2"/>
    <w:rsid w:val="00C36759"/>
    <w:rsid w:val="00C50411"/>
    <w:rsid w:val="00C5291D"/>
    <w:rsid w:val="00C53ABA"/>
    <w:rsid w:val="00C547CC"/>
    <w:rsid w:val="00C55691"/>
    <w:rsid w:val="00C65FE0"/>
    <w:rsid w:val="00C72AC8"/>
    <w:rsid w:val="00C73514"/>
    <w:rsid w:val="00C73F17"/>
    <w:rsid w:val="00C775D9"/>
    <w:rsid w:val="00C816C4"/>
    <w:rsid w:val="00C821E2"/>
    <w:rsid w:val="00C860EC"/>
    <w:rsid w:val="00C878EA"/>
    <w:rsid w:val="00C87AFD"/>
    <w:rsid w:val="00C917C7"/>
    <w:rsid w:val="00CB2997"/>
    <w:rsid w:val="00CB3944"/>
    <w:rsid w:val="00CB6A52"/>
    <w:rsid w:val="00CB6F6E"/>
    <w:rsid w:val="00CC21D4"/>
    <w:rsid w:val="00CC5053"/>
    <w:rsid w:val="00CC7C5B"/>
    <w:rsid w:val="00CD3019"/>
    <w:rsid w:val="00CD749F"/>
    <w:rsid w:val="00CD7FDB"/>
    <w:rsid w:val="00CE68FD"/>
    <w:rsid w:val="00CE7279"/>
    <w:rsid w:val="00CF3885"/>
    <w:rsid w:val="00CF6D6A"/>
    <w:rsid w:val="00D03E53"/>
    <w:rsid w:val="00D03E5C"/>
    <w:rsid w:val="00D04BA6"/>
    <w:rsid w:val="00D078AE"/>
    <w:rsid w:val="00D10778"/>
    <w:rsid w:val="00D12CC3"/>
    <w:rsid w:val="00D32B68"/>
    <w:rsid w:val="00D353E7"/>
    <w:rsid w:val="00D3574C"/>
    <w:rsid w:val="00D3740A"/>
    <w:rsid w:val="00D45672"/>
    <w:rsid w:val="00D4594F"/>
    <w:rsid w:val="00D5034B"/>
    <w:rsid w:val="00D508E7"/>
    <w:rsid w:val="00D508F0"/>
    <w:rsid w:val="00D52C00"/>
    <w:rsid w:val="00D55CAB"/>
    <w:rsid w:val="00D60AF3"/>
    <w:rsid w:val="00D617D0"/>
    <w:rsid w:val="00D733B3"/>
    <w:rsid w:val="00D74D10"/>
    <w:rsid w:val="00D83042"/>
    <w:rsid w:val="00D86019"/>
    <w:rsid w:val="00D861D0"/>
    <w:rsid w:val="00D91CF5"/>
    <w:rsid w:val="00D94C53"/>
    <w:rsid w:val="00DA1765"/>
    <w:rsid w:val="00DA5714"/>
    <w:rsid w:val="00DB0F6B"/>
    <w:rsid w:val="00DB4C9E"/>
    <w:rsid w:val="00DC19F8"/>
    <w:rsid w:val="00DD2F76"/>
    <w:rsid w:val="00DD52EB"/>
    <w:rsid w:val="00DE19E9"/>
    <w:rsid w:val="00DE7921"/>
    <w:rsid w:val="00DF0835"/>
    <w:rsid w:val="00DF227E"/>
    <w:rsid w:val="00DF47A5"/>
    <w:rsid w:val="00E0281D"/>
    <w:rsid w:val="00E04EFB"/>
    <w:rsid w:val="00E12DAF"/>
    <w:rsid w:val="00E2087C"/>
    <w:rsid w:val="00E2184D"/>
    <w:rsid w:val="00E2268A"/>
    <w:rsid w:val="00E25E73"/>
    <w:rsid w:val="00E27B37"/>
    <w:rsid w:val="00E33DAC"/>
    <w:rsid w:val="00E425E3"/>
    <w:rsid w:val="00E45CE9"/>
    <w:rsid w:val="00E52272"/>
    <w:rsid w:val="00E564A8"/>
    <w:rsid w:val="00E66CED"/>
    <w:rsid w:val="00E727DB"/>
    <w:rsid w:val="00E73AF8"/>
    <w:rsid w:val="00E7480D"/>
    <w:rsid w:val="00E909FE"/>
    <w:rsid w:val="00E9716C"/>
    <w:rsid w:val="00EA1695"/>
    <w:rsid w:val="00EA20D8"/>
    <w:rsid w:val="00EA4D0D"/>
    <w:rsid w:val="00EB1C9C"/>
    <w:rsid w:val="00EB6EFA"/>
    <w:rsid w:val="00EC22DB"/>
    <w:rsid w:val="00EC57E3"/>
    <w:rsid w:val="00ED1C1D"/>
    <w:rsid w:val="00EE5449"/>
    <w:rsid w:val="00EF0DB4"/>
    <w:rsid w:val="00EF3604"/>
    <w:rsid w:val="00EF53B3"/>
    <w:rsid w:val="00F02508"/>
    <w:rsid w:val="00F05D72"/>
    <w:rsid w:val="00F171E0"/>
    <w:rsid w:val="00F24CD8"/>
    <w:rsid w:val="00F270C4"/>
    <w:rsid w:val="00F3404C"/>
    <w:rsid w:val="00F371C6"/>
    <w:rsid w:val="00F3788B"/>
    <w:rsid w:val="00F56C56"/>
    <w:rsid w:val="00F6719E"/>
    <w:rsid w:val="00F72CA9"/>
    <w:rsid w:val="00F85F59"/>
    <w:rsid w:val="00F94B08"/>
    <w:rsid w:val="00F95F3B"/>
    <w:rsid w:val="00FA1830"/>
    <w:rsid w:val="00FA663C"/>
    <w:rsid w:val="00FA7CC6"/>
    <w:rsid w:val="00FB0F35"/>
    <w:rsid w:val="00FB2D27"/>
    <w:rsid w:val="00FC575D"/>
    <w:rsid w:val="00FE0C3E"/>
    <w:rsid w:val="00FE5328"/>
    <w:rsid w:val="00FE5E3E"/>
    <w:rsid w:val="00FE7877"/>
    <w:rsid w:val="00FF4288"/>
    <w:rsid w:val="00FF57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FC580"/>
  <w15:docId w15:val="{E247DDDB-11A1-415B-97D0-724DD3FA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476A9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76A9A"/>
    <w:rPr>
      <w:rFonts w:ascii="Verdana" w:hAnsi="Verdana"/>
      <w:color w:val="000000"/>
      <w:sz w:val="18"/>
      <w:szCs w:val="18"/>
    </w:rPr>
  </w:style>
  <w:style w:type="paragraph" w:styleId="Voettekst">
    <w:name w:val="footer"/>
    <w:basedOn w:val="Standaard"/>
    <w:link w:val="VoettekstChar"/>
    <w:uiPriority w:val="99"/>
    <w:unhideWhenUsed/>
    <w:rsid w:val="00476A9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76A9A"/>
    <w:rPr>
      <w:rFonts w:ascii="Verdana" w:hAnsi="Verdana"/>
      <w:color w:val="000000"/>
      <w:sz w:val="18"/>
      <w:szCs w:val="18"/>
    </w:rPr>
  </w:style>
  <w:style w:type="paragraph" w:styleId="Voetnoottekst">
    <w:name w:val="footnote text"/>
    <w:basedOn w:val="Standaard"/>
    <w:link w:val="VoetnoottekstChar"/>
    <w:uiPriority w:val="99"/>
    <w:unhideWhenUsed/>
    <w:rsid w:val="00476A9A"/>
    <w:pPr>
      <w:spacing w:line="240" w:lineRule="auto"/>
    </w:pPr>
    <w:rPr>
      <w:sz w:val="20"/>
      <w:szCs w:val="20"/>
    </w:rPr>
  </w:style>
  <w:style w:type="character" w:customStyle="1" w:styleId="VoetnoottekstChar">
    <w:name w:val="Voetnoottekst Char"/>
    <w:basedOn w:val="Standaardalinea-lettertype"/>
    <w:link w:val="Voetnoottekst"/>
    <w:uiPriority w:val="99"/>
    <w:rsid w:val="00476A9A"/>
    <w:rPr>
      <w:rFonts w:ascii="Verdana" w:hAnsi="Verdana"/>
      <w:color w:val="000000"/>
    </w:rPr>
  </w:style>
  <w:style w:type="character" w:styleId="Voetnootmarkering">
    <w:name w:val="footnote reference"/>
    <w:basedOn w:val="Standaardalinea-lettertype"/>
    <w:uiPriority w:val="99"/>
    <w:semiHidden/>
    <w:unhideWhenUsed/>
    <w:rsid w:val="00476A9A"/>
    <w:rPr>
      <w:vertAlign w:val="superscript"/>
    </w:rPr>
  </w:style>
  <w:style w:type="paragraph" w:styleId="Lijstalinea">
    <w:name w:val="List Paragraph"/>
    <w:basedOn w:val="Standaard"/>
    <w:uiPriority w:val="34"/>
    <w:qFormat/>
    <w:rsid w:val="00B318C3"/>
    <w:pPr>
      <w:ind w:left="720"/>
      <w:contextualSpacing/>
    </w:pPr>
  </w:style>
  <w:style w:type="table" w:styleId="Tabelraster">
    <w:name w:val="Table Grid"/>
    <w:uiPriority w:val="39"/>
    <w:rsid w:val="00EA4D0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 w:type="character" w:styleId="Verwijzingopmerking">
    <w:name w:val="annotation reference"/>
    <w:basedOn w:val="Standaardalinea-lettertype"/>
    <w:uiPriority w:val="99"/>
    <w:semiHidden/>
    <w:unhideWhenUsed/>
    <w:rsid w:val="00612EC8"/>
    <w:rPr>
      <w:sz w:val="16"/>
      <w:szCs w:val="16"/>
    </w:rPr>
  </w:style>
  <w:style w:type="paragraph" w:styleId="Tekstopmerking">
    <w:name w:val="annotation text"/>
    <w:basedOn w:val="Standaard"/>
    <w:link w:val="TekstopmerkingChar"/>
    <w:uiPriority w:val="99"/>
    <w:unhideWhenUsed/>
    <w:rsid w:val="00612EC8"/>
    <w:pPr>
      <w:spacing w:line="240" w:lineRule="auto"/>
    </w:pPr>
    <w:rPr>
      <w:sz w:val="20"/>
      <w:szCs w:val="20"/>
    </w:rPr>
  </w:style>
  <w:style w:type="character" w:customStyle="1" w:styleId="TekstopmerkingChar">
    <w:name w:val="Tekst opmerking Char"/>
    <w:basedOn w:val="Standaardalinea-lettertype"/>
    <w:link w:val="Tekstopmerking"/>
    <w:uiPriority w:val="99"/>
    <w:rsid w:val="00612EC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12EC8"/>
    <w:rPr>
      <w:b/>
      <w:bCs/>
    </w:rPr>
  </w:style>
  <w:style w:type="character" w:customStyle="1" w:styleId="OnderwerpvanopmerkingChar">
    <w:name w:val="Onderwerp van opmerking Char"/>
    <w:basedOn w:val="TekstopmerkingChar"/>
    <w:link w:val="Onderwerpvanopmerking"/>
    <w:uiPriority w:val="99"/>
    <w:semiHidden/>
    <w:rsid w:val="00612EC8"/>
    <w:rPr>
      <w:rFonts w:ascii="Verdana" w:hAnsi="Verdana"/>
      <w:b/>
      <w:bCs/>
      <w:color w:val="000000"/>
    </w:rPr>
  </w:style>
  <w:style w:type="paragraph" w:styleId="Revisie">
    <w:name w:val="Revision"/>
    <w:hidden/>
    <w:uiPriority w:val="99"/>
    <w:semiHidden/>
    <w:rsid w:val="002E52D3"/>
    <w:pPr>
      <w:autoSpaceDN/>
      <w:textAlignment w:val="auto"/>
    </w:pPr>
    <w:rPr>
      <w:rFonts w:ascii="Verdana" w:hAnsi="Verdana"/>
      <w:color w:val="000000"/>
      <w:sz w:val="18"/>
      <w:szCs w:val="18"/>
    </w:rPr>
  </w:style>
  <w:style w:type="paragraph" w:styleId="Bijschrift">
    <w:name w:val="caption"/>
    <w:basedOn w:val="Standaard"/>
    <w:next w:val="Standaard"/>
    <w:uiPriority w:val="35"/>
    <w:unhideWhenUsed/>
    <w:qFormat/>
    <w:rsid w:val="00247C23"/>
    <w:pPr>
      <w:spacing w:after="200" w:line="240" w:lineRule="auto"/>
    </w:pPr>
    <w:rPr>
      <w:i/>
      <w:iCs/>
      <w:color w:val="0E2841" w:themeColor="text2"/>
    </w:rPr>
  </w:style>
  <w:style w:type="table" w:customStyle="1" w:styleId="Tabelraster1">
    <w:name w:val="Tabelraster1"/>
    <w:next w:val="Tabelraster"/>
    <w:uiPriority w:val="39"/>
    <w:rsid w:val="000D6416"/>
    <w:pPr>
      <w:textAlignment w:val="auto"/>
    </w:pP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 w:type="table" w:customStyle="1" w:styleId="Tabelzonderranden1">
    <w:name w:val="Tabel zonder randen1"/>
    <w:rsid w:val="000D6416"/>
    <w:pPr>
      <w:textAlignment w:val="auto"/>
    </w:pPr>
    <w:rPr>
      <w:rFonts w:ascii="Verdana" w:hAnsi="Verdana"/>
      <w:color w:val="000000"/>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11511">
      <w:bodyDiv w:val="1"/>
      <w:marLeft w:val="0"/>
      <w:marRight w:val="0"/>
      <w:marTop w:val="0"/>
      <w:marBottom w:val="0"/>
      <w:divBdr>
        <w:top w:val="none" w:sz="0" w:space="0" w:color="auto"/>
        <w:left w:val="none" w:sz="0" w:space="0" w:color="auto"/>
        <w:bottom w:val="none" w:sz="0" w:space="0" w:color="auto"/>
        <w:right w:val="none" w:sz="0" w:space="0" w:color="auto"/>
      </w:divBdr>
    </w:div>
    <w:div w:id="306905832">
      <w:bodyDiv w:val="1"/>
      <w:marLeft w:val="0"/>
      <w:marRight w:val="0"/>
      <w:marTop w:val="0"/>
      <w:marBottom w:val="0"/>
      <w:divBdr>
        <w:top w:val="none" w:sz="0" w:space="0" w:color="auto"/>
        <w:left w:val="none" w:sz="0" w:space="0" w:color="auto"/>
        <w:bottom w:val="none" w:sz="0" w:space="0" w:color="auto"/>
        <w:right w:val="none" w:sz="0" w:space="0" w:color="auto"/>
      </w:divBdr>
    </w:div>
    <w:div w:id="420108842">
      <w:bodyDiv w:val="1"/>
      <w:marLeft w:val="0"/>
      <w:marRight w:val="0"/>
      <w:marTop w:val="0"/>
      <w:marBottom w:val="0"/>
      <w:divBdr>
        <w:top w:val="none" w:sz="0" w:space="0" w:color="auto"/>
        <w:left w:val="none" w:sz="0" w:space="0" w:color="auto"/>
        <w:bottom w:val="none" w:sz="0" w:space="0" w:color="auto"/>
        <w:right w:val="none" w:sz="0" w:space="0" w:color="auto"/>
      </w:divBdr>
    </w:div>
    <w:div w:id="988706565">
      <w:bodyDiv w:val="1"/>
      <w:marLeft w:val="0"/>
      <w:marRight w:val="0"/>
      <w:marTop w:val="0"/>
      <w:marBottom w:val="0"/>
      <w:divBdr>
        <w:top w:val="none" w:sz="0" w:space="0" w:color="auto"/>
        <w:left w:val="none" w:sz="0" w:space="0" w:color="auto"/>
        <w:bottom w:val="none" w:sz="0" w:space="0" w:color="auto"/>
        <w:right w:val="none" w:sz="0" w:space="0" w:color="auto"/>
      </w:divBdr>
    </w:div>
    <w:div w:id="1155873211">
      <w:bodyDiv w:val="1"/>
      <w:marLeft w:val="0"/>
      <w:marRight w:val="0"/>
      <w:marTop w:val="0"/>
      <w:marBottom w:val="0"/>
      <w:divBdr>
        <w:top w:val="none" w:sz="0" w:space="0" w:color="auto"/>
        <w:left w:val="none" w:sz="0" w:space="0" w:color="auto"/>
        <w:bottom w:val="none" w:sz="0" w:space="0" w:color="auto"/>
        <w:right w:val="none" w:sz="0" w:space="0" w:color="auto"/>
      </w:divBdr>
    </w:div>
    <w:div w:id="1391003788">
      <w:bodyDiv w:val="1"/>
      <w:marLeft w:val="0"/>
      <w:marRight w:val="0"/>
      <w:marTop w:val="0"/>
      <w:marBottom w:val="0"/>
      <w:divBdr>
        <w:top w:val="none" w:sz="0" w:space="0" w:color="auto"/>
        <w:left w:val="none" w:sz="0" w:space="0" w:color="auto"/>
        <w:bottom w:val="none" w:sz="0" w:space="0" w:color="auto"/>
        <w:right w:val="none" w:sz="0" w:space="0" w:color="auto"/>
      </w:divBdr>
    </w:div>
    <w:div w:id="1768770727">
      <w:bodyDiv w:val="1"/>
      <w:marLeft w:val="0"/>
      <w:marRight w:val="0"/>
      <w:marTop w:val="0"/>
      <w:marBottom w:val="0"/>
      <w:divBdr>
        <w:top w:val="none" w:sz="0" w:space="0" w:color="auto"/>
        <w:left w:val="none" w:sz="0" w:space="0" w:color="auto"/>
        <w:bottom w:val="none" w:sz="0" w:space="0" w:color="auto"/>
        <w:right w:val="none" w:sz="0" w:space="0" w:color="auto"/>
      </w:divBdr>
    </w:div>
    <w:div w:id="1818381378">
      <w:bodyDiv w:val="1"/>
      <w:marLeft w:val="0"/>
      <w:marRight w:val="0"/>
      <w:marTop w:val="0"/>
      <w:marBottom w:val="0"/>
      <w:divBdr>
        <w:top w:val="none" w:sz="0" w:space="0" w:color="auto"/>
        <w:left w:val="none" w:sz="0" w:space="0" w:color="auto"/>
        <w:bottom w:val="none" w:sz="0" w:space="0" w:color="auto"/>
        <w:right w:val="none" w:sz="0" w:space="0" w:color="auto"/>
      </w:divBdr>
    </w:div>
    <w:div w:id="1847355943">
      <w:bodyDiv w:val="1"/>
      <w:marLeft w:val="0"/>
      <w:marRight w:val="0"/>
      <w:marTop w:val="0"/>
      <w:marBottom w:val="0"/>
      <w:divBdr>
        <w:top w:val="none" w:sz="0" w:space="0" w:color="auto"/>
        <w:left w:val="none" w:sz="0" w:space="0" w:color="auto"/>
        <w:bottom w:val="none" w:sz="0" w:space="0" w:color="auto"/>
        <w:right w:val="none" w:sz="0" w:space="0" w:color="auto"/>
      </w:divBdr>
    </w:div>
    <w:div w:id="1968505527">
      <w:bodyDiv w:val="1"/>
      <w:marLeft w:val="0"/>
      <w:marRight w:val="0"/>
      <w:marTop w:val="0"/>
      <w:marBottom w:val="0"/>
      <w:divBdr>
        <w:top w:val="none" w:sz="0" w:space="0" w:color="auto"/>
        <w:left w:val="none" w:sz="0" w:space="0" w:color="auto"/>
        <w:bottom w:val="none" w:sz="0" w:space="0" w:color="auto"/>
        <w:right w:val="none" w:sz="0" w:space="0" w:color="auto"/>
      </w:divBdr>
    </w:div>
    <w:div w:id="2049867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2484</ap:Words>
  <ap:Characters>13667</ap:Characters>
  <ap:DocSecurity>0</ap:DocSecurity>
  <ap:Lines>113</ap:Lines>
  <ap:Paragraphs>32</ap:Paragraphs>
  <ap:ScaleCrop>false</ap:ScaleCrop>
  <ap:HeadingPairs>
    <vt:vector baseType="variant" size="2">
      <vt:variant>
        <vt:lpstr>Titel</vt:lpstr>
      </vt:variant>
      <vt:variant>
        <vt:i4>1</vt:i4>
      </vt:variant>
    </vt:vector>
  </ap:HeadingPairs>
  <ap:TitlesOfParts>
    <vt:vector baseType="lpstr" size="1">
      <vt:lpstr>Brief aan Eerste of Tweede Kamer - Voorgenomen keuze deelname private investeerders in TenneT Duitsland</vt:lpstr>
    </vt:vector>
  </ap:TitlesOfParts>
  <ap:LinksUpToDate>false</ap:LinksUpToDate>
  <ap:CharactersWithSpaces>16119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2025-09-23T15:49:00.0000000Z</lastPrinted>
  <dcterms:created xsi:type="dcterms:W3CDTF">2025-09-23T15:48:00.0000000Z</dcterms:created>
  <dcterms:modified xsi:type="dcterms:W3CDTF">2025-09-23T15:58:00.0000000Z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Voorgenomen keuze deelname private investeerders in TenneT Duitsland</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3 september 2025</vt:lpwstr>
  </property>
  <property fmtid="{D5CDD505-2E9C-101B-9397-08002B2CF9AE}" pid="13" name="Opgesteld door, Naam">
    <vt:lpwstr/>
  </property>
  <property fmtid="{D5CDD505-2E9C-101B-9397-08002B2CF9AE}" pid="14" name="Opgesteld door, Telefoonnummer">
    <vt:lpwstr>088-4427357</vt:lpwstr>
  </property>
  <property fmtid="{D5CDD505-2E9C-101B-9397-08002B2CF9AE}" pid="15" name="Kenmerk">
    <vt:lpwstr>2025-0000455832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Keuze deelname private investeerders in TenneT Duitsland</vt:lpwstr>
  </property>
  <property fmtid="{D5CDD505-2E9C-101B-9397-08002B2CF9AE}" pid="30" name="UwKenmerk">
    <vt:lpwstr/>
  </property>
  <property fmtid="{D5CDD505-2E9C-101B-9397-08002B2CF9AE}" pid="31" name="MSIP_Label_e913c72d-4ff4-4b4e-b1b7-a3b0df073745_Enabled">
    <vt:lpwstr>true</vt:lpwstr>
  </property>
  <property fmtid="{D5CDD505-2E9C-101B-9397-08002B2CF9AE}" pid="32" name="MSIP_Label_e913c72d-4ff4-4b4e-b1b7-a3b0df073745_SetDate">
    <vt:lpwstr>2025-09-12T06:59:02Z</vt:lpwstr>
  </property>
  <property fmtid="{D5CDD505-2E9C-101B-9397-08002B2CF9AE}" pid="33" name="MSIP_Label_e913c72d-4ff4-4b4e-b1b7-a3b0df073745_Method">
    <vt:lpwstr>Privileged</vt:lpwstr>
  </property>
  <property fmtid="{D5CDD505-2E9C-101B-9397-08002B2CF9AE}" pid="34" name="MSIP_Label_e913c72d-4ff4-4b4e-b1b7-a3b0df073745_Name">
    <vt:lpwstr>FIN-DGGT-Dep. V.</vt:lpwstr>
  </property>
  <property fmtid="{D5CDD505-2E9C-101B-9397-08002B2CF9AE}" pid="35" name="MSIP_Label_e913c72d-4ff4-4b4e-b1b7-a3b0df073745_SiteId">
    <vt:lpwstr>84712536-f524-40a0-913b-5d25ba502732</vt:lpwstr>
  </property>
  <property fmtid="{D5CDD505-2E9C-101B-9397-08002B2CF9AE}" pid="36" name="MSIP_Label_e913c72d-4ff4-4b4e-b1b7-a3b0df073745_ActionId">
    <vt:lpwstr>2f10e14f-f25f-4273-912b-716e1ae0d5bf</vt:lpwstr>
  </property>
  <property fmtid="{D5CDD505-2E9C-101B-9397-08002B2CF9AE}" pid="37" name="MSIP_Label_e913c72d-4ff4-4b4e-b1b7-a3b0df073745_ContentBits">
    <vt:lpwstr>0</vt:lpwstr>
  </property>
</Properties>
</file>