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DFE" w:rsidP="00DB6DFE" w:rsidRDefault="00DB6DFE" w14:paraId="13258125" w14:textId="08AC5851">
      <w:r>
        <w:t>AH 126</w:t>
      </w:r>
    </w:p>
    <w:p w:rsidR="00DB6DFE" w:rsidP="00DB6DFE" w:rsidRDefault="00DB6DFE" w14:paraId="55E9551C" w14:textId="1B90520B">
      <w:r>
        <w:t>2025Z16208</w:t>
      </w:r>
    </w:p>
    <w:p w:rsidRPr="00DB6DFE" w:rsidR="00DB6DFE" w:rsidP="00DB6DFE" w:rsidRDefault="00DB6DFE" w14:paraId="713475CE" w14:textId="0EEFCA5C">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24 september 2025)</w:t>
      </w:r>
    </w:p>
    <w:p w:rsidR="00DB6DFE" w:rsidP="00DB6DFE" w:rsidRDefault="00DB6DFE" w14:paraId="20D81254" w14:textId="77777777">
      <w:r>
        <w:rPr>
          <w:b/>
        </w:rPr>
        <w:t>Vraag 1</w:t>
      </w:r>
    </w:p>
    <w:p w:rsidR="00DB6DFE" w:rsidP="00DB6DFE" w:rsidRDefault="00DB6DFE" w14:paraId="1C43E899" w14:textId="77777777">
      <w:r w:rsidRPr="00F81FEA">
        <w:t>Bent u bekend met de uitspraak van de kantonrechter in een kort geding dat de Nederlandse Staat transportmiddelen beschikbaar moet stellen voor het overbrengen van 42 Afghaanse bewakers?</w:t>
      </w:r>
    </w:p>
    <w:p w:rsidR="00DB6DFE" w:rsidP="00DB6DFE" w:rsidRDefault="00DB6DFE" w14:paraId="743F0561" w14:textId="77777777"/>
    <w:p w:rsidR="00DB6DFE" w:rsidP="00DB6DFE" w:rsidRDefault="00DB6DFE" w14:paraId="30BE453D" w14:textId="77777777">
      <w:r>
        <w:rPr>
          <w:b/>
        </w:rPr>
        <w:t>Antwoord</w:t>
      </w:r>
    </w:p>
    <w:p w:rsidR="00DB6DFE" w:rsidP="00DB6DFE" w:rsidRDefault="00DB6DFE" w14:paraId="0E72F753" w14:textId="77777777">
      <w:r>
        <w:t xml:space="preserve">Ja. Ik ben bekend met de uitspraak van de kantonrechter in kort geding van 2 september jl. </w:t>
      </w:r>
    </w:p>
    <w:p w:rsidR="00DB6DFE" w:rsidP="00DB6DFE" w:rsidRDefault="00DB6DFE" w14:paraId="6B86ED89" w14:textId="77777777"/>
    <w:p w:rsidR="00DB6DFE" w:rsidP="00DB6DFE" w:rsidRDefault="00DB6DFE" w14:paraId="32539E6D" w14:textId="77777777">
      <w:r>
        <w:rPr>
          <w:b/>
        </w:rPr>
        <w:t>Vraag 2</w:t>
      </w:r>
    </w:p>
    <w:p w:rsidR="00DB6DFE" w:rsidP="00DB6DFE" w:rsidRDefault="00DB6DFE" w14:paraId="4CF1869A" w14:textId="77777777">
      <w:r w:rsidRPr="00F81FEA">
        <w:t>Wat vindt u van het feit dat de rechter stelt dat de Staat onrechtmatig heeft gehandeld en haar zorgplicht niet heeft nageleefd door de Afghaanse bewakers niet te evacueren?</w:t>
      </w:r>
    </w:p>
    <w:p w:rsidR="00DB6DFE" w:rsidP="00DB6DFE" w:rsidRDefault="00DB6DFE" w14:paraId="68C594F7" w14:textId="77777777"/>
    <w:p w:rsidR="00DB6DFE" w:rsidP="00DB6DFE" w:rsidRDefault="00DB6DFE" w14:paraId="7EF0AB75" w14:textId="77777777">
      <w:r>
        <w:rPr>
          <w:b/>
        </w:rPr>
        <w:t>Antwoord</w:t>
      </w:r>
    </w:p>
    <w:p w:rsidR="00DB6DFE" w:rsidP="00DB6DFE" w:rsidRDefault="00DB6DFE" w14:paraId="71EE9EA3" w14:textId="77777777">
      <w:r w:rsidRPr="00F43349">
        <w:t>Het kabinet neemt zijn werkgeversverantwoordelijkheid serieus, ook in het buitenland. In dit geval waren de 42 eisers geen werknemers van de Staat. In deze procedure zijn verschillende redenen om aan te nemen dat artikel 7:658 lid 4 BW, het Nederlandse artikel waaruit de kantonrechter een zorgplicht van de Staat tegenover de 42 eisers heeft afgeleid, niet van toepassing is. Voor de beantwoording van vraag 2 verwijs ik u verder naar de brief</w:t>
      </w:r>
      <w:r>
        <w:rPr>
          <w:rStyle w:val="Voetnootmarkering"/>
        </w:rPr>
        <w:footnoteReference w:id="1"/>
      </w:r>
      <w:r w:rsidRPr="00F43349">
        <w:t xml:space="preserve"> die aan de Tweede Kamer is verzonden op 5 september jl.</w:t>
      </w:r>
    </w:p>
    <w:p w:rsidR="00DB6DFE" w:rsidP="00DB6DFE" w:rsidRDefault="00DB6DFE" w14:paraId="6A48CC39" w14:textId="77777777"/>
    <w:p w:rsidR="00DB6DFE" w:rsidP="00DB6DFE" w:rsidRDefault="00DB6DFE" w14:paraId="05CF8E09" w14:textId="77777777">
      <w:r>
        <w:rPr>
          <w:b/>
        </w:rPr>
        <w:t>Vraag 3</w:t>
      </w:r>
    </w:p>
    <w:p w:rsidR="00DB6DFE" w:rsidP="00DB6DFE" w:rsidRDefault="00DB6DFE" w14:paraId="0688B542" w14:textId="77777777">
      <w:r w:rsidRPr="00F43349">
        <w:t>Hoe verklaart u dat Hongaarse beveiligers die via hetzelfde bedrijf (Asman Abi) waren ingeleend wel geëvacueerd zijn, terwijl Afghaanse bewakers die hetzelfde werk verrichtten niet werden geëvacueerd? Hoe is deze afweging tot stand gekomen?</w:t>
      </w:r>
    </w:p>
    <w:p w:rsidR="00DB6DFE" w:rsidP="00DB6DFE" w:rsidRDefault="00DB6DFE" w14:paraId="459E4B1D" w14:textId="77777777"/>
    <w:p w:rsidR="00DB6DFE" w:rsidP="00DB6DFE" w:rsidRDefault="00DB6DFE" w14:paraId="64B482D5" w14:textId="77777777">
      <w:r>
        <w:rPr>
          <w:b/>
        </w:rPr>
        <w:t>Antwoord</w:t>
      </w:r>
    </w:p>
    <w:p w:rsidR="00DB6DFE" w:rsidP="00DB6DFE" w:rsidRDefault="00DB6DFE" w14:paraId="7C0C0369" w14:textId="77777777">
      <w:r>
        <w:t xml:space="preserve">De Hongaarse bewakers </w:t>
      </w:r>
      <w:r w:rsidRPr="002B1C20">
        <w:t>zijn door speciale eenheden van een partnerland naar het vliegveld gebracht en uiteindelijk zonder tussenkomst van Nederland gerepatrieerd naar Hongarije. Zij hadden als EU-onderdanen recht op consulaire bijstand en hierover zijn voorafgaand aan de acute evacuatiefase specifieke afspraken gemaakt.</w:t>
      </w:r>
      <w:r>
        <w:t xml:space="preserve"> Dit is niet vanwege hun werk als extern ingehuurde bewakers bij de Nederlandse ambassade gebeurd, zoals ook gecommuniceerd is in de brief</w:t>
      </w:r>
      <w:r>
        <w:rPr>
          <w:rStyle w:val="Voetnootmarkering"/>
        </w:rPr>
        <w:footnoteReference w:id="2"/>
      </w:r>
      <w:r>
        <w:t xml:space="preserve"> die aan de Tweede Kamer is verzonden op 5 september jl. </w:t>
      </w:r>
    </w:p>
    <w:p w:rsidR="00DB6DFE" w:rsidP="00DB6DFE" w:rsidRDefault="00DB6DFE" w14:paraId="73EBD1C5" w14:textId="77777777"/>
    <w:p w:rsidR="00DB6DFE" w:rsidP="00DB6DFE" w:rsidRDefault="00DB6DFE" w14:paraId="38DB71DF" w14:textId="77777777">
      <w:r>
        <w:rPr>
          <w:b/>
        </w:rPr>
        <w:t>Vraag 4</w:t>
      </w:r>
    </w:p>
    <w:p w:rsidR="00DB6DFE" w:rsidP="00DB6DFE" w:rsidRDefault="00DB6DFE" w14:paraId="55AC42DD" w14:textId="77777777">
      <w:r w:rsidRPr="00944400">
        <w:t>Hoe ziet u het feit dat de rechter stelt dat de Staat zelfs een bijzondere zorgplicht heeft tegenover deze bewakers, omdat zij ook na de evacuatie en de machtsovername door de Taliban de ambassade nog enige tijd hebben beveiligd onder gevaarlijke omstandigheden? Bent u het hiermee eens? Hoe gaat u deze bijzondere zorgplicht vervullen?</w:t>
      </w:r>
    </w:p>
    <w:p w:rsidR="00DB6DFE" w:rsidP="00DB6DFE" w:rsidRDefault="00DB6DFE" w14:paraId="4C8E03BB" w14:textId="77777777">
      <w:r>
        <w:rPr>
          <w:b/>
        </w:rPr>
        <w:t>Antwoord</w:t>
      </w:r>
    </w:p>
    <w:p w:rsidR="00DB6DFE" w:rsidP="00DB6DFE" w:rsidRDefault="00DB6DFE" w14:paraId="7F3208E7" w14:textId="77777777">
      <w:r w:rsidRPr="00177DC8">
        <w:t>Bewakers in dienst van de externe dienstverlener hebben na de val van Kaboel doorgewerkt op de Nederlandse ambassade</w:t>
      </w:r>
      <w:r w:rsidRPr="00CF791F">
        <w:rPr>
          <w:i/>
        </w:rPr>
        <w:t>-compounds</w:t>
      </w:r>
      <w:r w:rsidRPr="00177DC8">
        <w:t xml:space="preserve"> tot aan de afstoting daarvan, waarvan de eerste eind 2021 en de tweede eind 2022 plaatsvond. Er is met enige regelmaat contact geweest met de externe dienstverlener over de veiligheid van de voormalige extern ingehuurde ambassadebewakers. Tot op heden heeft het kabinet geen berichten ontvangen waaruit blijkt dat bewakers die voor de externe dienstverlener werkten gevaar lopen vanwege hun voormalige werkzaamheden voor de Nederlandse ambassade.</w:t>
      </w:r>
    </w:p>
    <w:p w:rsidR="00DB6DFE" w:rsidP="00DB6DFE" w:rsidRDefault="00DB6DFE" w14:paraId="3D8C7C4E" w14:textId="77777777"/>
    <w:p w:rsidR="00DB6DFE" w:rsidP="00DB6DFE" w:rsidRDefault="00DB6DFE" w14:paraId="518995E0" w14:textId="77777777">
      <w:r w:rsidRPr="00177DC8">
        <w:t>De kantonrechter overweegt in het vonnis dat de omstandigheid dat de ambassadebewakers na de evacuatie de toen ontruimde ambassade nog enige tijd hebben beveiligd zou kunnen inhouden dat de Staat zelfs een bijzondere zorgplicht heeft. Wat de kantonrechter daarmee bedoelt, wordt niet verder uitgewerkt en is het kabinet niet duidelijk.</w:t>
      </w:r>
    </w:p>
    <w:p w:rsidR="00DB6DFE" w:rsidP="00DB6DFE" w:rsidRDefault="00DB6DFE" w14:paraId="26478E8A" w14:textId="77777777"/>
    <w:p w:rsidR="00DB6DFE" w:rsidP="00DB6DFE" w:rsidRDefault="00DB6DFE" w14:paraId="223407A5" w14:textId="77777777">
      <w:r>
        <w:rPr>
          <w:b/>
        </w:rPr>
        <w:t>Vraag 5</w:t>
      </w:r>
    </w:p>
    <w:p w:rsidR="00DB6DFE" w:rsidP="00DB6DFE" w:rsidRDefault="00DB6DFE" w14:paraId="411611AB" w14:textId="77777777">
      <w:r w:rsidRPr="00DB4A81">
        <w:lastRenderedPageBreak/>
        <w:t>Hoe gaat u ervoor zorgen dat deze bewakers met hun gezinnen nu zo snel mogelijk alsnog worden overgebracht?</w:t>
      </w:r>
    </w:p>
    <w:p w:rsidR="00DB6DFE" w:rsidP="00DB6DFE" w:rsidRDefault="00DB6DFE" w14:paraId="06B0A6F7" w14:textId="77777777"/>
    <w:p w:rsidR="00DB6DFE" w:rsidP="00DB6DFE" w:rsidRDefault="00DB6DFE" w14:paraId="4201FD0A" w14:textId="77777777">
      <w:r>
        <w:rPr>
          <w:b/>
        </w:rPr>
        <w:t>Antwoord</w:t>
      </w:r>
    </w:p>
    <w:p w:rsidR="00DB6DFE" w:rsidP="00DB6DFE" w:rsidRDefault="00DB6DFE" w14:paraId="61554205" w14:textId="77777777">
      <w:r w:rsidRPr="006C47A0">
        <w:t>Het overbrengen van Afghanen is een complex proces. Dat proces bestaat</w:t>
      </w:r>
      <w:r>
        <w:t xml:space="preserve"> </w:t>
      </w:r>
      <w:r w:rsidRPr="006C47A0">
        <w:t>uit verschillende stappen, waaronder verificatie van alle gegevens en</w:t>
      </w:r>
      <w:r>
        <w:t xml:space="preserve"> </w:t>
      </w:r>
      <w:r w:rsidRPr="006C47A0">
        <w:t>documenten.</w:t>
      </w:r>
      <w:r w:rsidRPr="003B076C">
        <w:t xml:space="preserve"> </w:t>
      </w:r>
      <w:r>
        <w:t>Naar aanleiding van de uitspraak van 2 september jl. heeft de Staat eerste stappen gezet voor het mogelijk maken van deze overbrengingen.</w:t>
      </w:r>
    </w:p>
    <w:p w:rsidR="00DB6DFE" w:rsidP="00DB6DFE" w:rsidRDefault="00DB6DFE" w14:paraId="1ED2AE68" w14:textId="77777777"/>
    <w:p w:rsidR="00DB6DFE" w:rsidP="00DB6DFE" w:rsidRDefault="00DB6DFE" w14:paraId="13799789" w14:textId="77777777">
      <w:r w:rsidRPr="00867C58">
        <w:t xml:space="preserve">Het gerechtshof heeft op 12 september jl. de verplichting voor de Staat geschorst om per direct uitvoering te geven aan het vonnis totdat het hof in het hoger beroep over deze zaak heeft geoordeeld. Om deze reden onderneemt het kabinet momenteel geen </w:t>
      </w:r>
      <w:r>
        <w:t xml:space="preserve">verdere </w:t>
      </w:r>
      <w:r w:rsidRPr="00867C58">
        <w:t>stappen om het vonnis uit te voeren.</w:t>
      </w:r>
    </w:p>
    <w:p w:rsidR="00DB6DFE" w:rsidP="00DB6DFE" w:rsidRDefault="00DB6DFE" w14:paraId="3AB72EBF" w14:textId="77777777"/>
    <w:p w:rsidRPr="00A019D6" w:rsidR="00DB6DFE" w:rsidP="00DB6DFE" w:rsidRDefault="00DB6DFE" w14:paraId="20893645" w14:textId="77777777">
      <w:pPr>
        <w:rPr>
          <w:b/>
          <w:bCs/>
        </w:rPr>
      </w:pPr>
      <w:r w:rsidRPr="00A019D6">
        <w:rPr>
          <w:b/>
          <w:bCs/>
        </w:rPr>
        <w:t>Vraag 6</w:t>
      </w:r>
    </w:p>
    <w:p w:rsidR="00DB6DFE" w:rsidP="00DB6DFE" w:rsidRDefault="00DB6DFE" w14:paraId="4AF3C996" w14:textId="77777777">
      <w:r w:rsidRPr="007947B2">
        <w:t>Onderschrijft u dat de uitspraak van de kantonrechter bij voorbaat uitvoerbaar is en zo snel mogelijk uitgevoerd moet worden?</w:t>
      </w:r>
    </w:p>
    <w:p w:rsidR="00DB6DFE" w:rsidP="00DB6DFE" w:rsidRDefault="00DB6DFE" w14:paraId="05895524" w14:textId="77777777"/>
    <w:p w:rsidRPr="00A019D6" w:rsidR="00DB6DFE" w:rsidP="00DB6DFE" w:rsidRDefault="00DB6DFE" w14:paraId="0093EACC" w14:textId="77777777">
      <w:pPr>
        <w:rPr>
          <w:b/>
          <w:bCs/>
        </w:rPr>
      </w:pPr>
      <w:r w:rsidRPr="00A019D6">
        <w:rPr>
          <w:b/>
          <w:bCs/>
        </w:rPr>
        <w:t>Antwoord</w:t>
      </w:r>
    </w:p>
    <w:p w:rsidR="00DB6DFE" w:rsidP="00DB6DFE" w:rsidRDefault="00DB6DFE" w14:paraId="45A347BC" w14:textId="77777777">
      <w:r>
        <w:t>De Staat heeft een turbospoedappel ingesteld gezien het kabinet zich niet kan vinden in de uitspraak van de kantonrechter, zoals eerder aangegeven in kabinetsbrief</w:t>
      </w:r>
      <w:r>
        <w:rPr>
          <w:rStyle w:val="Voetnootmarkering"/>
        </w:rPr>
        <w:footnoteReference w:id="3"/>
      </w:r>
      <w:r>
        <w:t xml:space="preserve"> van 5 september jl. en de beantwoording van het Schriftelijk Overleg van </w:t>
      </w:r>
      <w:r w:rsidRPr="0063326B">
        <w:t>19 september jl.</w:t>
      </w:r>
      <w:r>
        <w:rPr>
          <w:rStyle w:val="Voetnootmarkering"/>
        </w:rPr>
        <w:footnoteReference w:id="4"/>
      </w:r>
      <w:r>
        <w:t xml:space="preserve"> Hierbij heeft de Staat verzocht om een snelle uitspraak in het schorsingsincident. Op 12 september jl. heeft het gerechtshof in het schorsingsincident de schorsing van de </w:t>
      </w:r>
      <w:r w:rsidRPr="00A013EC">
        <w:rPr>
          <w:i/>
          <w:iCs/>
        </w:rPr>
        <w:t>uitvoerbaar bij voorraad verklaring</w:t>
      </w:r>
      <w:r>
        <w:t xml:space="preserve"> toegekend.</w:t>
      </w:r>
    </w:p>
    <w:p w:rsidR="00DB6DFE" w:rsidP="00DB6DFE" w:rsidRDefault="00DB6DFE" w14:paraId="2403D6E9" w14:textId="77777777">
      <w:pPr>
        <w:rPr>
          <w:b/>
          <w:bCs/>
        </w:rPr>
      </w:pPr>
    </w:p>
    <w:p w:rsidRPr="00A019D6" w:rsidR="00DB6DFE" w:rsidP="00DB6DFE" w:rsidRDefault="00DB6DFE" w14:paraId="42585EE5" w14:textId="77777777">
      <w:pPr>
        <w:rPr>
          <w:b/>
          <w:bCs/>
        </w:rPr>
      </w:pPr>
      <w:r w:rsidRPr="00A019D6">
        <w:rPr>
          <w:b/>
          <w:bCs/>
        </w:rPr>
        <w:t>Vraag 7</w:t>
      </w:r>
    </w:p>
    <w:p w:rsidR="00DB6DFE" w:rsidP="00DB6DFE" w:rsidRDefault="00DB6DFE" w14:paraId="533D3E26" w14:textId="77777777">
      <w:r w:rsidRPr="007947B2">
        <w:t>Sommige bewakers van deze groep bevinden zich momenteel in Pakistan en Iran en zouden snel naar Nederland kunnen komen. Gaat u direct dit proces in gang zetten?</w:t>
      </w:r>
    </w:p>
    <w:p w:rsidRPr="00A019D6" w:rsidR="00DB6DFE" w:rsidP="00DB6DFE" w:rsidRDefault="00DB6DFE" w14:paraId="6F86122A" w14:textId="77777777">
      <w:pPr>
        <w:rPr>
          <w:b/>
          <w:bCs/>
        </w:rPr>
      </w:pPr>
    </w:p>
    <w:p w:rsidRPr="00A019D6" w:rsidR="00DB6DFE" w:rsidP="00DB6DFE" w:rsidRDefault="00DB6DFE" w14:paraId="0573D7B6" w14:textId="77777777">
      <w:pPr>
        <w:rPr>
          <w:b/>
          <w:bCs/>
        </w:rPr>
      </w:pPr>
      <w:r w:rsidRPr="00A019D6">
        <w:rPr>
          <w:b/>
          <w:bCs/>
        </w:rPr>
        <w:lastRenderedPageBreak/>
        <w:t>Antwoord</w:t>
      </w:r>
    </w:p>
    <w:p w:rsidR="00DB6DFE" w:rsidP="00DB6DFE" w:rsidRDefault="00DB6DFE" w14:paraId="48271DBC" w14:textId="77777777">
      <w:r>
        <w:t>Ik verwijs u graag naar de beantwoording van vraag 5.</w:t>
      </w:r>
    </w:p>
    <w:p w:rsidR="00DB6DFE" w:rsidP="00DB6DFE" w:rsidRDefault="00DB6DFE" w14:paraId="1FAC8D1D" w14:textId="77777777"/>
    <w:p w:rsidRPr="00A019D6" w:rsidR="00DB6DFE" w:rsidP="00DB6DFE" w:rsidRDefault="00DB6DFE" w14:paraId="39AE66E1" w14:textId="77777777">
      <w:pPr>
        <w:rPr>
          <w:b/>
          <w:bCs/>
        </w:rPr>
      </w:pPr>
      <w:r w:rsidRPr="00A019D6">
        <w:rPr>
          <w:b/>
          <w:bCs/>
        </w:rPr>
        <w:t>Vraag 8</w:t>
      </w:r>
    </w:p>
    <w:p w:rsidR="00DB6DFE" w:rsidP="00DB6DFE" w:rsidRDefault="00DB6DFE" w14:paraId="72AD9B4E" w14:textId="77777777">
      <w:r w:rsidRPr="007947B2">
        <w:t>Gelden voor de overbrenging van gezinsleden dezelfde voorwaarden als voor het recht op gezinshereniging voor asielstatushouders?</w:t>
      </w:r>
    </w:p>
    <w:p w:rsidR="00DB6DFE" w:rsidP="00DB6DFE" w:rsidRDefault="00DB6DFE" w14:paraId="092BE9D0" w14:textId="77777777"/>
    <w:p w:rsidRPr="00A019D6" w:rsidR="00DB6DFE" w:rsidP="00DB6DFE" w:rsidRDefault="00DB6DFE" w14:paraId="74B58862" w14:textId="77777777">
      <w:pPr>
        <w:rPr>
          <w:b/>
          <w:bCs/>
        </w:rPr>
      </w:pPr>
      <w:r w:rsidRPr="00A019D6">
        <w:rPr>
          <w:b/>
          <w:bCs/>
        </w:rPr>
        <w:t>Antwoord</w:t>
      </w:r>
    </w:p>
    <w:p w:rsidR="00DB6DFE" w:rsidP="00DB6DFE" w:rsidRDefault="00DB6DFE" w14:paraId="733DFDCD" w14:textId="77777777">
      <w:r>
        <w:t>In punt 4.45 van het vonnis heeft de kantonrechter ten aanzien van familieleden het volgende gezegd:</w:t>
      </w:r>
    </w:p>
    <w:p w:rsidR="00DB6DFE" w:rsidP="00DB6DFE" w:rsidRDefault="00DB6DFE" w14:paraId="2C3E9863" w14:textId="77777777"/>
    <w:p w:rsidR="00DB6DFE" w:rsidP="00DB6DFE" w:rsidRDefault="00DB6DFE" w14:paraId="7868CBA1" w14:textId="77777777">
      <w:r>
        <w:t>“Ter voorkoming van misverstanden daaromtrent zal de kantonrechter bepalen dat als familieleden van Eisers zullen worden aangemerkt hun wettige echtgenoten of partners, die daarmee rechtens kunnen worden gelijkgesteld, en de van hen afhankelijke minderjarige kinderen, die op het moment van vertrek nog niet de leeftijd van 18 jaar hebben bereikt.”</w:t>
      </w:r>
    </w:p>
    <w:p w:rsidR="00DB6DFE" w:rsidP="00DB6DFE" w:rsidRDefault="00DB6DFE" w14:paraId="6758CC22" w14:textId="77777777">
      <w:pPr>
        <w:ind w:left="708"/>
      </w:pPr>
    </w:p>
    <w:p w:rsidR="00DB6DFE" w:rsidP="00DB6DFE" w:rsidRDefault="00DB6DFE" w14:paraId="549C1CE0" w14:textId="77777777">
      <w:r>
        <w:t>Ook bij gezinshereniging na asiel wordt in beginsel uitgegaan van het kerngezin, zijnde de partner en minderjarige kinderen (paragraaf C2.4.1 Vreemdelingencirculaire). Het door de kantonrechter bepaalde is daarmee in lijn met de gezinshereniging voor asielstatushouders.</w:t>
      </w:r>
    </w:p>
    <w:p w:rsidR="00DB6DFE" w:rsidP="00DB6DFE" w:rsidRDefault="00DB6DFE" w14:paraId="040CA621" w14:textId="77777777"/>
    <w:p w:rsidRPr="00A019D6" w:rsidR="00DB6DFE" w:rsidP="00DB6DFE" w:rsidRDefault="00DB6DFE" w14:paraId="744DF0EA" w14:textId="77777777">
      <w:pPr>
        <w:rPr>
          <w:b/>
          <w:bCs/>
        </w:rPr>
      </w:pPr>
      <w:r w:rsidRPr="00A019D6">
        <w:rPr>
          <w:b/>
          <w:bCs/>
        </w:rPr>
        <w:t>Vraag 9</w:t>
      </w:r>
    </w:p>
    <w:p w:rsidR="00DB6DFE" w:rsidP="00DB6DFE" w:rsidRDefault="00DB6DFE" w14:paraId="6D20324C" w14:textId="77777777">
      <w:r w:rsidRPr="00172817">
        <w:t>Kunt u de Kamer wekelijks (kort) op de hoogte houden van de status van deze overbrengingen?</w:t>
      </w:r>
    </w:p>
    <w:p w:rsidR="00DB6DFE" w:rsidP="00DB6DFE" w:rsidRDefault="00DB6DFE" w14:paraId="07368007" w14:textId="77777777"/>
    <w:p w:rsidRPr="00A019D6" w:rsidR="00DB6DFE" w:rsidP="00DB6DFE" w:rsidRDefault="00DB6DFE" w14:paraId="50DA4E1B" w14:textId="77777777">
      <w:pPr>
        <w:rPr>
          <w:b/>
          <w:bCs/>
        </w:rPr>
      </w:pPr>
      <w:r w:rsidRPr="00A019D6">
        <w:rPr>
          <w:b/>
          <w:bCs/>
        </w:rPr>
        <w:t>Antwoord</w:t>
      </w:r>
    </w:p>
    <w:p w:rsidR="00DB6DFE" w:rsidP="00DB6DFE" w:rsidRDefault="00DB6DFE" w14:paraId="61F3392C" w14:textId="77777777">
      <w:r>
        <w:t>Op dit moment wacht het kabinet de uitspraak in hoger beroep af.</w:t>
      </w:r>
    </w:p>
    <w:p w:rsidR="00DB6DFE" w:rsidP="00DB6DFE" w:rsidRDefault="00DB6DFE" w14:paraId="4AE5453E" w14:textId="77777777"/>
    <w:p w:rsidRPr="00A019D6" w:rsidR="00DB6DFE" w:rsidP="00DB6DFE" w:rsidRDefault="00DB6DFE" w14:paraId="589E49D1" w14:textId="77777777">
      <w:pPr>
        <w:rPr>
          <w:b/>
          <w:bCs/>
        </w:rPr>
      </w:pPr>
      <w:r w:rsidRPr="00A019D6">
        <w:rPr>
          <w:b/>
          <w:bCs/>
        </w:rPr>
        <w:t>Vraag 10</w:t>
      </w:r>
    </w:p>
    <w:p w:rsidR="00DB6DFE" w:rsidP="00DB6DFE" w:rsidRDefault="00DB6DFE" w14:paraId="4B82BF27" w14:textId="77777777">
      <w:r w:rsidRPr="00A019D6">
        <w:lastRenderedPageBreak/>
        <w:t>Kunt u de beantwoording van deze vragen meenemen in de kabinetsbrief</w:t>
      </w:r>
      <w:r>
        <w:rPr>
          <w:rStyle w:val="Voetnootmarkering"/>
        </w:rPr>
        <w:footnoteReference w:id="5"/>
      </w:r>
      <w:r w:rsidRPr="00A019D6">
        <w:t xml:space="preserve"> die tijdens de procedurevergadering van 4 september jl. is aangevraagd door de commissie Buitenlandse Zaken?</w:t>
      </w:r>
    </w:p>
    <w:p w:rsidRPr="00A019D6" w:rsidR="00DB6DFE" w:rsidP="00DB6DFE" w:rsidRDefault="00DB6DFE" w14:paraId="71EC080B" w14:textId="77777777">
      <w:pPr>
        <w:rPr>
          <w:b/>
          <w:bCs/>
        </w:rPr>
      </w:pPr>
    </w:p>
    <w:p w:rsidRPr="00A019D6" w:rsidR="00DB6DFE" w:rsidP="00DB6DFE" w:rsidRDefault="00DB6DFE" w14:paraId="06FD75C7" w14:textId="77777777">
      <w:pPr>
        <w:rPr>
          <w:b/>
          <w:bCs/>
        </w:rPr>
      </w:pPr>
      <w:r w:rsidRPr="00A019D6">
        <w:rPr>
          <w:b/>
          <w:bCs/>
        </w:rPr>
        <w:t>Antwoord</w:t>
      </w:r>
    </w:p>
    <w:p w:rsidR="00DB6DFE" w:rsidP="00DB6DFE" w:rsidRDefault="00DB6DFE" w14:paraId="449BF66F" w14:textId="77777777">
      <w:r>
        <w:t>De kabinetsbrief</w:t>
      </w:r>
      <w:r>
        <w:rPr>
          <w:rStyle w:val="Voetnootmarkering"/>
        </w:rPr>
        <w:footnoteReference w:id="6"/>
      </w:r>
      <w:r>
        <w:t xml:space="preserve"> is op 5 september jl. verstuurd. Hierin worden veel van de hierboven gestelde vragen beantwoord, zie ook de verwijzingen naar de brief in de beantwoording. Daarnaast is op </w:t>
      </w:r>
      <w:r w:rsidRPr="0063326B">
        <w:t>19 september jl</w:t>
      </w:r>
      <w:r>
        <w:t>. de beantwoording van het Schriftelijk Overleg</w:t>
      </w:r>
      <w:r>
        <w:rPr>
          <w:rStyle w:val="Voetnootmarkering"/>
        </w:rPr>
        <w:footnoteReference w:id="7"/>
      </w:r>
      <w:r>
        <w:t xml:space="preserve"> naar de Kamer verstuurd. </w:t>
      </w:r>
    </w:p>
    <w:p w:rsidR="001D19C1" w:rsidRDefault="001D19C1" w14:paraId="2E49E16F" w14:textId="77777777"/>
    <w:sectPr w:rsidR="001D19C1" w:rsidSect="00DB6DF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13C0" w14:textId="77777777" w:rsidR="00DB6DFE" w:rsidRDefault="00DB6DFE" w:rsidP="00DB6DFE">
      <w:pPr>
        <w:spacing w:after="0" w:line="240" w:lineRule="auto"/>
      </w:pPr>
      <w:r>
        <w:separator/>
      </w:r>
    </w:p>
  </w:endnote>
  <w:endnote w:type="continuationSeparator" w:id="0">
    <w:p w14:paraId="7EF0B4C1" w14:textId="77777777" w:rsidR="00DB6DFE" w:rsidRDefault="00DB6DFE" w:rsidP="00DB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98FF" w14:textId="77777777" w:rsidR="00DB6DFE" w:rsidRPr="00DB6DFE" w:rsidRDefault="00DB6DFE" w:rsidP="00DB6D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A693" w14:textId="77777777" w:rsidR="00DB6DFE" w:rsidRPr="00DB6DFE" w:rsidRDefault="00DB6DFE" w:rsidP="00DB6D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0E1D" w14:textId="77777777" w:rsidR="00DB6DFE" w:rsidRPr="00DB6DFE" w:rsidRDefault="00DB6DFE" w:rsidP="00DB6D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9E42" w14:textId="77777777" w:rsidR="00DB6DFE" w:rsidRDefault="00DB6DFE" w:rsidP="00DB6DFE">
      <w:pPr>
        <w:spacing w:after="0" w:line="240" w:lineRule="auto"/>
      </w:pPr>
      <w:r>
        <w:separator/>
      </w:r>
    </w:p>
  </w:footnote>
  <w:footnote w:type="continuationSeparator" w:id="0">
    <w:p w14:paraId="74FC2F7D" w14:textId="77777777" w:rsidR="00DB6DFE" w:rsidRDefault="00DB6DFE" w:rsidP="00DB6DFE">
      <w:pPr>
        <w:spacing w:after="0" w:line="240" w:lineRule="auto"/>
      </w:pPr>
      <w:r>
        <w:continuationSeparator/>
      </w:r>
    </w:p>
  </w:footnote>
  <w:footnote w:id="1">
    <w:p w14:paraId="275D762A" w14:textId="77777777" w:rsidR="00DB6DFE" w:rsidRPr="00E31BD6" w:rsidRDefault="00DB6DFE" w:rsidP="00DB6DFE">
      <w:pPr>
        <w:pStyle w:val="Voetnoottekst"/>
      </w:pPr>
      <w:r>
        <w:rPr>
          <w:rStyle w:val="Voetnootmarkering"/>
        </w:rPr>
        <w:footnoteRef/>
      </w:r>
      <w:r>
        <w:t xml:space="preserve"> </w:t>
      </w:r>
      <w:r w:rsidRPr="00FF36BA">
        <w:rPr>
          <w:sz w:val="16"/>
          <w:szCs w:val="16"/>
        </w:rPr>
        <w:t>Kamerstuk 2792</w:t>
      </w:r>
      <w:r>
        <w:rPr>
          <w:sz w:val="16"/>
          <w:szCs w:val="16"/>
        </w:rPr>
        <w:t>5</w:t>
      </w:r>
      <w:r w:rsidRPr="00FF36BA">
        <w:rPr>
          <w:sz w:val="16"/>
          <w:szCs w:val="16"/>
        </w:rPr>
        <w:t>, nr. 1012</w:t>
      </w:r>
    </w:p>
  </w:footnote>
  <w:footnote w:id="2">
    <w:p w14:paraId="478AE6ED" w14:textId="77777777" w:rsidR="00DB6DFE" w:rsidRPr="00114539" w:rsidRDefault="00DB6DFE" w:rsidP="00DB6DFE">
      <w:pPr>
        <w:pStyle w:val="Voetnoottekst"/>
      </w:pPr>
      <w:r>
        <w:rPr>
          <w:rStyle w:val="Voetnootmarkering"/>
        </w:rPr>
        <w:footnoteRef/>
      </w:r>
      <w:r>
        <w:t xml:space="preserve"> </w:t>
      </w:r>
      <w:r w:rsidRPr="00FF36BA">
        <w:rPr>
          <w:sz w:val="16"/>
          <w:szCs w:val="16"/>
        </w:rPr>
        <w:t>Kamerstuk 2792</w:t>
      </w:r>
      <w:r>
        <w:rPr>
          <w:sz w:val="16"/>
          <w:szCs w:val="16"/>
        </w:rPr>
        <w:t>5</w:t>
      </w:r>
      <w:r w:rsidRPr="00FF36BA">
        <w:rPr>
          <w:sz w:val="16"/>
          <w:szCs w:val="16"/>
        </w:rPr>
        <w:t>, nr. 1012</w:t>
      </w:r>
    </w:p>
  </w:footnote>
  <w:footnote w:id="3">
    <w:p w14:paraId="36C9E3E2" w14:textId="77777777" w:rsidR="00DB6DFE" w:rsidRPr="00114539" w:rsidRDefault="00DB6DFE" w:rsidP="00DB6DFE">
      <w:pPr>
        <w:pStyle w:val="Voetnoottekst"/>
      </w:pPr>
      <w:r>
        <w:rPr>
          <w:rStyle w:val="Voetnootmarkering"/>
        </w:rPr>
        <w:footnoteRef/>
      </w:r>
      <w:r>
        <w:t xml:space="preserve"> </w:t>
      </w:r>
      <w:r w:rsidRPr="00FF36BA">
        <w:rPr>
          <w:sz w:val="16"/>
          <w:szCs w:val="16"/>
        </w:rPr>
        <w:t>Kamerstuk 2792</w:t>
      </w:r>
      <w:r>
        <w:rPr>
          <w:sz w:val="16"/>
          <w:szCs w:val="16"/>
        </w:rPr>
        <w:t>5</w:t>
      </w:r>
      <w:r w:rsidRPr="00FF36BA">
        <w:rPr>
          <w:sz w:val="16"/>
          <w:szCs w:val="16"/>
        </w:rPr>
        <w:t>, nr. 1012</w:t>
      </w:r>
    </w:p>
  </w:footnote>
  <w:footnote w:id="4">
    <w:p w14:paraId="7A3825B9" w14:textId="77777777" w:rsidR="00DB6DFE" w:rsidRPr="00AE736F" w:rsidRDefault="00DB6DFE" w:rsidP="00DB6DFE">
      <w:pPr>
        <w:pStyle w:val="Voetnoottekst"/>
      </w:pPr>
      <w:r>
        <w:rPr>
          <w:rStyle w:val="Voetnootmarkering"/>
        </w:rPr>
        <w:footnoteRef/>
      </w:r>
      <w:r>
        <w:t xml:space="preserve"> </w:t>
      </w:r>
      <w:r w:rsidRPr="00AE736F">
        <w:rPr>
          <w:sz w:val="16"/>
          <w:szCs w:val="16"/>
        </w:rPr>
        <w:t xml:space="preserve">Kamerstuk </w:t>
      </w:r>
      <w:r w:rsidRPr="0069264D">
        <w:rPr>
          <w:sz w:val="16"/>
          <w:szCs w:val="16"/>
        </w:rPr>
        <w:t>27925</w:t>
      </w:r>
      <w:r>
        <w:rPr>
          <w:sz w:val="16"/>
          <w:szCs w:val="16"/>
        </w:rPr>
        <w:t>, nr. 1013</w:t>
      </w:r>
    </w:p>
  </w:footnote>
  <w:footnote w:id="5">
    <w:p w14:paraId="570C1521" w14:textId="77777777" w:rsidR="00DB6DFE" w:rsidRPr="00114539" w:rsidRDefault="00DB6DFE" w:rsidP="00DB6DFE">
      <w:pPr>
        <w:pStyle w:val="Voetnoottekst"/>
      </w:pPr>
      <w:r>
        <w:rPr>
          <w:rStyle w:val="Voetnootmarkering"/>
        </w:rPr>
        <w:footnoteRef/>
      </w:r>
      <w:r>
        <w:t xml:space="preserve"> </w:t>
      </w:r>
      <w:r w:rsidRPr="00FF36BA">
        <w:rPr>
          <w:sz w:val="16"/>
          <w:szCs w:val="16"/>
        </w:rPr>
        <w:t>Kamerstuk 2792</w:t>
      </w:r>
      <w:r>
        <w:rPr>
          <w:sz w:val="16"/>
          <w:szCs w:val="16"/>
        </w:rPr>
        <w:t>5</w:t>
      </w:r>
      <w:r w:rsidRPr="00FF36BA">
        <w:rPr>
          <w:sz w:val="16"/>
          <w:szCs w:val="16"/>
        </w:rPr>
        <w:t>, nr. 1012</w:t>
      </w:r>
    </w:p>
  </w:footnote>
  <w:footnote w:id="6">
    <w:p w14:paraId="059374A0" w14:textId="77777777" w:rsidR="00DB6DFE" w:rsidRPr="00AE736F" w:rsidRDefault="00DB6DFE" w:rsidP="00DB6DFE">
      <w:pPr>
        <w:pStyle w:val="Voetnoottekst"/>
      </w:pPr>
      <w:r>
        <w:rPr>
          <w:rStyle w:val="Voetnootmarkering"/>
        </w:rPr>
        <w:footnoteRef/>
      </w:r>
      <w:r>
        <w:t xml:space="preserve"> </w:t>
      </w:r>
      <w:r w:rsidRPr="00FF36BA">
        <w:rPr>
          <w:sz w:val="16"/>
          <w:szCs w:val="16"/>
        </w:rPr>
        <w:t>Kamerstuk 2792</w:t>
      </w:r>
      <w:r>
        <w:rPr>
          <w:sz w:val="16"/>
          <w:szCs w:val="16"/>
        </w:rPr>
        <w:t>5</w:t>
      </w:r>
      <w:r w:rsidRPr="00FF36BA">
        <w:rPr>
          <w:sz w:val="16"/>
          <w:szCs w:val="16"/>
        </w:rPr>
        <w:t>, nr. 1012</w:t>
      </w:r>
    </w:p>
  </w:footnote>
  <w:footnote w:id="7">
    <w:p w14:paraId="04EDC53E" w14:textId="77777777" w:rsidR="00DB6DFE" w:rsidRPr="00AE736F" w:rsidRDefault="00DB6DFE" w:rsidP="00DB6DFE">
      <w:pPr>
        <w:pStyle w:val="Voetnoottekst"/>
        <w:rPr>
          <w:lang w:val="en-US"/>
        </w:rPr>
      </w:pPr>
      <w:r>
        <w:rPr>
          <w:rStyle w:val="Voetnootmarkering"/>
        </w:rPr>
        <w:footnoteRef/>
      </w:r>
      <w:r>
        <w:t xml:space="preserve"> </w:t>
      </w:r>
      <w:r w:rsidRPr="00AE736F">
        <w:rPr>
          <w:sz w:val="16"/>
          <w:szCs w:val="16"/>
        </w:rPr>
        <w:t xml:space="preserve">Kamerstuk </w:t>
      </w:r>
      <w:r w:rsidRPr="0069264D">
        <w:rPr>
          <w:sz w:val="16"/>
          <w:szCs w:val="16"/>
        </w:rPr>
        <w:t>27925</w:t>
      </w:r>
      <w:r>
        <w:rPr>
          <w:sz w:val="16"/>
          <w:szCs w:val="16"/>
        </w:rPr>
        <w:t>, nr. 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5700" w14:textId="77777777" w:rsidR="00DB6DFE" w:rsidRPr="00DB6DFE" w:rsidRDefault="00DB6DFE" w:rsidP="00DB6D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1B28" w14:textId="77777777" w:rsidR="00DB6DFE" w:rsidRPr="00DB6DFE" w:rsidRDefault="00DB6DFE" w:rsidP="00DB6D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60F8" w14:textId="77777777" w:rsidR="00DB6DFE" w:rsidRPr="00DB6DFE" w:rsidRDefault="00DB6DFE" w:rsidP="00DB6D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FE"/>
    <w:rsid w:val="001D19C1"/>
    <w:rsid w:val="005D113D"/>
    <w:rsid w:val="00DB6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FF4E"/>
  <w15:chartTrackingRefBased/>
  <w15:docId w15:val="{57FD19D4-9054-460A-B95D-262123DD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D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D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D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D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D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D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D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D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D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D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D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D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DFE"/>
    <w:rPr>
      <w:rFonts w:eastAsiaTheme="majorEastAsia" w:cstheme="majorBidi"/>
      <w:color w:val="272727" w:themeColor="text1" w:themeTint="D8"/>
    </w:rPr>
  </w:style>
  <w:style w:type="paragraph" w:styleId="Titel">
    <w:name w:val="Title"/>
    <w:basedOn w:val="Standaard"/>
    <w:next w:val="Standaard"/>
    <w:link w:val="TitelChar"/>
    <w:uiPriority w:val="10"/>
    <w:qFormat/>
    <w:rsid w:val="00DB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D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DFE"/>
    <w:rPr>
      <w:i/>
      <w:iCs/>
      <w:color w:val="404040" w:themeColor="text1" w:themeTint="BF"/>
    </w:rPr>
  </w:style>
  <w:style w:type="paragraph" w:styleId="Lijstalinea">
    <w:name w:val="List Paragraph"/>
    <w:basedOn w:val="Standaard"/>
    <w:uiPriority w:val="34"/>
    <w:qFormat/>
    <w:rsid w:val="00DB6DFE"/>
    <w:pPr>
      <w:ind w:left="720"/>
      <w:contextualSpacing/>
    </w:pPr>
  </w:style>
  <w:style w:type="character" w:styleId="Intensievebenadrukking">
    <w:name w:val="Intense Emphasis"/>
    <w:basedOn w:val="Standaardalinea-lettertype"/>
    <w:uiPriority w:val="21"/>
    <w:qFormat/>
    <w:rsid w:val="00DB6DFE"/>
    <w:rPr>
      <w:i/>
      <w:iCs/>
      <w:color w:val="2F5496" w:themeColor="accent1" w:themeShade="BF"/>
    </w:rPr>
  </w:style>
  <w:style w:type="paragraph" w:styleId="Duidelijkcitaat">
    <w:name w:val="Intense Quote"/>
    <w:basedOn w:val="Standaard"/>
    <w:next w:val="Standaard"/>
    <w:link w:val="DuidelijkcitaatChar"/>
    <w:uiPriority w:val="30"/>
    <w:qFormat/>
    <w:rsid w:val="00DB6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DFE"/>
    <w:rPr>
      <w:i/>
      <w:iCs/>
      <w:color w:val="2F5496" w:themeColor="accent1" w:themeShade="BF"/>
    </w:rPr>
  </w:style>
  <w:style w:type="character" w:styleId="Intensieveverwijzing">
    <w:name w:val="Intense Reference"/>
    <w:basedOn w:val="Standaardalinea-lettertype"/>
    <w:uiPriority w:val="32"/>
    <w:qFormat/>
    <w:rsid w:val="00DB6DF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B6D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6D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B6DFE"/>
    <w:rPr>
      <w:vertAlign w:val="superscript"/>
    </w:rPr>
  </w:style>
  <w:style w:type="paragraph" w:styleId="Koptekst">
    <w:name w:val="header"/>
    <w:basedOn w:val="Standaard"/>
    <w:link w:val="KoptekstChar"/>
    <w:uiPriority w:val="99"/>
    <w:unhideWhenUsed/>
    <w:rsid w:val="00DB6D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6DFE"/>
  </w:style>
  <w:style w:type="paragraph" w:styleId="Voettekst">
    <w:name w:val="footer"/>
    <w:basedOn w:val="Standaard"/>
    <w:link w:val="VoettekstChar"/>
    <w:uiPriority w:val="99"/>
    <w:unhideWhenUsed/>
    <w:rsid w:val="00DB6D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6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958</ap:Words>
  <ap:Characters>5272</ap:Characters>
  <ap:DocSecurity>0</ap:DocSecurity>
  <ap:Lines>43</ap:Lines>
  <ap:Paragraphs>12</ap:Paragraphs>
  <ap:ScaleCrop>false</ap:ScaleCrop>
  <ap:LinksUpToDate>false</ap:LinksUpToDate>
  <ap:CharactersWithSpaces>6218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2025-09-24T13:02:00.0000000Z</dcterms:created>
  <dcterms:modified xsi:type="dcterms:W3CDTF">2025-09-24T13:02:00.0000000Z</dcterms:modified>
  <version/>
  <category/>
</coreProperties>
</file>