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2025Z17689</w:t>
        <w:br/>
      </w:r>
      <w:proofErr w:type="spellEnd"/>
    </w:p>
    <w:p>
      <w:pPr>
        <w:pStyle w:val="Normal"/>
        <w:rPr>
          <w:b w:val="1"/>
          <w:bCs w:val="1"/>
        </w:rPr>
      </w:pPr>
      <w:r w:rsidR="250AE766">
        <w:rPr>
          <w:b w:val="0"/>
          <w:bCs w:val="0"/>
        </w:rPr>
        <w:t>(ingezonden 24 september 2025)</w:t>
        <w:br/>
      </w:r>
    </w:p>
    <w:p>
      <w:r>
        <w:t xml:space="preserve">Vragen van het lid Joseph (BBB) aan de minister van Sociale Zaken en Werkgelegenheid over het gebruik van ALM-modellen in de transitie naar het nieuwe pensioenstelsel</w:t>
      </w:r>
      <w:r>
        <w:br/>
      </w:r>
    </w:p>
    <w:p>
      <w:pPr>
        <w:pStyle w:val="ListParagraph"/>
        <w:numPr>
          <w:ilvl w:val="0"/>
          <w:numId w:val="100487400"/>
        </w:numPr>
        <w:ind w:left="360"/>
      </w:pPr>
      <w:r>
        <w:t xml:space="preserve">Bent u bekend met het artikel ‘Aandachtspunten bij herverdeling op basis van ALM-berekeningen’ uit Pensioen &amp; Praktijk #3 2025?</w:t>
      </w:r>
      <w:r>
        <w:br/>
      </w:r>
    </w:p>
    <w:p>
      <w:pPr>
        <w:pStyle w:val="ListParagraph"/>
        <w:numPr>
          <w:ilvl w:val="0"/>
          <w:numId w:val="100487400"/>
        </w:numPr>
        <w:ind w:left="360"/>
      </w:pPr>
      <w:r>
        <w:t xml:space="preserve">Herkent u het signaal uit de praktijk dat Asset Liability Management-modellen (ALM-modellen) van oorsprong zijn ontworpen om strategische keuzes op hoofdlijnen te ondersteunen, maar dat zij in het kader van de Wet toekomst pensioenen in de vorm van delta netto profijt berekeningen worden ingezet om op deelnemersniveau vermogens te herverdelen?</w:t>
      </w:r>
      <w:r>
        <w:br/>
      </w:r>
    </w:p>
    <w:p>
      <w:pPr>
        <w:pStyle w:val="ListParagraph"/>
        <w:numPr>
          <w:ilvl w:val="0"/>
          <w:numId w:val="100487400"/>
        </w:numPr>
        <w:ind w:left="360"/>
      </w:pPr>
      <w:r>
        <w:t xml:space="preserve">Deelt u de analyse dat ALM-modellen door hun aard en ontwerp niet geschikt zijn om op basis van delta netto profijt tot op de euro nauwkeurig individuele pensioenuitkomsten te berekenen, en dat dit leidt tot schijnzekerheid?</w:t>
      </w:r>
      <w:r>
        <w:br/>
      </w:r>
    </w:p>
    <w:p>
      <w:pPr>
        <w:pStyle w:val="ListParagraph"/>
        <w:numPr>
          <w:ilvl w:val="0"/>
          <w:numId w:val="100487400"/>
        </w:numPr>
        <w:ind w:left="360"/>
      </w:pPr>
      <w:r>
        <w:t xml:space="preserve">Hoe beoordeelt u het risico dat de huidige wettelijke verplichtingen — zoals het rekenen over een horizon van 100 jaar en met minimaal 10.000 scenario’s — bijdragen aan een overschatting van de betrouwbaarheid van modeluitkomsten?</w:t>
      </w:r>
      <w:r>
        <w:br/>
      </w:r>
    </w:p>
    <w:p>
      <w:pPr>
        <w:pStyle w:val="ListParagraph"/>
        <w:numPr>
          <w:ilvl w:val="0"/>
          <w:numId w:val="100487400"/>
        </w:numPr>
        <w:ind w:left="360"/>
      </w:pPr>
      <w:r>
        <w:t xml:space="preserve">Kunt u enkele rekenvoorbeelden geven, waaronder de impact van het fictief veronderstellen van een ‘vaste’ TBI-grens en een ‘vaste’ kritieke dekkingsgraad, om te illustreren dat “als je iets aanpast in de aannames, veranderen de kleinste aanpassingen in grote verschillen”?</w:t>
      </w:r>
      <w:r>
        <w:br/>
      </w:r>
    </w:p>
    <w:p>
      <w:pPr>
        <w:pStyle w:val="ListParagraph"/>
        <w:numPr>
          <w:ilvl w:val="0"/>
          <w:numId w:val="100487400"/>
        </w:numPr>
        <w:ind w:left="360"/>
      </w:pPr>
      <w:r>
        <w:t xml:space="preserve">Kunt u toelichten waarom er in de Wet toekomst pensioenen voor is gekozen om juist dit type modellen verplicht te stellen, ondanks de signalen dat de uitkomsten sterk afhankelijk zijn van subjectieve aannames?</w:t>
      </w:r>
      <w:r>
        <w:br/>
      </w:r>
    </w:p>
    <w:p>
      <w:pPr>
        <w:pStyle w:val="ListParagraph"/>
        <w:numPr>
          <w:ilvl w:val="0"/>
          <w:numId w:val="100487400"/>
        </w:numPr>
        <w:ind w:left="360"/>
      </w:pPr>
      <w:r>
        <w:t xml:space="preserve">Hoe weegt u de spanning tussen enerzijds de wettelijke kaders die ALM-modellen voorschrijven (waaronder pensioenverwachtingen en netto profijt effecten) en anderzijds de signalen uit de praktijk dat deze modellen niet geschikt zijn voor het creëren van bepaalde transitie-effecten op individueel niveau door middel van vermogensverschuiving?</w:t>
      </w:r>
      <w:r>
        <w:br/>
      </w:r>
    </w:p>
    <w:p>
      <w:pPr>
        <w:pStyle w:val="ListParagraph"/>
        <w:numPr>
          <w:ilvl w:val="0"/>
          <w:numId w:val="100487400"/>
        </w:numPr>
        <w:ind w:left="360"/>
      </w:pPr>
      <w:r>
        <w:t xml:space="preserve">Erkent u dat de druk van de transitie en de harde deadlines ertoe kunnen leiden dat pensioenfondsen minder oog hebben voor de beperkingen van de ALM-modellen en daardoor sneller tot herverdeling van gelden op basis van deze modellen besluiten?</w:t>
      </w:r>
      <w:r>
        <w:br/>
      </w:r>
    </w:p>
    <w:p>
      <w:pPr>
        <w:pStyle w:val="ListParagraph"/>
        <w:numPr>
          <w:ilvl w:val="0"/>
          <w:numId w:val="100487400"/>
        </w:numPr>
        <w:ind w:left="360"/>
      </w:pPr>
      <w:r>
        <w:t xml:space="preserve">Bent u het eens met de opmerking uit het artikel dat er juridische en reputatie-risico’s lijken te zitten aan het in de doorrekeningen afwijken van bestaand fondsbeleid? En zo niet, waarom niet?</w:t>
      </w:r>
      <w:r>
        <w:br/>
      </w:r>
    </w:p>
    <w:p>
      <w:pPr>
        <w:pStyle w:val="ListParagraph"/>
        <w:numPr>
          <w:ilvl w:val="0"/>
          <w:numId w:val="100487400"/>
        </w:numPr>
        <w:ind w:left="360"/>
      </w:pPr>
      <w:r>
        <w:t xml:space="preserve">Bent u bereid te onderzoeken of aanvullende richtlijnen of waarborgen nodig zijn om te voorkomen dat ALM-modellen worden gebruikt voor doeleinden waarvoor zij oorspronkelijk niet zijn ontworpen, bijvoorbeeld in overleg met het Koninklijk Actuarieel Genootschap?</w:t>
      </w:r>
      <w:r>
        <w:br/>
      </w:r>
    </w:p>
    <w:p>
      <w:pPr>
        <w:pStyle w:val="ListParagraph"/>
        <w:numPr>
          <w:ilvl w:val="0"/>
          <w:numId w:val="100487400"/>
        </w:numPr>
        <w:ind w:left="360"/>
      </w:pPr>
      <w:r>
        <w:t xml:space="preserve">Kunt u deze vragen één voor één en binnen drie weken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3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350">
    <w:abstractNumId w:val="1004873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