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2CB6" w:rsidRDefault="001856D0" w14:paraId="7A174F45" w14:textId="77777777">
      <w:pPr>
        <w:autoSpaceDE w:val="0"/>
        <w:autoSpaceDN w:val="0"/>
        <w:adjustRightInd w:val="0"/>
        <w:spacing w:before="0" w:after="0"/>
        <w:ind w:left="1416" w:hanging="1371"/>
        <w:rPr>
          <w:b/>
          <w:bCs/>
          <w:sz w:val="23"/>
          <w:szCs w:val="23"/>
        </w:rPr>
      </w:pPr>
      <w:r>
        <w:rPr>
          <w:b/>
          <w:bCs/>
          <w:sz w:val="23"/>
          <w:szCs w:val="23"/>
        </w:rPr>
        <w:t>36820-V</w:t>
      </w:r>
      <w:r>
        <w:rPr>
          <w:b/>
          <w:bCs/>
          <w:sz w:val="23"/>
          <w:szCs w:val="23"/>
        </w:rPr>
        <w:tab/>
        <w:t>Wijziging van de begrotingsstaat van het Ministerie van Buitenlandse Zaken (V) voor het jaar 2025 (wijziging samenhangende met de Miljoenennota)</w:t>
      </w:r>
    </w:p>
    <w:p w:rsidR="00CA2CB6" w:rsidRDefault="00CA2CB6" w14:paraId="6B4910C9" w14:textId="77777777">
      <w:pPr>
        <w:autoSpaceDE w:val="0"/>
        <w:autoSpaceDN w:val="0"/>
        <w:adjustRightInd w:val="0"/>
        <w:spacing w:before="0" w:after="0"/>
        <w:ind w:left="1416" w:hanging="1371"/>
        <w:rPr>
          <w:b/>
        </w:rPr>
      </w:pPr>
    </w:p>
    <w:p w:rsidR="00CA2CB6" w:rsidRDefault="001856D0" w14:paraId="7B314A5A" w14:textId="7C356F75">
      <w:r w:rsidRPr="0031587F">
        <w:rPr>
          <w:b/>
          <w:bCs/>
        </w:rPr>
        <w:t xml:space="preserve">nr. </w:t>
      </w:r>
      <w:r>
        <w:rPr>
          <w:b/>
        </w:rPr>
        <w:tab/>
      </w:r>
      <w:r>
        <w:rPr>
          <w:b/>
        </w:rPr>
        <w:tab/>
      </w:r>
      <w:r w:rsidRPr="0031587F">
        <w:rPr>
          <w:b/>
          <w:bCs/>
        </w:rPr>
        <w:t>Lijst van vragen en antwoorden</w:t>
      </w:r>
      <w:r>
        <w:tab/>
      </w:r>
      <w:r>
        <w:tab/>
      </w:r>
    </w:p>
    <w:p w:rsidRPr="0031587F" w:rsidR="00CA2CB6" w:rsidRDefault="001856D0" w14:paraId="2CFE4C51" w14:textId="1C88707A">
      <w:pPr>
        <w:ind w:left="702" w:firstLine="708"/>
      </w:pPr>
      <w:r>
        <w:t xml:space="preserve">Vastgesteld </w:t>
      </w:r>
      <w:r w:rsidRPr="0031587F">
        <w:rPr>
          <w:i/>
          <w:iCs/>
        </w:rPr>
        <w:t>(wordt door griffie ingevuld als antwoorden er zijn</w:t>
      </w:r>
      <w:r w:rsidR="0031587F">
        <w:rPr>
          <w:i/>
          <w:iCs/>
        </w:rPr>
        <w:t>)</w:t>
      </w:r>
    </w:p>
    <w:p w:rsidR="00CA2CB6" w:rsidRDefault="001856D0" w14:paraId="32C28F60" w14:textId="767E965B">
      <w:pPr>
        <w:ind w:left="1410"/>
      </w:pPr>
      <w:r>
        <w:t xml:space="preserve">De vaste commissie voor </w:t>
      </w:r>
      <w:r w:rsidR="00340BB8">
        <w:t>Buitenlandse Zaken</w:t>
      </w:r>
      <w:r>
        <w:t xml:space="preserve"> heeft een aantal vragen voorgelegd aan de </w:t>
      </w:r>
      <w:r w:rsidR="00340BB8">
        <w:t>minister van Buitenlandse Zaken</w:t>
      </w:r>
      <w:r>
        <w:t xml:space="preserve"> over </w:t>
      </w:r>
      <w:r w:rsidR="00340BB8">
        <w:t>de</w:t>
      </w:r>
      <w:r>
        <w:t xml:space="preserve"> </w:t>
      </w:r>
      <w:r w:rsidRPr="0031587F">
        <w:rPr>
          <w:b/>
          <w:bCs/>
        </w:rPr>
        <w:t>Wijziging van de begrotingsstaat van het Ministerie van Buitenlandse Zaken (V) voor het jaar 2025 (wijziging samenhangende met de Miljoenennota)</w:t>
      </w:r>
      <w:r>
        <w:t xml:space="preserve"> (</w:t>
      </w:r>
      <w:r w:rsidRPr="0031587F">
        <w:rPr>
          <w:b/>
          <w:bCs/>
        </w:rPr>
        <w:t>36820-V</w:t>
      </w:r>
      <w:r>
        <w:t xml:space="preserve">, nr. </w:t>
      </w:r>
      <w:r w:rsidRPr="0031587F">
        <w:rPr>
          <w:b/>
          <w:bCs/>
        </w:rPr>
        <w:t>0</w:t>
      </w:r>
      <w:r>
        <w:t>).</w:t>
      </w:r>
    </w:p>
    <w:p w:rsidR="00CA2CB6" w:rsidRDefault="001856D0" w14:paraId="6D032872" w14:textId="6906A2C5">
      <w:pPr>
        <w:ind w:left="1410"/>
      </w:pPr>
      <w:r>
        <w:t>De daarop door de</w:t>
      </w:r>
      <w:r w:rsidR="00340BB8">
        <w:t xml:space="preserve"> minister</w:t>
      </w:r>
      <w:r>
        <w:t xml:space="preserve"> gegeven antwoorden zijn hierbij afgedrukt.</w:t>
      </w:r>
    </w:p>
    <w:p w:rsidR="00CA2CB6" w:rsidRDefault="00CA2CB6" w14:paraId="2D337DB3" w14:textId="77777777">
      <w:pPr>
        <w:spacing w:before="0" w:after="0"/>
      </w:pPr>
    </w:p>
    <w:p w:rsidR="00CA2CB6" w:rsidRDefault="001856D0" w14:paraId="2B69FF3D" w14:textId="77777777">
      <w:pPr>
        <w:spacing w:before="0" w:after="0"/>
        <w:ind w:left="703" w:firstLine="709"/>
      </w:pPr>
      <w:r>
        <w:t xml:space="preserve">Voorzitter van de commissie, </w:t>
      </w:r>
    </w:p>
    <w:p w:rsidR="00CA2CB6" w:rsidRDefault="001856D0" w14:paraId="1C719E61" w14:textId="403EE5A0">
      <w:pPr>
        <w:spacing w:before="0" w:after="0"/>
      </w:pPr>
      <w:r>
        <w:tab/>
      </w:r>
      <w:r>
        <w:tab/>
      </w:r>
      <w:r w:rsidR="00340BB8">
        <w:t>Klaver</w:t>
      </w:r>
    </w:p>
    <w:p w:rsidR="00CA2CB6" w:rsidRDefault="001856D0" w14:paraId="4DD5B333" w14:textId="77777777">
      <w:pPr>
        <w:spacing w:before="0" w:after="0"/>
      </w:pPr>
      <w:r>
        <w:tab/>
      </w:r>
      <w:r>
        <w:tab/>
      </w:r>
    </w:p>
    <w:p w:rsidR="00CA2CB6" w:rsidRDefault="001856D0" w14:paraId="1A487BB4" w14:textId="77777777">
      <w:pPr>
        <w:spacing w:before="0" w:after="0"/>
      </w:pPr>
      <w:r>
        <w:tab/>
      </w:r>
      <w:r>
        <w:tab/>
        <w:t>Griffier van de commissie,</w:t>
      </w:r>
    </w:p>
    <w:p w:rsidR="00CA2CB6" w:rsidRDefault="001856D0" w14:paraId="69BE6980" w14:textId="129F0D61">
      <w:pPr>
        <w:spacing w:before="0" w:after="0"/>
      </w:pPr>
      <w:r>
        <w:tab/>
      </w:r>
      <w:r>
        <w:tab/>
      </w:r>
      <w:r w:rsidR="00340BB8">
        <w:t>Westerhoff</w:t>
      </w:r>
    </w:p>
    <w:p w:rsidR="00CA2CB6" w:rsidRDefault="00CA2CB6" w14:paraId="48E24DC8" w14:textId="77777777"/>
    <w:tbl>
      <w:tblPr>
        <w:tblStyle w:val="TableGrid"/>
        <w:tblW w:w="94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000" w:firstRow="0" w:lastRow="0" w:firstColumn="0" w:lastColumn="0" w:noHBand="0" w:noVBand="0"/>
      </w:tblPr>
      <w:tblGrid>
        <w:gridCol w:w="567"/>
        <w:gridCol w:w="6521"/>
        <w:gridCol w:w="1129"/>
        <w:gridCol w:w="713"/>
        <w:gridCol w:w="567"/>
      </w:tblGrid>
      <w:tr w:rsidR="00D32CA8" w:rsidTr="00BC4A25" w14:paraId="1F0C28A0" w14:textId="23961F14">
        <w:tc>
          <w:tcPr>
            <w:tcW w:w="567" w:type="dxa"/>
          </w:tcPr>
          <w:p w:rsidR="00D32CA8" w:rsidRDefault="00D32CA8" w14:paraId="2CCEDC48" w14:textId="77777777">
            <w:bookmarkStart w:name="bmkStartTabel" w:id="0"/>
            <w:bookmarkEnd w:id="0"/>
            <w:proofErr w:type="spellStart"/>
            <w:r>
              <w:t>Nr</w:t>
            </w:r>
            <w:proofErr w:type="spellEnd"/>
          </w:p>
        </w:tc>
        <w:tc>
          <w:tcPr>
            <w:tcW w:w="6521" w:type="dxa"/>
          </w:tcPr>
          <w:p w:rsidR="00D32CA8" w:rsidRDefault="00D32CA8" w14:paraId="16E57BD8" w14:textId="77777777">
            <w:r>
              <w:t>Vraag</w:t>
            </w:r>
          </w:p>
        </w:tc>
        <w:tc>
          <w:tcPr>
            <w:tcW w:w="1129" w:type="dxa"/>
          </w:tcPr>
          <w:p w:rsidR="00D32CA8" w:rsidRDefault="00D32CA8" w14:paraId="7CCCBE18" w14:textId="5FB65C2E">
            <w:pPr>
              <w:jc w:val="right"/>
            </w:pPr>
            <w:r>
              <w:t>Directie</w:t>
            </w:r>
          </w:p>
        </w:tc>
        <w:tc>
          <w:tcPr>
            <w:tcW w:w="713" w:type="dxa"/>
          </w:tcPr>
          <w:p w:rsidR="00D32CA8" w:rsidP="00E7153D" w:rsidRDefault="00D32CA8" w14:paraId="55A59A80" w14:textId="77777777">
            <w:pPr>
              <w:jc w:val="right"/>
            </w:pPr>
            <w:r>
              <w:t>Blz. (van)</w:t>
            </w:r>
          </w:p>
        </w:tc>
        <w:tc>
          <w:tcPr>
            <w:tcW w:w="567" w:type="dxa"/>
          </w:tcPr>
          <w:p w:rsidR="00D32CA8" w:rsidP="00E7153D" w:rsidRDefault="00D32CA8" w14:paraId="4D24FD09" w14:textId="19B37C30">
            <w:pPr>
              <w:jc w:val="center"/>
            </w:pPr>
            <w:r>
              <w:t xml:space="preserve">t/m </w:t>
            </w:r>
          </w:p>
        </w:tc>
      </w:tr>
      <w:tr w:rsidR="00D32CA8" w:rsidTr="00BC4A25" w14:paraId="3FEDE0C6" w14:textId="547EE9C9">
        <w:tc>
          <w:tcPr>
            <w:tcW w:w="567" w:type="dxa"/>
          </w:tcPr>
          <w:p w:rsidR="00D32CA8" w:rsidRDefault="00D32CA8" w14:paraId="307F3A3F" w14:textId="77777777">
            <w:r>
              <w:t>1</w:t>
            </w:r>
          </w:p>
        </w:tc>
        <w:tc>
          <w:tcPr>
            <w:tcW w:w="6521" w:type="dxa"/>
          </w:tcPr>
          <w:p w:rsidR="00BC4A25" w:rsidP="00B12C07" w:rsidRDefault="00D32CA8" w14:paraId="3D3B4005" w14:textId="256C53DF">
            <w:pPr>
              <w:pStyle w:val="NoSpacing"/>
            </w:pPr>
            <w:r>
              <w:t>Kunt u aangeven wat het totale bedrag aan verplichtingen, uitgaven en ontvangsten is in de begroting van Buitenlandse Zaken voor 2025 en hoe dit zich met de suppletoire begroting van september heeft ontwikkeld?</w:t>
            </w:r>
          </w:p>
          <w:p w:rsidRPr="00BC4A25" w:rsidR="005E7C56" w:rsidP="00B12C07" w:rsidRDefault="005E7C56" w14:paraId="31A628BB" w14:textId="77777777">
            <w:pPr>
              <w:pStyle w:val="NoSpacing"/>
            </w:pPr>
          </w:p>
          <w:p w:rsidR="00683DE6" w:rsidP="00B12C07" w:rsidRDefault="00683DE6" w14:paraId="673B5BA4" w14:textId="1EC3164D">
            <w:pPr>
              <w:pStyle w:val="NoSpacing"/>
            </w:pPr>
            <w:r w:rsidRPr="00A524B3">
              <w:rPr>
                <w:b/>
                <w:bCs/>
              </w:rPr>
              <w:t>Antwoord</w:t>
            </w:r>
            <w:r>
              <w:t>:</w:t>
            </w:r>
          </w:p>
          <w:p w:rsidRPr="00BC4A25" w:rsidR="00B751C7" w:rsidP="00B12C07" w:rsidRDefault="00B751C7" w14:paraId="6479635B" w14:textId="77777777">
            <w:pPr>
              <w:pStyle w:val="NoSpacing"/>
              <w:rPr>
                <w:b/>
                <w:bCs/>
              </w:rPr>
            </w:pPr>
            <w:r w:rsidRPr="00BC4A25">
              <w:rPr>
                <w:b/>
                <w:bCs/>
              </w:rPr>
              <w:t>Het totale bedrag aan verplichtingen, uitgaven en ontvangsten van de begroting van Buitenlandse Zaken voor 2025 betreft:</w:t>
            </w:r>
          </w:p>
          <w:p w:rsidRPr="005E7C56" w:rsidR="00B751C7" w:rsidP="00642E61" w:rsidRDefault="00B751C7" w14:paraId="1FE594CB" w14:textId="77777777">
            <w:pPr>
              <w:pStyle w:val="NoSpacing"/>
              <w:numPr>
                <w:ilvl w:val="0"/>
                <w:numId w:val="3"/>
              </w:numPr>
              <w:rPr>
                <w:b/>
                <w:bCs/>
              </w:rPr>
            </w:pPr>
            <w:r w:rsidRPr="005E7C56">
              <w:rPr>
                <w:b/>
                <w:bCs/>
              </w:rPr>
              <w:t>Verplichtingen: EUR 13.087.533.000</w:t>
            </w:r>
          </w:p>
          <w:p w:rsidRPr="005E7C56" w:rsidR="00B751C7" w:rsidP="00642E61" w:rsidRDefault="00B751C7" w14:paraId="4589F774" w14:textId="77777777">
            <w:pPr>
              <w:pStyle w:val="NoSpacing"/>
              <w:numPr>
                <w:ilvl w:val="0"/>
                <w:numId w:val="3"/>
              </w:numPr>
              <w:rPr>
                <w:b/>
                <w:bCs/>
              </w:rPr>
            </w:pPr>
            <w:r w:rsidRPr="005E7C56">
              <w:rPr>
                <w:b/>
                <w:bCs/>
              </w:rPr>
              <w:t>Uitgaven: EUR 13.396.412.000</w:t>
            </w:r>
          </w:p>
          <w:p w:rsidRPr="005E7C56" w:rsidR="00B751C7" w:rsidP="00642E61" w:rsidRDefault="00B751C7" w14:paraId="58E6F076" w14:textId="77777777">
            <w:pPr>
              <w:pStyle w:val="NoSpacing"/>
              <w:numPr>
                <w:ilvl w:val="0"/>
                <w:numId w:val="3"/>
              </w:numPr>
              <w:rPr>
                <w:b/>
                <w:bCs/>
              </w:rPr>
            </w:pPr>
            <w:r w:rsidRPr="005E7C56">
              <w:rPr>
                <w:b/>
                <w:bCs/>
              </w:rPr>
              <w:t>Ontvangsten: EUR 2.571.016.000</w:t>
            </w:r>
          </w:p>
          <w:p w:rsidRPr="00BC4A25" w:rsidR="00B751C7" w:rsidP="00B12C07" w:rsidRDefault="00B751C7" w14:paraId="59DACA76" w14:textId="0BF00E67">
            <w:pPr>
              <w:pStyle w:val="NoSpacing"/>
              <w:rPr>
                <w:b/>
                <w:bCs/>
              </w:rPr>
            </w:pPr>
            <w:r w:rsidRPr="00BC4A25">
              <w:rPr>
                <w:b/>
                <w:bCs/>
              </w:rPr>
              <w:t xml:space="preserve">Bovenstaande bedragen betreffen de eindstand na het verwerken van de mutaties van de suppletoire begroting september. </w:t>
            </w:r>
          </w:p>
          <w:p w:rsidRPr="00BC4A25" w:rsidR="00B751C7" w:rsidP="00B12C07" w:rsidRDefault="00B751C7" w14:paraId="3995E4DD" w14:textId="77777777">
            <w:pPr>
              <w:pStyle w:val="NoSpacing"/>
              <w:rPr>
                <w:b/>
                <w:bCs/>
              </w:rPr>
            </w:pPr>
            <w:r w:rsidRPr="00BC4A25">
              <w:rPr>
                <w:b/>
                <w:bCs/>
              </w:rPr>
              <w:t xml:space="preserve">Tijdens de suppletoire begroting september hebben de volgende ontwikkelingen zich voortgedaan: </w:t>
            </w:r>
          </w:p>
          <w:p w:rsidRPr="005E7C56" w:rsidR="00B751C7" w:rsidP="00642E61" w:rsidRDefault="00B751C7" w14:paraId="4679BD83" w14:textId="31A273F3">
            <w:pPr>
              <w:pStyle w:val="NoSpacing"/>
              <w:numPr>
                <w:ilvl w:val="0"/>
                <w:numId w:val="4"/>
              </w:numPr>
              <w:rPr>
                <w:b/>
                <w:bCs/>
              </w:rPr>
            </w:pPr>
            <w:r w:rsidRPr="005E7C56">
              <w:rPr>
                <w:b/>
                <w:bCs/>
              </w:rPr>
              <w:t xml:space="preserve">De verplichtingen en uitgaven zijn respectievelijk gestegen met EUR 321 miljoen en EUR 325,7 miljoen door </w:t>
            </w:r>
            <w:r w:rsidRPr="005E7C56" w:rsidR="0031587F">
              <w:rPr>
                <w:b/>
                <w:bCs/>
              </w:rPr>
              <w:t xml:space="preserve">met name mutaties op </w:t>
            </w:r>
            <w:r w:rsidRPr="005E7C56">
              <w:rPr>
                <w:b/>
                <w:bCs/>
              </w:rPr>
              <w:t xml:space="preserve">de afdrachten en invoerrechten aan de Europese Unie. Een aantal kleinere overhevelingen en kasschuiven hebben hier ook aan bijgedragen. </w:t>
            </w:r>
          </w:p>
          <w:p w:rsidRPr="005E7C56" w:rsidR="00683DE6" w:rsidP="00642E61" w:rsidRDefault="00B751C7" w14:paraId="192F3026" w14:textId="77777777">
            <w:pPr>
              <w:pStyle w:val="NoSpacing"/>
              <w:numPr>
                <w:ilvl w:val="0"/>
                <w:numId w:val="4"/>
              </w:numPr>
              <w:rPr>
                <w:b/>
                <w:bCs/>
              </w:rPr>
            </w:pPr>
            <w:r w:rsidRPr="005E7C56">
              <w:rPr>
                <w:b/>
                <w:bCs/>
              </w:rPr>
              <w:t>De ontvangsten zijn</w:t>
            </w:r>
            <w:r w:rsidRPr="005E7C56" w:rsidR="0031587F">
              <w:rPr>
                <w:b/>
                <w:bCs/>
              </w:rPr>
              <w:t xml:space="preserve"> in totaal </w:t>
            </w:r>
            <w:r w:rsidRPr="005E7C56">
              <w:rPr>
                <w:b/>
                <w:bCs/>
              </w:rPr>
              <w:t>met EUR 63,8 miljoen gestegen door</w:t>
            </w:r>
            <w:r w:rsidRPr="005E7C56" w:rsidR="0031587F">
              <w:rPr>
                <w:b/>
                <w:bCs/>
              </w:rPr>
              <w:t xml:space="preserve"> aanpassing van</w:t>
            </w:r>
            <w:r w:rsidRPr="005E7C56">
              <w:rPr>
                <w:b/>
                <w:bCs/>
              </w:rPr>
              <w:t xml:space="preserve"> de invoerrechten en overige ontvangsten van de Europese Unie.</w:t>
            </w:r>
          </w:p>
          <w:p w:rsidRPr="00BC4A25" w:rsidR="00BC4A25" w:rsidP="00B12C07" w:rsidRDefault="00BC4A25" w14:paraId="1BEA5E9A" w14:textId="52099301">
            <w:pPr>
              <w:pStyle w:val="NoSpacing"/>
              <w:rPr>
                <w:b/>
                <w:bCs/>
              </w:rPr>
            </w:pPr>
          </w:p>
        </w:tc>
        <w:tc>
          <w:tcPr>
            <w:tcW w:w="1129" w:type="dxa"/>
          </w:tcPr>
          <w:p w:rsidR="00D32CA8" w:rsidRDefault="00D32CA8" w14:paraId="093BFA03" w14:textId="4B9C9367">
            <w:pPr>
              <w:jc w:val="right"/>
            </w:pPr>
          </w:p>
        </w:tc>
        <w:tc>
          <w:tcPr>
            <w:tcW w:w="713" w:type="dxa"/>
          </w:tcPr>
          <w:p w:rsidR="00D32CA8" w:rsidRDefault="00D32CA8" w14:paraId="5CF3042E" w14:textId="77777777">
            <w:pPr>
              <w:jc w:val="right"/>
            </w:pPr>
          </w:p>
        </w:tc>
        <w:tc>
          <w:tcPr>
            <w:tcW w:w="567" w:type="dxa"/>
          </w:tcPr>
          <w:p w:rsidR="00D32CA8" w:rsidRDefault="00D32CA8" w14:paraId="71F4304D" w14:textId="77777777">
            <w:pPr>
              <w:jc w:val="right"/>
            </w:pPr>
            <w:r>
              <w:t xml:space="preserve"> </w:t>
            </w:r>
          </w:p>
        </w:tc>
      </w:tr>
      <w:tr w:rsidR="00D32CA8" w:rsidTr="00BC4A25" w14:paraId="1E3B9248" w14:textId="14E4C93B">
        <w:tc>
          <w:tcPr>
            <w:tcW w:w="567" w:type="dxa"/>
          </w:tcPr>
          <w:p w:rsidR="00D32CA8" w:rsidRDefault="00D32CA8" w14:paraId="23D4EDDD" w14:textId="77777777">
            <w:r>
              <w:t>2</w:t>
            </w:r>
          </w:p>
        </w:tc>
        <w:tc>
          <w:tcPr>
            <w:tcW w:w="6521" w:type="dxa"/>
          </w:tcPr>
          <w:p w:rsidR="00BC4A25" w:rsidP="00B12C07" w:rsidRDefault="00D32CA8" w14:paraId="0D33AD09" w14:textId="4B9F9250">
            <w:pPr>
              <w:pStyle w:val="NoSpacing"/>
            </w:pPr>
            <w:r>
              <w:t>Hoeveel bedraagt de extra bijdrage in 2025 aan het Veiligheidsfonds in verband met de NAVO-top in Nederland?</w:t>
            </w:r>
          </w:p>
          <w:p w:rsidRPr="00BC4A25" w:rsidR="005E7C56" w:rsidP="00B12C07" w:rsidRDefault="005E7C56" w14:paraId="7D0DB18E" w14:textId="77777777">
            <w:pPr>
              <w:pStyle w:val="NoSpacing"/>
            </w:pPr>
          </w:p>
          <w:p w:rsidR="00683DE6" w:rsidP="00B12C07" w:rsidRDefault="00683DE6" w14:paraId="7BD8F173" w14:textId="3ED85B4F">
            <w:pPr>
              <w:pStyle w:val="NoSpacing"/>
            </w:pPr>
            <w:r w:rsidRPr="00A524B3">
              <w:rPr>
                <w:b/>
                <w:bCs/>
              </w:rPr>
              <w:t>Antwoord</w:t>
            </w:r>
            <w:r>
              <w:t>:</w:t>
            </w:r>
          </w:p>
          <w:p w:rsidRPr="00BC4A25" w:rsidR="00683DE6" w:rsidP="00B12C07" w:rsidRDefault="305DDE4D" w14:paraId="4F1B25DE" w14:textId="601DE407">
            <w:pPr>
              <w:pStyle w:val="NoSpacing"/>
              <w:rPr>
                <w:b/>
                <w:bCs/>
              </w:rPr>
            </w:pPr>
            <w:r w:rsidRPr="00BC4A25">
              <w:rPr>
                <w:b/>
                <w:bCs/>
              </w:rPr>
              <w:t>Er is geen extra bijdrage geweest aan het Veiligheidsfonds in 2025 in verband met de NAVO-top. De financiering NAVO-top staat op zich zelf.</w:t>
            </w:r>
          </w:p>
          <w:p w:rsidR="00683DE6" w:rsidP="00B12C07" w:rsidRDefault="305DDE4D" w14:paraId="4CB3CBC0" w14:textId="418F249B">
            <w:pPr>
              <w:pStyle w:val="NoSpacing"/>
            </w:pPr>
            <w:r w:rsidRPr="00BC4A25">
              <w:rPr>
                <w:b/>
                <w:bCs/>
              </w:rPr>
              <w:t>De extra bijdrage aan het Veiligheidsfonds</w:t>
            </w:r>
            <w:r w:rsidRPr="00BC4A25" w:rsidR="00A24C8B">
              <w:rPr>
                <w:b/>
                <w:bCs/>
              </w:rPr>
              <w:t xml:space="preserve"> in 2025 i</w:t>
            </w:r>
            <w:r w:rsidRPr="00BC4A25" w:rsidR="0031587F">
              <w:rPr>
                <w:b/>
                <w:bCs/>
              </w:rPr>
              <w:t xml:space="preserve">n </w:t>
            </w:r>
            <w:r w:rsidRPr="00BC4A25">
              <w:rPr>
                <w:b/>
                <w:bCs/>
              </w:rPr>
              <w:t xml:space="preserve">de suppletoire begroting september in 2025 ter hoogte van EUR 535.000 is een overheveling vanuit het Ministerie van Defensie voor </w:t>
            </w:r>
            <w:r w:rsidRPr="00BC4A25" w:rsidR="4FEEAE11">
              <w:rPr>
                <w:b/>
                <w:bCs/>
              </w:rPr>
              <w:t>het Comprehensive Planning and Performance Assessment System (</w:t>
            </w:r>
            <w:r w:rsidRPr="00BC4A25">
              <w:rPr>
                <w:b/>
                <w:bCs/>
              </w:rPr>
              <w:t>CPAS</w:t>
            </w:r>
            <w:r w:rsidRPr="00BC4A25" w:rsidR="4FEEAE11">
              <w:rPr>
                <w:b/>
                <w:bCs/>
              </w:rPr>
              <w:t>)</w:t>
            </w:r>
            <w:r w:rsidRPr="00BC4A25">
              <w:rPr>
                <w:b/>
                <w:bCs/>
              </w:rPr>
              <w:t>.</w:t>
            </w:r>
            <w:r w:rsidRPr="62AD79BF">
              <w:t xml:space="preserve"> </w:t>
            </w:r>
          </w:p>
          <w:p w:rsidR="00683DE6" w:rsidP="00B12C07" w:rsidRDefault="00683DE6" w14:paraId="3AB5FA46" w14:textId="77777777">
            <w:pPr>
              <w:pStyle w:val="NoSpacing"/>
            </w:pPr>
          </w:p>
        </w:tc>
        <w:tc>
          <w:tcPr>
            <w:tcW w:w="1129" w:type="dxa"/>
          </w:tcPr>
          <w:p w:rsidR="00D32CA8" w:rsidRDefault="00D32CA8" w14:paraId="724F11BD" w14:textId="50CFA564">
            <w:pPr>
              <w:jc w:val="right"/>
            </w:pPr>
          </w:p>
        </w:tc>
        <w:tc>
          <w:tcPr>
            <w:tcW w:w="713" w:type="dxa"/>
          </w:tcPr>
          <w:p w:rsidR="00D32CA8" w:rsidRDefault="00D32CA8" w14:paraId="5E687658" w14:textId="77777777">
            <w:pPr>
              <w:jc w:val="right"/>
            </w:pPr>
            <w:r>
              <w:t>7</w:t>
            </w:r>
          </w:p>
        </w:tc>
        <w:tc>
          <w:tcPr>
            <w:tcW w:w="567" w:type="dxa"/>
          </w:tcPr>
          <w:p w:rsidR="00D32CA8" w:rsidRDefault="00D32CA8" w14:paraId="68910361" w14:textId="77777777">
            <w:pPr>
              <w:jc w:val="right"/>
            </w:pPr>
            <w:r>
              <w:t xml:space="preserve"> </w:t>
            </w:r>
          </w:p>
        </w:tc>
      </w:tr>
      <w:tr w:rsidR="00D32CA8" w:rsidTr="00BC4A25" w14:paraId="1A64A617" w14:textId="6A04134C">
        <w:tc>
          <w:tcPr>
            <w:tcW w:w="567" w:type="dxa"/>
          </w:tcPr>
          <w:p w:rsidR="00D32CA8" w:rsidRDefault="00D32CA8" w14:paraId="6E67992A" w14:textId="77777777">
            <w:r>
              <w:t>3</w:t>
            </w:r>
          </w:p>
        </w:tc>
        <w:tc>
          <w:tcPr>
            <w:tcW w:w="6521" w:type="dxa"/>
          </w:tcPr>
          <w:p w:rsidR="00BC4A25" w:rsidP="00B12C07" w:rsidRDefault="00D32CA8" w14:paraId="3B2D76A6" w14:textId="1B56D3AB">
            <w:pPr>
              <w:pStyle w:val="NoSpacing"/>
            </w:pPr>
            <w:r>
              <w:t>Hoe groot is de verlaging van de subsidies op artikel 2.2 Bestrijding internationale criminaliteit en terrorisme?</w:t>
            </w:r>
          </w:p>
          <w:p w:rsidR="005E7C56" w:rsidP="00B12C07" w:rsidRDefault="005E7C56" w14:paraId="6867B19D" w14:textId="77777777">
            <w:pPr>
              <w:pStyle w:val="NoSpacing"/>
            </w:pPr>
          </w:p>
          <w:p w:rsidR="00683DE6" w:rsidP="00B12C07" w:rsidRDefault="00683DE6" w14:paraId="266028E0" w14:textId="760F11DE">
            <w:pPr>
              <w:pStyle w:val="NoSpacing"/>
            </w:pPr>
            <w:r w:rsidRPr="00A524B3">
              <w:rPr>
                <w:b/>
                <w:bCs/>
              </w:rPr>
              <w:lastRenderedPageBreak/>
              <w:t>Antwoord</w:t>
            </w:r>
            <w:r>
              <w:t>:</w:t>
            </w:r>
          </w:p>
          <w:p w:rsidR="00683DE6" w:rsidP="00B12C07" w:rsidRDefault="00855953" w14:paraId="260414E0" w14:textId="77777777">
            <w:pPr>
              <w:pStyle w:val="NoSpacing"/>
              <w:rPr>
                <w:b/>
                <w:bCs/>
              </w:rPr>
            </w:pPr>
            <w:r w:rsidRPr="00BC4A25">
              <w:rPr>
                <w:b/>
                <w:bCs/>
              </w:rPr>
              <w:t>Subsidies op artikel 2.2 Bestrijding internationale criminaliteit en terrorisme is met EUR 150.000 verlaagd door overheveling aan het Ministerie van Financiën in het kader van de mede financiering van het Financieel Expertise Centrum (het FEC) voor de uitoefening van taken in het kader van Ongewenste Buitenlandse Financiering (OBF).</w:t>
            </w:r>
          </w:p>
          <w:p w:rsidRPr="00BC4A25" w:rsidR="00BC4A25" w:rsidP="00B12C07" w:rsidRDefault="00BC4A25" w14:paraId="176BC544" w14:textId="27A11395">
            <w:pPr>
              <w:pStyle w:val="NoSpacing"/>
              <w:rPr>
                <w:b/>
                <w:bCs/>
              </w:rPr>
            </w:pPr>
          </w:p>
        </w:tc>
        <w:tc>
          <w:tcPr>
            <w:tcW w:w="1129" w:type="dxa"/>
          </w:tcPr>
          <w:p w:rsidR="00D32CA8" w:rsidRDefault="00D32CA8" w14:paraId="1C7B6F7D" w14:textId="62680534">
            <w:pPr>
              <w:jc w:val="right"/>
            </w:pPr>
          </w:p>
        </w:tc>
        <w:tc>
          <w:tcPr>
            <w:tcW w:w="713" w:type="dxa"/>
          </w:tcPr>
          <w:p w:rsidR="00D32CA8" w:rsidRDefault="00D32CA8" w14:paraId="4670C136" w14:textId="77777777">
            <w:pPr>
              <w:jc w:val="right"/>
            </w:pPr>
            <w:r>
              <w:t>7</w:t>
            </w:r>
          </w:p>
        </w:tc>
        <w:tc>
          <w:tcPr>
            <w:tcW w:w="567" w:type="dxa"/>
          </w:tcPr>
          <w:p w:rsidR="00D32CA8" w:rsidRDefault="00D32CA8" w14:paraId="6EB1144C" w14:textId="77777777">
            <w:pPr>
              <w:jc w:val="right"/>
            </w:pPr>
            <w:r>
              <w:t xml:space="preserve"> </w:t>
            </w:r>
          </w:p>
        </w:tc>
      </w:tr>
      <w:tr w:rsidR="00D32CA8" w:rsidTr="00BC4A25" w14:paraId="68332814" w14:textId="3A872DBD">
        <w:tc>
          <w:tcPr>
            <w:tcW w:w="567" w:type="dxa"/>
          </w:tcPr>
          <w:p w:rsidR="00D32CA8" w:rsidRDefault="00D32CA8" w14:paraId="22448B36" w14:textId="77777777">
            <w:r>
              <w:t>4</w:t>
            </w:r>
          </w:p>
        </w:tc>
        <w:tc>
          <w:tcPr>
            <w:tcW w:w="6521" w:type="dxa"/>
          </w:tcPr>
          <w:p w:rsidR="00BC4A25" w:rsidP="00B12C07" w:rsidRDefault="00D32CA8" w14:paraId="280A308D" w14:textId="155AAEAE">
            <w:pPr>
              <w:pStyle w:val="NoSpacing"/>
            </w:pPr>
            <w:r>
              <w:t>Wat is het budget dat in 2025 voor het Stabiliteitsfonds beschikbaar is?</w:t>
            </w:r>
          </w:p>
          <w:p w:rsidRPr="00BC4A25" w:rsidR="005E7C56" w:rsidP="00B12C07" w:rsidRDefault="005E7C56" w14:paraId="7493D258" w14:textId="77777777">
            <w:pPr>
              <w:pStyle w:val="NoSpacing"/>
            </w:pPr>
          </w:p>
          <w:p w:rsidR="00683DE6" w:rsidP="00B12C07" w:rsidRDefault="00683DE6" w14:paraId="5C7D7D5B" w14:textId="42509252">
            <w:pPr>
              <w:pStyle w:val="NoSpacing"/>
            </w:pPr>
            <w:r w:rsidRPr="00A524B3">
              <w:rPr>
                <w:b/>
                <w:bCs/>
              </w:rPr>
              <w:t>Antwoord</w:t>
            </w:r>
            <w:r>
              <w:t>:</w:t>
            </w:r>
          </w:p>
          <w:p w:rsidR="00683DE6" w:rsidP="00B12C07" w:rsidRDefault="00637C60" w14:paraId="26CBA2A7" w14:textId="77777777">
            <w:pPr>
              <w:pStyle w:val="NoSpacing"/>
              <w:rPr>
                <w:b/>
                <w:bCs/>
              </w:rPr>
            </w:pPr>
            <w:r w:rsidRPr="00BC4A25">
              <w:rPr>
                <w:b/>
                <w:bCs/>
              </w:rPr>
              <w:t xml:space="preserve">Het stabiliteitsfonds heeft in 2025 een budget van EUR </w:t>
            </w:r>
            <w:r w:rsidRPr="00BC4A25" w:rsidR="00B73AA9">
              <w:rPr>
                <w:b/>
                <w:bCs/>
              </w:rPr>
              <w:t>65,173 miljoen.</w:t>
            </w:r>
          </w:p>
          <w:p w:rsidRPr="00BC4A25" w:rsidR="00BC4A25" w:rsidP="00B12C07" w:rsidRDefault="00BC4A25" w14:paraId="3A9D5BB4" w14:textId="267A39E1">
            <w:pPr>
              <w:pStyle w:val="NoSpacing"/>
              <w:rPr>
                <w:b/>
                <w:bCs/>
              </w:rPr>
            </w:pPr>
          </w:p>
        </w:tc>
        <w:tc>
          <w:tcPr>
            <w:tcW w:w="1129" w:type="dxa"/>
          </w:tcPr>
          <w:p w:rsidR="00D32CA8" w:rsidRDefault="00D32CA8" w14:paraId="41D3CE00" w14:textId="29F5661E">
            <w:pPr>
              <w:jc w:val="right"/>
            </w:pPr>
          </w:p>
        </w:tc>
        <w:tc>
          <w:tcPr>
            <w:tcW w:w="713" w:type="dxa"/>
          </w:tcPr>
          <w:p w:rsidR="00D32CA8" w:rsidRDefault="00D32CA8" w14:paraId="7592A605" w14:textId="77777777">
            <w:pPr>
              <w:jc w:val="right"/>
            </w:pPr>
            <w:r>
              <w:t>7</w:t>
            </w:r>
          </w:p>
        </w:tc>
        <w:tc>
          <w:tcPr>
            <w:tcW w:w="567" w:type="dxa"/>
          </w:tcPr>
          <w:p w:rsidR="00D32CA8" w:rsidRDefault="00D32CA8" w14:paraId="15F80DB9" w14:textId="77777777">
            <w:pPr>
              <w:jc w:val="right"/>
            </w:pPr>
            <w:r>
              <w:t xml:space="preserve"> </w:t>
            </w:r>
          </w:p>
        </w:tc>
      </w:tr>
      <w:tr w:rsidR="00D32CA8" w:rsidTr="00BC4A25" w14:paraId="51F2F6C7" w14:textId="0F8A2FB1">
        <w:tc>
          <w:tcPr>
            <w:tcW w:w="567" w:type="dxa"/>
          </w:tcPr>
          <w:p w:rsidR="00D32CA8" w:rsidRDefault="00D32CA8" w14:paraId="0D95781C" w14:textId="77777777">
            <w:r>
              <w:t>5</w:t>
            </w:r>
          </w:p>
        </w:tc>
        <w:tc>
          <w:tcPr>
            <w:tcW w:w="6521" w:type="dxa"/>
          </w:tcPr>
          <w:p w:rsidR="00BC4A25" w:rsidP="00B12C07" w:rsidRDefault="00D32CA8" w14:paraId="3A591FA7" w14:textId="71337B99">
            <w:pPr>
              <w:pStyle w:val="NoSpacing"/>
            </w:pPr>
            <w:r>
              <w:t>Hoeveel bedragen de verplichtingen en uitgaven bij artikel 2 Veiligheid en stabiliteit na verwerking van de suppletoire mutaties van september?</w:t>
            </w:r>
          </w:p>
          <w:p w:rsidRPr="00BC4A25" w:rsidR="005E7C56" w:rsidP="00B12C07" w:rsidRDefault="005E7C56" w14:paraId="2E6F0021" w14:textId="77777777">
            <w:pPr>
              <w:pStyle w:val="NoSpacing"/>
            </w:pPr>
          </w:p>
          <w:p w:rsidR="00683DE6" w:rsidP="00B12C07" w:rsidRDefault="0D42A88F" w14:paraId="1F4F33E5" w14:textId="465B5F05">
            <w:pPr>
              <w:pStyle w:val="NoSpacing"/>
            </w:pPr>
            <w:r w:rsidRPr="0D42A88F">
              <w:rPr>
                <w:b/>
                <w:bCs/>
              </w:rPr>
              <w:t>Antwoord</w:t>
            </w:r>
            <w:r>
              <w:t>:</w:t>
            </w:r>
          </w:p>
          <w:p w:rsidRPr="00BC4A25" w:rsidR="0D42A88F" w:rsidP="00B12C07" w:rsidRDefault="0D42A88F" w14:paraId="0DC2F476" w14:textId="3D6597E9">
            <w:pPr>
              <w:pStyle w:val="NoSpacing"/>
              <w:rPr>
                <w:b/>
                <w:bCs/>
              </w:rPr>
            </w:pPr>
            <w:r w:rsidRPr="00BC4A25">
              <w:rPr>
                <w:b/>
                <w:bCs/>
              </w:rPr>
              <w:t>De stand van</w:t>
            </w:r>
            <w:r w:rsidRPr="00BC4A25" w:rsidR="00762892">
              <w:rPr>
                <w:b/>
                <w:bCs/>
              </w:rPr>
              <w:t xml:space="preserve"> de</w:t>
            </w:r>
            <w:r w:rsidRPr="00BC4A25">
              <w:rPr>
                <w:b/>
                <w:bCs/>
              </w:rPr>
              <w:t xml:space="preserve"> verplichtingen </w:t>
            </w:r>
            <w:r w:rsidRPr="00BC4A25" w:rsidR="00762892">
              <w:rPr>
                <w:b/>
                <w:bCs/>
              </w:rPr>
              <w:t>in</w:t>
            </w:r>
            <w:r w:rsidRPr="00BC4A25">
              <w:rPr>
                <w:b/>
                <w:bCs/>
              </w:rPr>
              <w:t xml:space="preserve"> van de eerste suppletoire begroting (incl. amendementen en </w:t>
            </w:r>
            <w:proofErr w:type="spellStart"/>
            <w:r w:rsidRPr="00BC4A25">
              <w:rPr>
                <w:b/>
                <w:bCs/>
              </w:rPr>
              <w:t>NvW</w:t>
            </w:r>
            <w:proofErr w:type="spellEnd"/>
            <w:r w:rsidRPr="00BC4A25">
              <w:rPr>
                <w:b/>
                <w:bCs/>
              </w:rPr>
              <w:t xml:space="preserve">) was EUR 365.803.000 en na de mutaties </w:t>
            </w:r>
            <w:r w:rsidRPr="00BC4A25" w:rsidR="00762892">
              <w:rPr>
                <w:b/>
                <w:bCs/>
              </w:rPr>
              <w:t xml:space="preserve">in de </w:t>
            </w:r>
            <w:r w:rsidRPr="00BC4A25">
              <w:rPr>
                <w:b/>
                <w:bCs/>
              </w:rPr>
              <w:t xml:space="preserve">suppletoire begroting september is deze EUR 333.827.000. </w:t>
            </w:r>
          </w:p>
          <w:p w:rsidR="00683DE6" w:rsidP="00B12C07" w:rsidRDefault="0D42A88F" w14:paraId="728CD4C4" w14:textId="77777777">
            <w:pPr>
              <w:pStyle w:val="NoSpacing"/>
              <w:rPr>
                <w:b/>
                <w:bCs/>
              </w:rPr>
            </w:pPr>
            <w:r w:rsidRPr="00BC4A25">
              <w:rPr>
                <w:b/>
                <w:bCs/>
              </w:rPr>
              <w:t xml:space="preserve">De stand van </w:t>
            </w:r>
            <w:r w:rsidRPr="00BC4A25" w:rsidR="00762892">
              <w:rPr>
                <w:b/>
                <w:bCs/>
              </w:rPr>
              <w:t xml:space="preserve">de </w:t>
            </w:r>
            <w:r w:rsidRPr="00BC4A25">
              <w:rPr>
                <w:b/>
                <w:bCs/>
              </w:rPr>
              <w:t xml:space="preserve">uitgaven </w:t>
            </w:r>
            <w:r w:rsidRPr="00BC4A25" w:rsidR="00762892">
              <w:rPr>
                <w:b/>
                <w:bCs/>
              </w:rPr>
              <w:t>in</w:t>
            </w:r>
            <w:r w:rsidRPr="00BC4A25">
              <w:rPr>
                <w:b/>
                <w:bCs/>
              </w:rPr>
              <w:t xml:space="preserve"> de eerste suppletoire begroting (incl. amendementen en </w:t>
            </w:r>
            <w:proofErr w:type="spellStart"/>
            <w:r w:rsidRPr="00BC4A25">
              <w:rPr>
                <w:b/>
                <w:bCs/>
              </w:rPr>
              <w:t>NvW</w:t>
            </w:r>
            <w:proofErr w:type="spellEnd"/>
            <w:r w:rsidRPr="00BC4A25">
              <w:rPr>
                <w:b/>
                <w:bCs/>
              </w:rPr>
              <w:t xml:space="preserve">) was EUR 404.148.000 en na de mutaties </w:t>
            </w:r>
            <w:r w:rsidRPr="00BC4A25" w:rsidR="00762892">
              <w:rPr>
                <w:b/>
                <w:bCs/>
              </w:rPr>
              <w:t xml:space="preserve">in de </w:t>
            </w:r>
            <w:r w:rsidRPr="00BC4A25">
              <w:rPr>
                <w:b/>
                <w:bCs/>
              </w:rPr>
              <w:t xml:space="preserve">suppletoire begroting september is deze EUR 372.747.000. </w:t>
            </w:r>
          </w:p>
          <w:p w:rsidRPr="00BC4A25" w:rsidR="00BC4A25" w:rsidP="00B12C07" w:rsidRDefault="00BC4A25" w14:paraId="3A2D92C7" w14:textId="44D9A23F">
            <w:pPr>
              <w:pStyle w:val="NoSpacing"/>
              <w:rPr>
                <w:b/>
                <w:bCs/>
              </w:rPr>
            </w:pPr>
          </w:p>
        </w:tc>
        <w:tc>
          <w:tcPr>
            <w:tcW w:w="1129" w:type="dxa"/>
          </w:tcPr>
          <w:p w:rsidR="00D32CA8" w:rsidRDefault="00D32CA8" w14:paraId="0164B683" w14:textId="451150CB">
            <w:pPr>
              <w:jc w:val="right"/>
            </w:pPr>
          </w:p>
        </w:tc>
        <w:tc>
          <w:tcPr>
            <w:tcW w:w="713" w:type="dxa"/>
          </w:tcPr>
          <w:p w:rsidR="00D32CA8" w:rsidRDefault="00D32CA8" w14:paraId="0FBA6761" w14:textId="77777777">
            <w:pPr>
              <w:jc w:val="right"/>
            </w:pPr>
            <w:r>
              <w:t>7</w:t>
            </w:r>
          </w:p>
        </w:tc>
        <w:tc>
          <w:tcPr>
            <w:tcW w:w="567" w:type="dxa"/>
          </w:tcPr>
          <w:p w:rsidR="00D32CA8" w:rsidRDefault="00D32CA8" w14:paraId="7D1CB905" w14:textId="77777777">
            <w:pPr>
              <w:jc w:val="right"/>
            </w:pPr>
            <w:r>
              <w:t xml:space="preserve">8 </w:t>
            </w:r>
          </w:p>
        </w:tc>
      </w:tr>
      <w:tr w:rsidR="00D32CA8" w:rsidTr="00BC4A25" w14:paraId="143B0DBA" w14:textId="6F0FEF81">
        <w:tc>
          <w:tcPr>
            <w:tcW w:w="567" w:type="dxa"/>
          </w:tcPr>
          <w:p w:rsidR="00D32CA8" w:rsidRDefault="00D32CA8" w14:paraId="70F21F8F" w14:textId="77777777">
            <w:r>
              <w:t>6</w:t>
            </w:r>
          </w:p>
        </w:tc>
        <w:tc>
          <w:tcPr>
            <w:tcW w:w="6521" w:type="dxa"/>
          </w:tcPr>
          <w:p w:rsidR="00BC4A25" w:rsidP="00B12C07" w:rsidRDefault="00D32CA8" w14:paraId="198A641D" w14:textId="2454EAAE">
            <w:pPr>
              <w:pStyle w:val="NoSpacing"/>
            </w:pPr>
            <w:r>
              <w:t>Hoeveel middelen zijn in 2025 beschikbaar voor accountability, humanitaire ontmijning, het NAVO-Ukraine Comprehensive Assistance Package Trust Fund en cyberweerbaarheid?</w:t>
            </w:r>
          </w:p>
          <w:p w:rsidR="005E7C56" w:rsidP="00B12C07" w:rsidRDefault="005E7C56" w14:paraId="7BE6C174" w14:textId="77777777">
            <w:pPr>
              <w:pStyle w:val="NoSpacing"/>
            </w:pPr>
          </w:p>
          <w:p w:rsidR="00683DE6" w:rsidP="00B12C07" w:rsidRDefault="00683DE6" w14:paraId="6F74F996" w14:textId="77777777">
            <w:pPr>
              <w:pStyle w:val="NoSpacing"/>
            </w:pPr>
            <w:r w:rsidRPr="00A524B3">
              <w:rPr>
                <w:b/>
                <w:bCs/>
              </w:rPr>
              <w:t>Antwoord</w:t>
            </w:r>
            <w:r>
              <w:t>:</w:t>
            </w:r>
          </w:p>
          <w:p w:rsidR="00683DE6" w:rsidP="00B12C07" w:rsidRDefault="01E01D85" w14:paraId="0A89F186" w14:textId="77777777">
            <w:pPr>
              <w:pStyle w:val="NoSpacing"/>
              <w:rPr>
                <w:b/>
                <w:bCs/>
              </w:rPr>
            </w:pPr>
            <w:r w:rsidRPr="00BC4A25">
              <w:rPr>
                <w:b/>
                <w:bCs/>
              </w:rPr>
              <w:t xml:space="preserve">Op artikelonderdeel 2.6 Oekraïne is er in 2025 EUR </w:t>
            </w:r>
            <w:r w:rsidRPr="00BC4A25" w:rsidR="2E0BD6AA">
              <w:rPr>
                <w:b/>
                <w:bCs/>
              </w:rPr>
              <w:t>11</w:t>
            </w:r>
            <w:r w:rsidRPr="00BC4A25" w:rsidR="003F1BCA">
              <w:rPr>
                <w:b/>
                <w:bCs/>
              </w:rPr>
              <w:t>,5 miljoen</w:t>
            </w:r>
            <w:r w:rsidRPr="00BC4A25">
              <w:rPr>
                <w:b/>
                <w:bCs/>
              </w:rPr>
              <w:t xml:space="preserve"> beschikbaar </w:t>
            </w:r>
            <w:r w:rsidRPr="00BC4A25" w:rsidR="003F1BCA">
              <w:rPr>
                <w:b/>
                <w:bCs/>
              </w:rPr>
              <w:t>in</w:t>
            </w:r>
            <w:r w:rsidRPr="00BC4A25">
              <w:rPr>
                <w:b/>
                <w:bCs/>
              </w:rPr>
              <w:t xml:space="preserve"> de suppletoire begroting september voor accountability Oekraïne. </w:t>
            </w:r>
            <w:r w:rsidRPr="00BC4A25" w:rsidR="6658AB62">
              <w:rPr>
                <w:b/>
                <w:bCs/>
              </w:rPr>
              <w:t>Voor humanitaire ontmijning is dit EUR 10 miljoen, voor UCAP is dit EUR 75 miljoen en voor het versterken van de cyberweerbaarheid is er EUR 10 miljoen beschikbaar.</w:t>
            </w:r>
          </w:p>
          <w:p w:rsidRPr="00BC4A25" w:rsidR="00BC4A25" w:rsidP="00B12C07" w:rsidRDefault="00BC4A25" w14:paraId="13B1A70A" w14:textId="3139E3BB">
            <w:pPr>
              <w:pStyle w:val="NoSpacing"/>
              <w:rPr>
                <w:b/>
                <w:bCs/>
              </w:rPr>
            </w:pPr>
          </w:p>
        </w:tc>
        <w:tc>
          <w:tcPr>
            <w:tcW w:w="1129" w:type="dxa"/>
          </w:tcPr>
          <w:p w:rsidR="00D32CA8" w:rsidRDefault="00D32CA8" w14:paraId="2161E84D" w14:textId="30D9A27D">
            <w:pPr>
              <w:jc w:val="right"/>
            </w:pPr>
          </w:p>
        </w:tc>
        <w:tc>
          <w:tcPr>
            <w:tcW w:w="713" w:type="dxa"/>
          </w:tcPr>
          <w:p w:rsidR="00D32CA8" w:rsidRDefault="00D32CA8" w14:paraId="44199841" w14:textId="77777777">
            <w:pPr>
              <w:jc w:val="right"/>
            </w:pPr>
            <w:r>
              <w:t>8</w:t>
            </w:r>
          </w:p>
        </w:tc>
        <w:tc>
          <w:tcPr>
            <w:tcW w:w="567" w:type="dxa"/>
          </w:tcPr>
          <w:p w:rsidR="00D32CA8" w:rsidRDefault="00D32CA8" w14:paraId="24F2DDFE" w14:textId="77777777">
            <w:pPr>
              <w:jc w:val="right"/>
            </w:pPr>
            <w:r>
              <w:t xml:space="preserve"> </w:t>
            </w:r>
          </w:p>
        </w:tc>
      </w:tr>
      <w:tr w:rsidR="00D32CA8" w:rsidTr="00BC4A25" w14:paraId="7FC10900" w14:textId="5E723DDC">
        <w:tc>
          <w:tcPr>
            <w:tcW w:w="567" w:type="dxa"/>
          </w:tcPr>
          <w:p w:rsidR="00D32CA8" w:rsidRDefault="00D32CA8" w14:paraId="388A51BE" w14:textId="77777777">
            <w:r>
              <w:t>7</w:t>
            </w:r>
          </w:p>
        </w:tc>
        <w:tc>
          <w:tcPr>
            <w:tcW w:w="6521" w:type="dxa"/>
          </w:tcPr>
          <w:p w:rsidR="00BC4A25" w:rsidP="00F0794A" w:rsidRDefault="00D32CA8" w14:paraId="09BAAC5A" w14:textId="2426C2C7">
            <w:pPr>
              <w:pStyle w:val="NoSpacing"/>
            </w:pPr>
            <w:r>
              <w:t>Wat is de reden van de kasschuif van het budget voor de verbouwing van het agressietribunaal voor Oekraïne van 2025 en 2026 naar 2027?</w:t>
            </w:r>
          </w:p>
          <w:p w:rsidRPr="00BC4A25" w:rsidR="00AC74F7" w:rsidP="00F0794A" w:rsidRDefault="00AC74F7" w14:paraId="2F93284A" w14:textId="77777777">
            <w:pPr>
              <w:pStyle w:val="NoSpacing"/>
            </w:pPr>
          </w:p>
          <w:p w:rsidR="00683DE6" w:rsidP="00F0794A" w:rsidRDefault="00683DE6" w14:paraId="6FC28C8F" w14:textId="283B65BC">
            <w:pPr>
              <w:pStyle w:val="NoSpacing"/>
            </w:pPr>
            <w:r w:rsidRPr="00A524B3">
              <w:rPr>
                <w:b/>
                <w:bCs/>
              </w:rPr>
              <w:t>Antwoord</w:t>
            </w:r>
            <w:r>
              <w:t>:</w:t>
            </w:r>
          </w:p>
          <w:p w:rsidRPr="00FD228C" w:rsidR="00FD228C" w:rsidP="00F0794A" w:rsidRDefault="00BE13CA" w14:paraId="27F7C0FD" w14:textId="77777777">
            <w:pPr>
              <w:pStyle w:val="NoSpacing"/>
              <w:rPr>
                <w:b/>
                <w:bCs/>
              </w:rPr>
            </w:pPr>
            <w:r w:rsidRPr="00BC4A25">
              <w:rPr>
                <w:b/>
                <w:bCs/>
              </w:rPr>
              <w:t>Het Speciaal Tribunaal voor het Misdrijf Agressie tegen Oekraïne (het ‘agressietribunaal’) is opgericht bij bilateraal verdrag tussen Oekraïne en</w:t>
            </w:r>
            <w:r w:rsidRPr="00FD228C">
              <w:rPr>
                <w:b/>
              </w:rPr>
              <w:t xml:space="preserve"> de </w:t>
            </w:r>
            <w:r w:rsidRPr="00BC4A25">
              <w:rPr>
                <w:b/>
                <w:bCs/>
              </w:rPr>
              <w:t xml:space="preserve">Raad van Europa. Dit oprichtingsverdrag werd op 25 juni jl. in Straatsburg ondertekend door de Oekraïense president Zelenskyy en de secretaris-generaal van de Raad van Europa. Hier is ruim twee jaar van intensief onderhandelen aan vooraf gegaan in een zogeheten kerngroep van 36 landen. In 2023 heeft het kabinet een principebesluit genomen om gastlandschap voor het agressietribunaal onder voorwaarden aan te bieden. </w:t>
            </w:r>
            <w:r w:rsidRPr="00FD228C" w:rsidR="00FD228C">
              <w:rPr>
                <w:b/>
                <w:bCs/>
              </w:rPr>
              <w:t xml:space="preserve">Nederland heeft, op basis van een principebesluit van de ministerraad van 17 februari 2023, aangeboden dat het Agressietribunaal in Nederland gevestigd kan worden indien het aan de volgende voorwaarden voldoet: </w:t>
            </w:r>
          </w:p>
          <w:p w:rsidRPr="00FD228C" w:rsidR="00FD228C" w:rsidP="00642E61" w:rsidRDefault="00FD228C" w14:paraId="66B36062" w14:textId="1254EFEC">
            <w:pPr>
              <w:pStyle w:val="NoSpacing"/>
              <w:numPr>
                <w:ilvl w:val="0"/>
                <w:numId w:val="5"/>
              </w:numPr>
              <w:rPr>
                <w:b/>
                <w:bCs/>
              </w:rPr>
            </w:pPr>
            <w:r w:rsidRPr="00FD228C">
              <w:rPr>
                <w:b/>
                <w:bCs/>
              </w:rPr>
              <w:t>brede internationale politieke en financiële steun voor het Tribunaal;</w:t>
            </w:r>
          </w:p>
          <w:p w:rsidRPr="00FD228C" w:rsidR="00FD228C" w:rsidP="00642E61" w:rsidRDefault="00FD228C" w14:paraId="0A856B78" w14:textId="071537B2">
            <w:pPr>
              <w:pStyle w:val="NoSpacing"/>
              <w:numPr>
                <w:ilvl w:val="0"/>
                <w:numId w:val="5"/>
              </w:numPr>
              <w:rPr>
                <w:b/>
                <w:bCs/>
              </w:rPr>
            </w:pPr>
            <w:r w:rsidRPr="00FD228C">
              <w:rPr>
                <w:b/>
                <w:bCs/>
              </w:rPr>
              <w:t>geen ondermijning van het mandaat en de werkzaamheden van het Internationaal Strafhof; en</w:t>
            </w:r>
          </w:p>
          <w:p w:rsidRPr="00FD228C" w:rsidR="00FD228C" w:rsidP="00642E61" w:rsidRDefault="00FD228C" w14:paraId="3B78823B" w14:textId="54066BFF">
            <w:pPr>
              <w:pStyle w:val="NoSpacing"/>
              <w:numPr>
                <w:ilvl w:val="0"/>
                <w:numId w:val="5"/>
              </w:numPr>
              <w:rPr>
                <w:b/>
                <w:bCs/>
              </w:rPr>
            </w:pPr>
            <w:r w:rsidRPr="00FD228C">
              <w:rPr>
                <w:b/>
                <w:bCs/>
              </w:rPr>
              <w:t>voldoende capaciteit voor Nederland als gastland, waaronder voldoende financiële dekking en steun van andere staten, om het tribunaal te huisvesten en effectief te laten functioneren.</w:t>
            </w:r>
          </w:p>
          <w:p w:rsidRPr="00FD228C" w:rsidR="00FD228C" w:rsidP="00F0794A" w:rsidRDefault="00FD228C" w14:paraId="1928EEA6" w14:textId="77777777">
            <w:pPr>
              <w:pStyle w:val="NoSpacing"/>
              <w:rPr>
                <w:b/>
                <w:bCs/>
              </w:rPr>
            </w:pPr>
          </w:p>
          <w:p w:rsidR="00683DE6" w:rsidP="00F0794A" w:rsidRDefault="00BE13CA" w14:paraId="4DB612C8" w14:textId="1373E547">
            <w:pPr>
              <w:pStyle w:val="NoSpacing"/>
              <w:rPr>
                <w:b/>
              </w:rPr>
            </w:pPr>
            <w:r w:rsidRPr="00BC4A25">
              <w:rPr>
                <w:b/>
                <w:bCs/>
              </w:rPr>
              <w:t xml:space="preserve">Nederland is momenteel een voorstel wat betreft de vorm van dit gastlandschap aan het formuleren. Om die reden is het budget ten behoeve van huisvesting van het agressietribunaal doorgeschoven. </w:t>
            </w:r>
            <w:r w:rsidR="00971AF2">
              <w:rPr>
                <w:b/>
                <w:bCs/>
              </w:rPr>
              <w:t>Pas a</w:t>
            </w:r>
            <w:r w:rsidRPr="00BC4A25">
              <w:rPr>
                <w:b/>
                <w:bCs/>
              </w:rPr>
              <w:t xml:space="preserve">ls </w:t>
            </w:r>
            <w:r w:rsidRPr="00BC4A25">
              <w:rPr>
                <w:b/>
                <w:bCs/>
              </w:rPr>
              <w:lastRenderedPageBreak/>
              <w:t>er definitief uitsluitsel is over de vorm van dit gastlandschap en het Nederlands gastlandschap formeel is bevestigd door de Ministerraad, kan er overgegaan worden tot besteding van middelen ten behoeve van huisvesting.</w:t>
            </w:r>
            <w:r w:rsidRPr="00FD228C">
              <w:rPr>
                <w:b/>
              </w:rPr>
              <w:t xml:space="preserve"> </w:t>
            </w:r>
          </w:p>
          <w:p w:rsidRPr="00FD228C" w:rsidR="00BC4A25" w:rsidP="00F0794A" w:rsidRDefault="00BC4A25" w14:paraId="2D6EB034" w14:textId="0A27D7A4">
            <w:pPr>
              <w:pStyle w:val="NoSpacing"/>
              <w:rPr>
                <w:b/>
              </w:rPr>
            </w:pPr>
          </w:p>
        </w:tc>
        <w:tc>
          <w:tcPr>
            <w:tcW w:w="1129" w:type="dxa"/>
          </w:tcPr>
          <w:p w:rsidR="00D32CA8" w:rsidRDefault="00D32CA8" w14:paraId="0A6A8DFD" w14:textId="1D249E1A">
            <w:pPr>
              <w:jc w:val="right"/>
            </w:pPr>
          </w:p>
        </w:tc>
        <w:tc>
          <w:tcPr>
            <w:tcW w:w="713" w:type="dxa"/>
          </w:tcPr>
          <w:p w:rsidR="00D32CA8" w:rsidRDefault="00D32CA8" w14:paraId="34D5E73F" w14:textId="77777777">
            <w:pPr>
              <w:jc w:val="right"/>
            </w:pPr>
            <w:r>
              <w:t>8</w:t>
            </w:r>
          </w:p>
        </w:tc>
        <w:tc>
          <w:tcPr>
            <w:tcW w:w="567" w:type="dxa"/>
          </w:tcPr>
          <w:p w:rsidR="00D32CA8" w:rsidRDefault="00D32CA8" w14:paraId="0D15288B" w14:textId="77777777">
            <w:pPr>
              <w:jc w:val="right"/>
            </w:pPr>
            <w:r>
              <w:t xml:space="preserve"> </w:t>
            </w:r>
          </w:p>
        </w:tc>
      </w:tr>
      <w:tr w:rsidR="00D32CA8" w:rsidTr="00BC4A25" w14:paraId="0B1BF0B8" w14:textId="3F33072E">
        <w:tc>
          <w:tcPr>
            <w:tcW w:w="567" w:type="dxa"/>
          </w:tcPr>
          <w:p w:rsidR="00D32CA8" w:rsidRDefault="00D32CA8" w14:paraId="2B834128" w14:textId="77777777">
            <w:r>
              <w:t>8</w:t>
            </w:r>
          </w:p>
        </w:tc>
        <w:tc>
          <w:tcPr>
            <w:tcW w:w="6521" w:type="dxa"/>
          </w:tcPr>
          <w:p w:rsidR="00BC4A25" w:rsidP="00F0794A" w:rsidRDefault="00D32CA8" w14:paraId="4AE7368C" w14:textId="7EF7D7E1">
            <w:pPr>
              <w:pStyle w:val="NoSpacing"/>
            </w:pPr>
            <w:r>
              <w:t>Hoeveel middelen zijn in 2025 beschikbaar voor het Shiraka-programma en voor welke landen of regio’s wordt dit ingezet?</w:t>
            </w:r>
          </w:p>
          <w:p w:rsidR="00B12C07" w:rsidP="00F0794A" w:rsidRDefault="00B12C07" w14:paraId="4EA53024" w14:textId="77777777">
            <w:pPr>
              <w:pStyle w:val="NoSpacing"/>
            </w:pPr>
          </w:p>
          <w:p w:rsidR="00BC4A25" w:rsidP="00F0794A" w:rsidRDefault="00683DE6" w14:paraId="4AF4904F" w14:textId="77777777">
            <w:pPr>
              <w:pStyle w:val="NoSpacing"/>
              <w:rPr>
                <w:b/>
                <w:bCs/>
              </w:rPr>
            </w:pPr>
            <w:r w:rsidRPr="00BC4A25">
              <w:rPr>
                <w:b/>
                <w:bCs/>
              </w:rPr>
              <w:t>Antwoord:</w:t>
            </w:r>
            <w:r w:rsidRPr="00BC4A25" w:rsidR="007533AB">
              <w:rPr>
                <w:b/>
                <w:bCs/>
              </w:rPr>
              <w:t xml:space="preserve"> </w:t>
            </w:r>
          </w:p>
          <w:p w:rsidR="00683DE6" w:rsidP="00F0794A" w:rsidRDefault="007533AB" w14:paraId="7B47B482" w14:textId="77777777">
            <w:pPr>
              <w:pStyle w:val="NoSpacing"/>
              <w:rPr>
                <w:b/>
                <w:bCs/>
              </w:rPr>
            </w:pPr>
            <w:r w:rsidRPr="00BC4A25">
              <w:rPr>
                <w:b/>
                <w:bCs/>
              </w:rPr>
              <w:t xml:space="preserve">Het Shiraka-programma heeft in 2025 een budget van EUR 16.8 miljoen en dit is bestemd voor </w:t>
            </w:r>
            <w:r w:rsidRPr="00BC4A25" w:rsidR="00CB4EE2">
              <w:rPr>
                <w:b/>
                <w:bCs/>
              </w:rPr>
              <w:t xml:space="preserve">projecten in </w:t>
            </w:r>
            <w:r w:rsidRPr="00BC4A25">
              <w:rPr>
                <w:b/>
                <w:bCs/>
              </w:rPr>
              <w:t>landen in Noord-Afrika en het Midden-Oosten.</w:t>
            </w:r>
          </w:p>
          <w:p w:rsidRPr="00BC4A25" w:rsidR="00BC4A25" w:rsidP="00F0794A" w:rsidRDefault="00BC4A25" w14:paraId="6567749E" w14:textId="5CFF4BF3">
            <w:pPr>
              <w:pStyle w:val="NoSpacing"/>
              <w:rPr>
                <w:b/>
                <w:bCs/>
              </w:rPr>
            </w:pPr>
          </w:p>
        </w:tc>
        <w:tc>
          <w:tcPr>
            <w:tcW w:w="1129" w:type="dxa"/>
          </w:tcPr>
          <w:p w:rsidR="00D32CA8" w:rsidRDefault="00D32CA8" w14:paraId="4CF1D07A" w14:textId="6EA4CFC3">
            <w:pPr>
              <w:jc w:val="right"/>
            </w:pPr>
          </w:p>
        </w:tc>
        <w:tc>
          <w:tcPr>
            <w:tcW w:w="713" w:type="dxa"/>
          </w:tcPr>
          <w:p w:rsidR="00D32CA8" w:rsidRDefault="00D32CA8" w14:paraId="73D7B48E" w14:textId="77777777">
            <w:pPr>
              <w:jc w:val="right"/>
            </w:pPr>
            <w:r>
              <w:t>8</w:t>
            </w:r>
          </w:p>
        </w:tc>
        <w:tc>
          <w:tcPr>
            <w:tcW w:w="567" w:type="dxa"/>
          </w:tcPr>
          <w:p w:rsidR="00D32CA8" w:rsidRDefault="00D32CA8" w14:paraId="35369C6E" w14:textId="77777777">
            <w:pPr>
              <w:jc w:val="right"/>
            </w:pPr>
            <w:r>
              <w:t xml:space="preserve"> </w:t>
            </w:r>
          </w:p>
        </w:tc>
      </w:tr>
      <w:tr w:rsidR="00D32CA8" w:rsidTr="00BC4A25" w14:paraId="300BA20D" w14:textId="1CDDCE74">
        <w:tc>
          <w:tcPr>
            <w:tcW w:w="567" w:type="dxa"/>
          </w:tcPr>
          <w:p w:rsidR="00D32CA8" w:rsidRDefault="00D32CA8" w14:paraId="49EE84A1" w14:textId="77777777">
            <w:r>
              <w:t>9</w:t>
            </w:r>
          </w:p>
        </w:tc>
        <w:tc>
          <w:tcPr>
            <w:tcW w:w="6521" w:type="dxa"/>
          </w:tcPr>
          <w:p w:rsidR="00BC4A25" w:rsidP="00B12C07" w:rsidRDefault="00D32CA8" w14:paraId="5CE4373C" w14:textId="64E4B955">
            <w:pPr>
              <w:pStyle w:val="NoSpacing"/>
            </w:pPr>
            <w:r>
              <w:t>Hoe hoog is de totale Nederlandse bijdrage aan de Europese Vredesfaciliteit in 2025?</w:t>
            </w:r>
          </w:p>
          <w:p w:rsidRPr="00BC4A25" w:rsidR="00B12C07" w:rsidP="00B12C07" w:rsidRDefault="00B12C07" w14:paraId="6E91FEC8" w14:textId="77777777">
            <w:pPr>
              <w:pStyle w:val="NoSpacing"/>
            </w:pPr>
          </w:p>
          <w:p w:rsidR="00683DE6" w:rsidP="00B12C07" w:rsidRDefault="00683DE6" w14:paraId="4CDD139B" w14:textId="41C926D9">
            <w:pPr>
              <w:pStyle w:val="NoSpacing"/>
            </w:pPr>
            <w:r w:rsidRPr="00A524B3">
              <w:rPr>
                <w:b/>
                <w:bCs/>
              </w:rPr>
              <w:t>Antwoord</w:t>
            </w:r>
            <w:r>
              <w:t>:</w:t>
            </w:r>
          </w:p>
          <w:p w:rsidR="00683DE6" w:rsidP="00B12C07" w:rsidRDefault="00F8009A" w14:paraId="5F37B198" w14:textId="77777777">
            <w:pPr>
              <w:pStyle w:val="NoSpacing"/>
              <w:rPr>
                <w:b/>
                <w:bCs/>
              </w:rPr>
            </w:pPr>
            <w:r w:rsidRPr="00BC4A25">
              <w:rPr>
                <w:b/>
                <w:bCs/>
              </w:rPr>
              <w:t xml:space="preserve">Voor 2025 is op de begroting van Buitenlandse Zaken EUR 267 miljoen gereserveerd voor de Europese Vredesfaciliteit (EPF), dit betreffen uitgaven voor de pijler voor EPF-steunmaatregelen. Daarnaast is op de begroting van Defensie in 2025 EUR 9 miljoen gereserveerd voor de pijler operaties. De daadwerkelijke betaling aan de EPF vindt plaats op basis van de afroepen die Nederland vanuit de EU ontvangt, gelimiteerd door een jaarplafond op basis waarvan lidstaten hun jaarlijkse EPF-reservering begroten. Over de realisatie van uitgaven aan de EPF wordt uw Kamer via de jaarverslagen van Buitenlandse Zaken en Defensie geïnformeerd. </w:t>
            </w:r>
          </w:p>
          <w:p w:rsidRPr="00BC4A25" w:rsidR="00BC4A25" w:rsidP="00B12C07" w:rsidRDefault="00BC4A25" w14:paraId="5E6300C2" w14:textId="0B643280">
            <w:pPr>
              <w:pStyle w:val="NoSpacing"/>
              <w:rPr>
                <w:b/>
                <w:bCs/>
              </w:rPr>
            </w:pPr>
          </w:p>
        </w:tc>
        <w:tc>
          <w:tcPr>
            <w:tcW w:w="1129" w:type="dxa"/>
          </w:tcPr>
          <w:p w:rsidRPr="005E7C56" w:rsidR="00D32CA8" w:rsidRDefault="00D32CA8" w14:paraId="1720FE60" w14:textId="56A27A0C">
            <w:pPr>
              <w:jc w:val="right"/>
            </w:pPr>
          </w:p>
        </w:tc>
        <w:tc>
          <w:tcPr>
            <w:tcW w:w="713" w:type="dxa"/>
          </w:tcPr>
          <w:p w:rsidR="00D32CA8" w:rsidRDefault="00D32CA8" w14:paraId="67CB71EE" w14:textId="77777777">
            <w:pPr>
              <w:jc w:val="right"/>
            </w:pPr>
            <w:r>
              <w:t>9</w:t>
            </w:r>
          </w:p>
        </w:tc>
        <w:tc>
          <w:tcPr>
            <w:tcW w:w="567" w:type="dxa"/>
          </w:tcPr>
          <w:p w:rsidR="00D32CA8" w:rsidRDefault="00D32CA8" w14:paraId="02DE9520" w14:textId="77777777">
            <w:pPr>
              <w:jc w:val="right"/>
            </w:pPr>
            <w:r>
              <w:t xml:space="preserve"> </w:t>
            </w:r>
          </w:p>
        </w:tc>
      </w:tr>
      <w:tr w:rsidR="00D32CA8" w:rsidTr="00BC4A25" w14:paraId="278A9529" w14:textId="64B6C8F7">
        <w:tc>
          <w:tcPr>
            <w:tcW w:w="567" w:type="dxa"/>
          </w:tcPr>
          <w:p w:rsidR="00D32CA8" w:rsidRDefault="00D32CA8" w14:paraId="495493C2" w14:textId="77777777">
            <w:r>
              <w:t>10</w:t>
            </w:r>
          </w:p>
        </w:tc>
        <w:tc>
          <w:tcPr>
            <w:tcW w:w="6521" w:type="dxa"/>
          </w:tcPr>
          <w:p w:rsidR="00BC4A25" w:rsidP="00B12C07" w:rsidRDefault="00D32CA8" w14:paraId="1C16098C" w14:textId="1AFC6480">
            <w:pPr>
              <w:pStyle w:val="NoSpacing"/>
            </w:pPr>
            <w:r>
              <w:t>Hoeveel bedragen de verplichtingen en uitgaven bij artikel 3 Effectieve Europese samenwerking en welk deel daarvan heeft betrekking op de afdrachten aan de Europese Unie?</w:t>
            </w:r>
          </w:p>
          <w:p w:rsidR="00B12C07" w:rsidP="00B12C07" w:rsidRDefault="00B12C07" w14:paraId="26293D61" w14:textId="77777777">
            <w:pPr>
              <w:pStyle w:val="NoSpacing"/>
            </w:pPr>
          </w:p>
          <w:p w:rsidR="00683DE6" w:rsidP="00B12C07" w:rsidRDefault="00683DE6" w14:paraId="7DBCF1EE" w14:textId="77777777">
            <w:pPr>
              <w:pStyle w:val="NoSpacing"/>
            </w:pPr>
            <w:r w:rsidRPr="00A524B3">
              <w:rPr>
                <w:b/>
                <w:bCs/>
              </w:rPr>
              <w:t>Antwoord</w:t>
            </w:r>
            <w:r>
              <w:t>:</w:t>
            </w:r>
          </w:p>
          <w:p w:rsidRPr="00BC4A25" w:rsidR="00683DE6" w:rsidP="00B12C07" w:rsidRDefault="00F92FF8" w14:paraId="549A27C7" w14:textId="75EDB57E">
            <w:pPr>
              <w:pStyle w:val="NoSpacing"/>
              <w:rPr>
                <w:b/>
                <w:bCs/>
              </w:rPr>
            </w:pPr>
            <w:r w:rsidRPr="00BC4A25">
              <w:rPr>
                <w:b/>
                <w:bCs/>
              </w:rPr>
              <w:t xml:space="preserve">Het totale bedrag aan verplichtingen onder artikel 3 Effectieve Europese Samenwerking na de mutaties </w:t>
            </w:r>
            <w:r w:rsidRPr="00BC4A25" w:rsidR="00124ED5">
              <w:rPr>
                <w:b/>
                <w:bCs/>
              </w:rPr>
              <w:t xml:space="preserve">in </w:t>
            </w:r>
            <w:r w:rsidRPr="00BC4A25">
              <w:rPr>
                <w:b/>
                <w:bCs/>
              </w:rPr>
              <w:t>de suppletoire begroting september is EUR 11.492.265. Het totale bedrag aan uitgaven is EUR 11.763.695.</w:t>
            </w:r>
          </w:p>
          <w:p w:rsidR="00683DE6" w:rsidP="00B12C07" w:rsidRDefault="00F92FF8" w14:paraId="5710FC9D" w14:textId="77777777">
            <w:pPr>
              <w:pStyle w:val="NoSpacing"/>
              <w:rPr>
                <w:b/>
                <w:bCs/>
              </w:rPr>
            </w:pPr>
            <w:r w:rsidRPr="00BC4A25">
              <w:rPr>
                <w:b/>
                <w:bCs/>
              </w:rPr>
              <w:t xml:space="preserve">Daarvan is het totale bedrag aan afdrachten aan de Europese Unie </w:t>
            </w:r>
            <w:r w:rsidRPr="00BC4A25" w:rsidR="00124ED5">
              <w:rPr>
                <w:b/>
                <w:bCs/>
              </w:rPr>
              <w:t xml:space="preserve">incl. </w:t>
            </w:r>
            <w:r w:rsidRPr="00BC4A25">
              <w:rPr>
                <w:b/>
                <w:bCs/>
              </w:rPr>
              <w:t>mutaties EUR  6.744.332. U kunt deze bedragen terug vinden in tabel 5.</w:t>
            </w:r>
          </w:p>
          <w:p w:rsidRPr="00BC4A25" w:rsidR="00BC4A25" w:rsidP="00B12C07" w:rsidRDefault="00BC4A25" w14:paraId="4CB54B73" w14:textId="6BDB6218">
            <w:pPr>
              <w:pStyle w:val="NoSpacing"/>
              <w:rPr>
                <w:b/>
                <w:bCs/>
              </w:rPr>
            </w:pPr>
          </w:p>
        </w:tc>
        <w:tc>
          <w:tcPr>
            <w:tcW w:w="1129" w:type="dxa"/>
          </w:tcPr>
          <w:p w:rsidR="00D32CA8" w:rsidRDefault="00D32CA8" w14:paraId="621C49AD" w14:textId="6B8EA771">
            <w:pPr>
              <w:jc w:val="right"/>
            </w:pPr>
          </w:p>
        </w:tc>
        <w:tc>
          <w:tcPr>
            <w:tcW w:w="713" w:type="dxa"/>
          </w:tcPr>
          <w:p w:rsidR="00D32CA8" w:rsidRDefault="00D32CA8" w14:paraId="724355F3" w14:textId="77777777">
            <w:pPr>
              <w:jc w:val="right"/>
            </w:pPr>
            <w:r>
              <w:t>9</w:t>
            </w:r>
          </w:p>
        </w:tc>
        <w:tc>
          <w:tcPr>
            <w:tcW w:w="567" w:type="dxa"/>
          </w:tcPr>
          <w:p w:rsidR="00D32CA8" w:rsidRDefault="00D32CA8" w14:paraId="1C453EE5" w14:textId="77777777">
            <w:pPr>
              <w:jc w:val="right"/>
            </w:pPr>
            <w:r>
              <w:t xml:space="preserve">10 </w:t>
            </w:r>
          </w:p>
        </w:tc>
      </w:tr>
      <w:tr w:rsidR="00D32CA8" w:rsidTr="00BC4A25" w14:paraId="37387884" w14:textId="6909CBFC">
        <w:tc>
          <w:tcPr>
            <w:tcW w:w="567" w:type="dxa"/>
          </w:tcPr>
          <w:p w:rsidR="00D32CA8" w:rsidRDefault="00D32CA8" w14:paraId="0A8901B1" w14:textId="77777777">
            <w:r>
              <w:t>11</w:t>
            </w:r>
          </w:p>
        </w:tc>
        <w:tc>
          <w:tcPr>
            <w:tcW w:w="6521" w:type="dxa"/>
          </w:tcPr>
          <w:p w:rsidR="00BC4A25" w:rsidP="00B12C07" w:rsidRDefault="00D32CA8" w14:paraId="42860F54" w14:textId="0EA3E2D8">
            <w:pPr>
              <w:pStyle w:val="NoSpacing"/>
            </w:pPr>
            <w:r>
              <w:t>Hoeveel bedragen de Nederlandse BNI(Bruto Nationaal Inkomen)-afdracht, de BTW (Belasting Toegevoegde Waarde)-afdracht en de plastic-afdracht in 2025?</w:t>
            </w:r>
          </w:p>
          <w:p w:rsidR="00B12C07" w:rsidP="00B12C07" w:rsidRDefault="00B12C07" w14:paraId="5D74BDD2" w14:textId="77777777">
            <w:pPr>
              <w:pStyle w:val="NoSpacing"/>
            </w:pPr>
          </w:p>
          <w:p w:rsidR="00683DE6" w:rsidP="00B12C07" w:rsidRDefault="00683DE6" w14:paraId="3E811717" w14:textId="77777777">
            <w:pPr>
              <w:pStyle w:val="NoSpacing"/>
            </w:pPr>
            <w:r w:rsidRPr="00A524B3">
              <w:rPr>
                <w:b/>
                <w:bCs/>
              </w:rPr>
              <w:t>Antwoord</w:t>
            </w:r>
            <w:r>
              <w:t>:</w:t>
            </w:r>
          </w:p>
          <w:p w:rsidRPr="00BC4A25" w:rsidR="00683DE6" w:rsidP="00B12C07" w:rsidRDefault="00AD2203" w14:paraId="6658D26D" w14:textId="557948B6">
            <w:pPr>
              <w:pStyle w:val="NoSpacing"/>
              <w:rPr>
                <w:b/>
                <w:bCs/>
              </w:rPr>
            </w:pPr>
            <w:r w:rsidRPr="00BC4A25">
              <w:rPr>
                <w:b/>
                <w:bCs/>
              </w:rPr>
              <w:t xml:space="preserve">De Nederlandse BNI-afdracht bedraagt na mutaties in de suppletoire begroting september EUR 5.009.030. De </w:t>
            </w:r>
            <w:proofErr w:type="spellStart"/>
            <w:r w:rsidRPr="00BC4A25">
              <w:rPr>
                <w:b/>
                <w:bCs/>
              </w:rPr>
              <w:t>BTW-afdracht</w:t>
            </w:r>
            <w:proofErr w:type="spellEnd"/>
            <w:r w:rsidRPr="00BC4A25">
              <w:rPr>
                <w:b/>
                <w:bCs/>
              </w:rPr>
              <w:t xml:space="preserve"> bedraagt na mutaties in de suppletoire begroting september EUR 1.499.293. De plastic-grondslag bedraagt na mutaties in de suppletoire begroting september EUR 236.009. </w:t>
            </w:r>
            <w:r w:rsidRPr="00BC4A25" w:rsidR="00F92FF8">
              <w:rPr>
                <w:b/>
                <w:bCs/>
              </w:rPr>
              <w:t>U kunt deze bedragen terug vinden in tabel 5.</w:t>
            </w:r>
          </w:p>
          <w:p w:rsidR="00683DE6" w:rsidP="00B12C07" w:rsidRDefault="00683DE6" w14:paraId="451294D4" w14:textId="77777777">
            <w:pPr>
              <w:pStyle w:val="NoSpacing"/>
            </w:pPr>
          </w:p>
        </w:tc>
        <w:tc>
          <w:tcPr>
            <w:tcW w:w="1129" w:type="dxa"/>
          </w:tcPr>
          <w:p w:rsidR="00D32CA8" w:rsidRDefault="00D32CA8" w14:paraId="74E46553" w14:textId="2C06DA97">
            <w:pPr>
              <w:jc w:val="right"/>
            </w:pPr>
          </w:p>
        </w:tc>
        <w:tc>
          <w:tcPr>
            <w:tcW w:w="713" w:type="dxa"/>
          </w:tcPr>
          <w:p w:rsidR="00D32CA8" w:rsidRDefault="00D32CA8" w14:paraId="791018F6" w14:textId="77777777">
            <w:pPr>
              <w:jc w:val="right"/>
            </w:pPr>
            <w:r>
              <w:t>10</w:t>
            </w:r>
          </w:p>
        </w:tc>
        <w:tc>
          <w:tcPr>
            <w:tcW w:w="567" w:type="dxa"/>
          </w:tcPr>
          <w:p w:rsidR="00D32CA8" w:rsidRDefault="00D32CA8" w14:paraId="799A8049" w14:textId="77777777">
            <w:pPr>
              <w:jc w:val="right"/>
            </w:pPr>
            <w:r>
              <w:t xml:space="preserve"> </w:t>
            </w:r>
          </w:p>
        </w:tc>
      </w:tr>
      <w:tr w:rsidR="00D32CA8" w:rsidTr="00BC4A25" w14:paraId="30DDAD5C" w14:textId="55CD8064">
        <w:tc>
          <w:tcPr>
            <w:tcW w:w="567" w:type="dxa"/>
          </w:tcPr>
          <w:p w:rsidR="00D32CA8" w:rsidRDefault="00D32CA8" w14:paraId="0C742D82" w14:textId="77777777">
            <w:r>
              <w:t>12</w:t>
            </w:r>
          </w:p>
        </w:tc>
        <w:tc>
          <w:tcPr>
            <w:tcW w:w="6521" w:type="dxa"/>
          </w:tcPr>
          <w:p w:rsidRPr="00642E61" w:rsidR="00BC4A25" w:rsidP="00B12C07" w:rsidRDefault="00D32CA8" w14:paraId="0C51F0D1" w14:textId="1021F9F5">
            <w:pPr>
              <w:pStyle w:val="NoSpacing"/>
              <w:rPr>
                <w:b/>
                <w:bCs/>
              </w:rPr>
            </w:pPr>
            <w:r w:rsidRPr="00642E61">
              <w:rPr>
                <w:b/>
                <w:bCs/>
              </w:rPr>
              <w:t>Hoeveel bedragen de ontvangsten die Nederland in 2025 terugkrijgt als gevolg van de casus Lage Waarde Textiel en Schoenen?</w:t>
            </w:r>
          </w:p>
          <w:p w:rsidRPr="00642E61" w:rsidR="00B12C07" w:rsidP="00B12C07" w:rsidRDefault="00B12C07" w14:paraId="62E88B41" w14:textId="77777777">
            <w:pPr>
              <w:pStyle w:val="NoSpacing"/>
              <w:rPr>
                <w:b/>
                <w:bCs/>
              </w:rPr>
            </w:pPr>
          </w:p>
          <w:p w:rsidRPr="00642E61" w:rsidR="00683DE6" w:rsidP="00B12C07" w:rsidRDefault="00683DE6" w14:paraId="63EB5B49" w14:textId="77777777">
            <w:pPr>
              <w:pStyle w:val="NoSpacing"/>
              <w:rPr>
                <w:b/>
                <w:bCs/>
              </w:rPr>
            </w:pPr>
            <w:r w:rsidRPr="00642E61">
              <w:rPr>
                <w:b/>
                <w:bCs/>
              </w:rPr>
              <w:t>Antwoord:</w:t>
            </w:r>
          </w:p>
          <w:p w:rsidRPr="00642E61" w:rsidR="00AB2885" w:rsidP="00B12C07" w:rsidRDefault="00AB2885" w14:paraId="15409A13" w14:textId="0CA33C0D">
            <w:pPr>
              <w:pStyle w:val="NoSpacing"/>
              <w:rPr>
                <w:b/>
                <w:bCs/>
              </w:rPr>
            </w:pPr>
            <w:r w:rsidRPr="00642E61">
              <w:rPr>
                <w:b/>
                <w:bCs/>
              </w:rPr>
              <w:t xml:space="preserve">Nederland heeft </w:t>
            </w:r>
            <w:r w:rsidRPr="00642E61" w:rsidR="260EF058">
              <w:rPr>
                <w:b/>
                <w:bCs/>
              </w:rPr>
              <w:t xml:space="preserve">EUR </w:t>
            </w:r>
            <w:r w:rsidRPr="00642E61">
              <w:rPr>
                <w:b/>
                <w:bCs/>
              </w:rPr>
              <w:t xml:space="preserve">34,2 miljoen terug gekregen als gevolg van de verrekening van het onder voorbehoud betaalde voorschot op invoerrechten van de Lage Waarde Textiel en Schoenen (LWTS) casus. In maart 2024 is als onderdeel van de constructieve dialoog (Kamerstuk 2023/24 31 934, nr. 78) overeenstemming gekomen tussen Nederland en de Commissie over dit terug te ontvangen bedrag voor LWTS. Het </w:t>
            </w:r>
            <w:r w:rsidRPr="00642E61">
              <w:rPr>
                <w:b/>
                <w:bCs/>
              </w:rPr>
              <w:lastRenderedPageBreak/>
              <w:t>bedrag is in 2025 verrekend met de maandelijkse afdracht aan de Commissie.</w:t>
            </w:r>
          </w:p>
          <w:p w:rsidRPr="00642E61" w:rsidR="00683DE6" w:rsidP="00B12C07" w:rsidRDefault="00683DE6" w14:paraId="600287A0" w14:textId="77777777">
            <w:pPr>
              <w:pStyle w:val="NoSpacing"/>
              <w:rPr>
                <w:b/>
                <w:bCs/>
              </w:rPr>
            </w:pPr>
          </w:p>
        </w:tc>
        <w:tc>
          <w:tcPr>
            <w:tcW w:w="1129" w:type="dxa"/>
          </w:tcPr>
          <w:p w:rsidR="00D32CA8" w:rsidRDefault="00D32CA8" w14:paraId="5C19F631" w14:textId="6978F0A0">
            <w:pPr>
              <w:jc w:val="right"/>
            </w:pPr>
          </w:p>
        </w:tc>
        <w:tc>
          <w:tcPr>
            <w:tcW w:w="713" w:type="dxa"/>
          </w:tcPr>
          <w:p w:rsidR="00D32CA8" w:rsidRDefault="00D32CA8" w14:paraId="6B06934F" w14:textId="77777777">
            <w:pPr>
              <w:jc w:val="right"/>
            </w:pPr>
            <w:r>
              <w:t>11</w:t>
            </w:r>
          </w:p>
        </w:tc>
        <w:tc>
          <w:tcPr>
            <w:tcW w:w="567" w:type="dxa"/>
          </w:tcPr>
          <w:p w:rsidR="00D32CA8" w:rsidP="009B6EB4" w:rsidRDefault="00D32CA8" w14:paraId="764E31E9" w14:textId="73E708BE">
            <w:pPr>
              <w:tabs>
                <w:tab w:val="left" w:pos="358"/>
                <w:tab w:val="left" w:pos="495"/>
                <w:tab w:val="right" w:pos="567"/>
              </w:tabs>
            </w:pPr>
            <w:r>
              <w:tab/>
            </w:r>
            <w:r>
              <w:tab/>
              <w:t xml:space="preserve"> </w:t>
            </w:r>
          </w:p>
        </w:tc>
      </w:tr>
      <w:tr w:rsidR="00D32CA8" w:rsidTr="00BC4A25" w14:paraId="6DEAE39C" w14:textId="112D5519">
        <w:tc>
          <w:tcPr>
            <w:tcW w:w="567" w:type="dxa"/>
          </w:tcPr>
          <w:p w:rsidR="00D32CA8" w:rsidRDefault="00D32CA8" w14:paraId="435063AF" w14:textId="77777777">
            <w:r>
              <w:t>13</w:t>
            </w:r>
          </w:p>
        </w:tc>
        <w:tc>
          <w:tcPr>
            <w:tcW w:w="6521" w:type="dxa"/>
          </w:tcPr>
          <w:p w:rsidR="00BC4A25" w:rsidP="00B12C07" w:rsidRDefault="00D32CA8" w14:paraId="1C027EA0" w14:textId="220E9DEC">
            <w:pPr>
              <w:pStyle w:val="NoSpacing"/>
            </w:pPr>
            <w:r>
              <w:t>Hoeveel middelen zijn in 2025 beschikbaar voor consulaire bijstand en reisdocumenten?</w:t>
            </w:r>
          </w:p>
          <w:p w:rsidRPr="00BC4A25" w:rsidR="00B12C07" w:rsidP="00B12C07" w:rsidRDefault="00B12C07" w14:paraId="784E545D" w14:textId="77777777">
            <w:pPr>
              <w:pStyle w:val="NoSpacing"/>
            </w:pPr>
          </w:p>
          <w:p w:rsidR="00683DE6" w:rsidP="00B12C07" w:rsidRDefault="00683DE6" w14:paraId="4303EB57" w14:textId="5FB41E7D">
            <w:pPr>
              <w:pStyle w:val="NoSpacing"/>
            </w:pPr>
            <w:r w:rsidRPr="00A524B3">
              <w:rPr>
                <w:b/>
                <w:bCs/>
              </w:rPr>
              <w:t>Antwoord</w:t>
            </w:r>
            <w:r>
              <w:t>:</w:t>
            </w:r>
          </w:p>
          <w:p w:rsidR="00683DE6" w:rsidP="00B12C07" w:rsidRDefault="002F6F57" w14:paraId="4AF17E94" w14:textId="77777777">
            <w:pPr>
              <w:pStyle w:val="NoSpacing"/>
              <w:rPr>
                <w:b/>
                <w:bCs/>
              </w:rPr>
            </w:pPr>
            <w:r w:rsidRPr="00BC4A25">
              <w:rPr>
                <w:b/>
                <w:bCs/>
              </w:rPr>
              <w:t xml:space="preserve">Voor Consulaire bijstand is EUR 384.000 en voor Reisdocumenten is EUR 4.629.000 aan programmamiddelen beschikbaar. </w:t>
            </w:r>
          </w:p>
          <w:p w:rsidRPr="00BC4A25" w:rsidR="00BC4A25" w:rsidP="00B12C07" w:rsidRDefault="00BC4A25" w14:paraId="7E0D126D" w14:textId="1DE57452">
            <w:pPr>
              <w:pStyle w:val="NoSpacing"/>
              <w:rPr>
                <w:b/>
                <w:bCs/>
              </w:rPr>
            </w:pPr>
          </w:p>
        </w:tc>
        <w:tc>
          <w:tcPr>
            <w:tcW w:w="1129" w:type="dxa"/>
          </w:tcPr>
          <w:p w:rsidR="00D32CA8" w:rsidRDefault="00D32CA8" w14:paraId="5688E857" w14:textId="06AC3D5E">
            <w:pPr>
              <w:jc w:val="right"/>
            </w:pPr>
          </w:p>
        </w:tc>
        <w:tc>
          <w:tcPr>
            <w:tcW w:w="713" w:type="dxa"/>
          </w:tcPr>
          <w:p w:rsidR="00D32CA8" w:rsidRDefault="00D32CA8" w14:paraId="5D463E7A" w14:textId="77777777">
            <w:pPr>
              <w:jc w:val="right"/>
            </w:pPr>
            <w:r>
              <w:t>13</w:t>
            </w:r>
          </w:p>
        </w:tc>
        <w:tc>
          <w:tcPr>
            <w:tcW w:w="567" w:type="dxa"/>
          </w:tcPr>
          <w:p w:rsidR="00D32CA8" w:rsidP="009B6EB4" w:rsidRDefault="00D32CA8" w14:paraId="6AD7A53C" w14:textId="4C8B6965">
            <w:pPr>
              <w:tabs>
                <w:tab w:val="left" w:pos="220"/>
                <w:tab w:val="left" w:pos="349"/>
                <w:tab w:val="right" w:pos="567"/>
              </w:tabs>
            </w:pPr>
            <w:r>
              <w:tab/>
            </w:r>
            <w:r>
              <w:tab/>
              <w:t xml:space="preserve"> </w:t>
            </w:r>
          </w:p>
        </w:tc>
      </w:tr>
      <w:tr w:rsidR="00D32CA8" w:rsidTr="00BC4A25" w14:paraId="0C3915B3" w14:textId="76AFA8DB">
        <w:tc>
          <w:tcPr>
            <w:tcW w:w="567" w:type="dxa"/>
          </w:tcPr>
          <w:p w:rsidR="00D32CA8" w:rsidRDefault="00D32CA8" w14:paraId="672AB867" w14:textId="77777777">
            <w:r>
              <w:t>14</w:t>
            </w:r>
          </w:p>
        </w:tc>
        <w:tc>
          <w:tcPr>
            <w:tcW w:w="6521" w:type="dxa"/>
          </w:tcPr>
          <w:p w:rsidR="00BC4A25" w:rsidP="00B12C07" w:rsidRDefault="00D32CA8" w14:paraId="566AFC43" w14:textId="338D32B4">
            <w:pPr>
              <w:pStyle w:val="NoSpacing"/>
            </w:pPr>
            <w:r>
              <w:t>Hoeveel bedragen de verplichtingen en uitgaven bij artikel 4 Consulaire dienstverlening en uitdragen Nederlandse waarden na de suppletoire begroting van september?</w:t>
            </w:r>
          </w:p>
          <w:p w:rsidR="00B12C07" w:rsidP="00B12C07" w:rsidRDefault="00B12C07" w14:paraId="6A69721A" w14:textId="77777777">
            <w:pPr>
              <w:pStyle w:val="NoSpacing"/>
            </w:pPr>
          </w:p>
          <w:p w:rsidR="00683DE6" w:rsidP="00B12C07" w:rsidRDefault="00683DE6" w14:paraId="5922A7E0" w14:textId="77777777">
            <w:pPr>
              <w:pStyle w:val="NoSpacing"/>
            </w:pPr>
            <w:r w:rsidRPr="00A524B3">
              <w:rPr>
                <w:b/>
                <w:bCs/>
              </w:rPr>
              <w:t>Antwoord</w:t>
            </w:r>
            <w:r>
              <w:t>:</w:t>
            </w:r>
          </w:p>
          <w:p w:rsidRPr="00BC4A25" w:rsidR="00B751C7" w:rsidP="00B12C07" w:rsidRDefault="00B751C7" w14:paraId="31D0DF04" w14:textId="77777777">
            <w:pPr>
              <w:pStyle w:val="NoSpacing"/>
              <w:rPr>
                <w:b/>
                <w:bCs/>
              </w:rPr>
            </w:pPr>
            <w:r w:rsidRPr="00BC4A25">
              <w:rPr>
                <w:b/>
                <w:bCs/>
              </w:rPr>
              <w:t>Na de suppletoire begroting september zijn de verplichtingen en uitgaven van artikel 4 als volgt:</w:t>
            </w:r>
          </w:p>
          <w:p w:rsidRPr="00BC4A25" w:rsidR="00B751C7" w:rsidP="00642E61" w:rsidRDefault="00B751C7" w14:paraId="35087578" w14:textId="77777777">
            <w:pPr>
              <w:pStyle w:val="NoSpacing"/>
              <w:numPr>
                <w:ilvl w:val="0"/>
                <w:numId w:val="7"/>
              </w:numPr>
              <w:rPr>
                <w:b/>
                <w:bCs/>
              </w:rPr>
            </w:pPr>
            <w:r w:rsidRPr="00BC4A25">
              <w:rPr>
                <w:b/>
                <w:bCs/>
              </w:rPr>
              <w:t>Verplichtingen: EUR 50.881.000</w:t>
            </w:r>
          </w:p>
          <w:p w:rsidR="00683DE6" w:rsidP="00642E61" w:rsidRDefault="00B751C7" w14:paraId="643319CE" w14:textId="77777777">
            <w:pPr>
              <w:pStyle w:val="NoSpacing"/>
              <w:numPr>
                <w:ilvl w:val="0"/>
                <w:numId w:val="7"/>
              </w:numPr>
              <w:rPr>
                <w:b/>
                <w:bCs/>
              </w:rPr>
            </w:pPr>
            <w:r w:rsidRPr="00BC4A25">
              <w:rPr>
                <w:b/>
                <w:bCs/>
              </w:rPr>
              <w:t xml:space="preserve">Uitgaven: </w:t>
            </w:r>
            <w:r w:rsidRPr="00BC4A25" w:rsidR="009749DF">
              <w:rPr>
                <w:b/>
                <w:bCs/>
              </w:rPr>
              <w:t xml:space="preserve">EUR </w:t>
            </w:r>
            <w:r w:rsidRPr="00BC4A25">
              <w:rPr>
                <w:b/>
                <w:bCs/>
              </w:rPr>
              <w:t>52.856.000</w:t>
            </w:r>
          </w:p>
          <w:p w:rsidRPr="00BC4A25" w:rsidR="00BC4A25" w:rsidP="00B12C07" w:rsidRDefault="00BC4A25" w14:paraId="6CF13470" w14:textId="2FD2591B">
            <w:pPr>
              <w:pStyle w:val="NoSpacing"/>
              <w:rPr>
                <w:rFonts w:ascii="MS Gothic" w:hAnsi="MS Gothic" w:eastAsia="MS Gothic"/>
              </w:rPr>
            </w:pPr>
          </w:p>
        </w:tc>
        <w:tc>
          <w:tcPr>
            <w:tcW w:w="1129" w:type="dxa"/>
          </w:tcPr>
          <w:p w:rsidR="00D32CA8" w:rsidRDefault="00D32CA8" w14:paraId="7C75918A" w14:textId="33B126CB">
            <w:pPr>
              <w:jc w:val="right"/>
            </w:pPr>
          </w:p>
        </w:tc>
        <w:tc>
          <w:tcPr>
            <w:tcW w:w="713" w:type="dxa"/>
          </w:tcPr>
          <w:p w:rsidR="00D32CA8" w:rsidRDefault="00D32CA8" w14:paraId="455D47DB" w14:textId="77777777">
            <w:pPr>
              <w:jc w:val="right"/>
            </w:pPr>
            <w:r>
              <w:t>13</w:t>
            </w:r>
          </w:p>
        </w:tc>
        <w:tc>
          <w:tcPr>
            <w:tcW w:w="567" w:type="dxa"/>
          </w:tcPr>
          <w:p w:rsidR="00D32CA8" w:rsidRDefault="00D32CA8" w14:paraId="269A659E" w14:textId="77777777">
            <w:pPr>
              <w:jc w:val="right"/>
            </w:pPr>
            <w:r>
              <w:t xml:space="preserve">14 </w:t>
            </w:r>
          </w:p>
        </w:tc>
      </w:tr>
      <w:tr w:rsidR="00D32CA8" w:rsidTr="00BC4A25" w14:paraId="0A6E0F00" w14:textId="02856BCC">
        <w:tc>
          <w:tcPr>
            <w:tcW w:w="567" w:type="dxa"/>
          </w:tcPr>
          <w:p w:rsidR="00D32CA8" w:rsidRDefault="00D32CA8" w14:paraId="05022975" w14:textId="77777777">
            <w:r>
              <w:t>15</w:t>
            </w:r>
          </w:p>
        </w:tc>
        <w:tc>
          <w:tcPr>
            <w:tcW w:w="6521" w:type="dxa"/>
          </w:tcPr>
          <w:p w:rsidR="0031587F" w:rsidP="00B12C07" w:rsidRDefault="00D32CA8" w14:paraId="7BF5706A" w14:textId="52418295">
            <w:pPr>
              <w:pStyle w:val="NoSpacing"/>
            </w:pPr>
            <w:r>
              <w:t xml:space="preserve">Hoe groot is de jaarlijkse bijdrage van het ministerie van Defensie aan het ministerie van Buitenlandse Zaken voor het gezamenlijke project Clingendael/HCSS </w:t>
            </w:r>
            <w:proofErr w:type="spellStart"/>
            <w:r>
              <w:t>Progress</w:t>
            </w:r>
            <w:proofErr w:type="spellEnd"/>
            <w:r>
              <w:t xml:space="preserve"> 3.0?</w:t>
            </w:r>
          </w:p>
          <w:p w:rsidR="00B12C07" w:rsidP="00B12C07" w:rsidRDefault="00B12C07" w14:paraId="3A50D443" w14:textId="77777777">
            <w:pPr>
              <w:pStyle w:val="NoSpacing"/>
            </w:pPr>
          </w:p>
          <w:p w:rsidR="00683DE6" w:rsidP="00B12C07" w:rsidRDefault="00683DE6" w14:paraId="2B0E545F" w14:textId="77777777">
            <w:pPr>
              <w:pStyle w:val="NoSpacing"/>
            </w:pPr>
            <w:r w:rsidRPr="00A524B3">
              <w:rPr>
                <w:b/>
                <w:bCs/>
              </w:rPr>
              <w:t>Antwoord</w:t>
            </w:r>
            <w:r w:rsidRPr="02BBEBC7">
              <w:t>:</w:t>
            </w:r>
          </w:p>
          <w:p w:rsidR="00683DE6" w:rsidP="00B12C07" w:rsidRDefault="00B751C7" w14:paraId="231E4397" w14:textId="77777777">
            <w:pPr>
              <w:pStyle w:val="NoSpacing"/>
              <w:rPr>
                <w:b/>
                <w:bCs/>
              </w:rPr>
            </w:pPr>
            <w:r w:rsidRPr="00BC4A25">
              <w:rPr>
                <w:b/>
                <w:bCs/>
              </w:rPr>
              <w:t>De jaarlijkse bijdrage betreft EUR 1,25 miljoen van het ministerie van Defensie aan het ministerie van Buitenlandse Zaken voor dit project. Het gezamenlijke project loopt van 2025 t/m 2028.</w:t>
            </w:r>
          </w:p>
          <w:p w:rsidRPr="00BC4A25" w:rsidR="00BC4A25" w:rsidP="00B12C07" w:rsidRDefault="00BC4A25" w14:paraId="3EFD0E2C" w14:textId="299775C9">
            <w:pPr>
              <w:pStyle w:val="NoSpacing"/>
              <w:rPr>
                <w:b/>
                <w:bCs/>
              </w:rPr>
            </w:pPr>
          </w:p>
        </w:tc>
        <w:tc>
          <w:tcPr>
            <w:tcW w:w="1129" w:type="dxa"/>
          </w:tcPr>
          <w:p w:rsidR="00D32CA8" w:rsidRDefault="00D32CA8" w14:paraId="0D158F52" w14:textId="33635D97">
            <w:pPr>
              <w:jc w:val="right"/>
            </w:pPr>
          </w:p>
        </w:tc>
        <w:tc>
          <w:tcPr>
            <w:tcW w:w="713" w:type="dxa"/>
          </w:tcPr>
          <w:p w:rsidR="00D32CA8" w:rsidRDefault="00D32CA8" w14:paraId="0F27EE65" w14:textId="77777777">
            <w:pPr>
              <w:jc w:val="right"/>
            </w:pPr>
            <w:r>
              <w:t>14</w:t>
            </w:r>
          </w:p>
        </w:tc>
        <w:tc>
          <w:tcPr>
            <w:tcW w:w="567" w:type="dxa"/>
          </w:tcPr>
          <w:p w:rsidR="00D32CA8" w:rsidP="00C02510" w:rsidRDefault="00D32CA8" w14:paraId="09F1559D" w14:textId="1D1141A5">
            <w:pPr>
              <w:tabs>
                <w:tab w:val="left" w:pos="339"/>
                <w:tab w:val="right" w:pos="567"/>
              </w:tabs>
            </w:pPr>
            <w:r>
              <w:tab/>
            </w:r>
            <w:r>
              <w:tab/>
              <w:t xml:space="preserve"> </w:t>
            </w:r>
          </w:p>
        </w:tc>
      </w:tr>
      <w:tr w:rsidR="00D32CA8" w:rsidTr="00BC4A25" w14:paraId="79BA3822" w14:textId="294CF9AB">
        <w:tc>
          <w:tcPr>
            <w:tcW w:w="567" w:type="dxa"/>
          </w:tcPr>
          <w:p w:rsidR="00D32CA8" w:rsidRDefault="00D32CA8" w14:paraId="3B4237DC" w14:textId="77777777">
            <w:r>
              <w:t>16</w:t>
            </w:r>
          </w:p>
        </w:tc>
        <w:tc>
          <w:tcPr>
            <w:tcW w:w="6521" w:type="dxa"/>
          </w:tcPr>
          <w:p w:rsidR="00BC4A25" w:rsidP="00B12C07" w:rsidRDefault="00D32CA8" w14:paraId="3FE110EA" w14:textId="138DCC89">
            <w:pPr>
              <w:pStyle w:val="NoSpacing"/>
            </w:pPr>
            <w:r>
              <w:t>Hoeveel middelen zijn in 2025 toegevoegd aan artikel 6 Homogene Groep Internationale Samenwerking (HGIS) onverdeeld?</w:t>
            </w:r>
          </w:p>
          <w:p w:rsidRPr="00BC4A25" w:rsidR="00B12C07" w:rsidP="00B12C07" w:rsidRDefault="00B12C07" w14:paraId="57C5B7DD" w14:textId="77777777">
            <w:pPr>
              <w:pStyle w:val="NoSpacing"/>
            </w:pPr>
          </w:p>
          <w:p w:rsidR="00683DE6" w:rsidP="00B12C07" w:rsidRDefault="00683DE6" w14:paraId="76BF734D" w14:textId="4EFFA16F">
            <w:pPr>
              <w:pStyle w:val="NoSpacing"/>
            </w:pPr>
            <w:r w:rsidRPr="00A524B3">
              <w:rPr>
                <w:b/>
                <w:bCs/>
              </w:rPr>
              <w:t>Antwoord</w:t>
            </w:r>
            <w:r>
              <w:t>:</w:t>
            </w:r>
          </w:p>
          <w:p w:rsidR="00683DE6" w:rsidP="00B12C07" w:rsidRDefault="305DDE4D" w14:paraId="25FDD97B" w14:textId="0060B034">
            <w:pPr>
              <w:pStyle w:val="NoSpacing"/>
              <w:rPr>
                <w:b/>
                <w:bCs/>
              </w:rPr>
            </w:pPr>
            <w:r w:rsidRPr="00BC4A25">
              <w:rPr>
                <w:b/>
                <w:bCs/>
              </w:rPr>
              <w:t>De stand van HGIS onderverdeeld artikel 6.1 tijdens de ontwerpbegroting 2025 was EUR 26.031.000. Mutaties via moties en amendementen resulteerden in een vastgestelde begrotingstand van EUR 18.636.000. Tijdens de 1e suppletoire begroting is dit per saldo verlaagd met EUR 13.902.000, waardoor de stand uitkwam op EUR 4.734.000. De mutatie ten tijde van de suppletoire begroting september was per saldo een verhoging van EUR 6.268.000. Dit brengt de huidige stand op EUR 11.002.000. Onderdeel van de per saldo mutaties gedurende het jaar zijn ook de bijstellingen van de HGIS non-ODA als gevolg van de ontwikkeling van het prijs BBP. Hiervoor is het budget in 2025 op artikel 6.1 bij de 1</w:t>
            </w:r>
            <w:r w:rsidRPr="00BC4A25">
              <w:rPr>
                <w:b/>
                <w:bCs/>
                <w:vertAlign w:val="superscript"/>
              </w:rPr>
              <w:t>e</w:t>
            </w:r>
            <w:r w:rsidRPr="00BC4A25">
              <w:rPr>
                <w:b/>
                <w:bCs/>
              </w:rPr>
              <w:t xml:space="preserve"> suppletoire begroting verhoogd met EUR 12.594.000 als gevolg van de ontwikkeling van het prijs BBP bij de CEP2025. Bij de suppletoire begroting september werd het budget verhoogd met EUR 6.268.000 als gevolg van de ontwikkeling van het prijs BBP bij de MEV2026. </w:t>
            </w:r>
          </w:p>
          <w:p w:rsidRPr="00BC4A25" w:rsidR="00BC4A25" w:rsidP="00B12C07" w:rsidRDefault="00BC4A25" w14:paraId="7665C9FC" w14:textId="486320E3">
            <w:pPr>
              <w:pStyle w:val="NoSpacing"/>
              <w:rPr>
                <w:b/>
                <w:bCs/>
              </w:rPr>
            </w:pPr>
          </w:p>
        </w:tc>
        <w:tc>
          <w:tcPr>
            <w:tcW w:w="1129" w:type="dxa"/>
          </w:tcPr>
          <w:p w:rsidR="00D32CA8" w:rsidRDefault="00D32CA8" w14:paraId="3A02CB4C" w14:textId="060A2A26">
            <w:pPr>
              <w:jc w:val="right"/>
            </w:pPr>
          </w:p>
        </w:tc>
        <w:tc>
          <w:tcPr>
            <w:tcW w:w="713" w:type="dxa"/>
          </w:tcPr>
          <w:p w:rsidR="00D32CA8" w:rsidRDefault="00D32CA8" w14:paraId="183DFB1A" w14:textId="77777777">
            <w:pPr>
              <w:jc w:val="right"/>
            </w:pPr>
            <w:r>
              <w:t>15</w:t>
            </w:r>
          </w:p>
        </w:tc>
        <w:tc>
          <w:tcPr>
            <w:tcW w:w="567" w:type="dxa"/>
          </w:tcPr>
          <w:p w:rsidR="00D32CA8" w:rsidP="00C02510" w:rsidRDefault="00D32CA8" w14:paraId="1CD6DBC8" w14:textId="625E7DC4">
            <w:pPr>
              <w:tabs>
                <w:tab w:val="right" w:pos="567"/>
              </w:tabs>
            </w:pPr>
            <w:r>
              <w:t xml:space="preserve"> </w:t>
            </w:r>
          </w:p>
        </w:tc>
      </w:tr>
      <w:tr w:rsidR="00D32CA8" w:rsidTr="00BC4A25" w14:paraId="734ED137" w14:textId="2F865DA2">
        <w:tc>
          <w:tcPr>
            <w:tcW w:w="567" w:type="dxa"/>
          </w:tcPr>
          <w:p w:rsidR="00D32CA8" w:rsidRDefault="00D32CA8" w14:paraId="78085E31" w14:textId="77777777">
            <w:r>
              <w:t>17</w:t>
            </w:r>
          </w:p>
        </w:tc>
        <w:tc>
          <w:tcPr>
            <w:tcW w:w="6521" w:type="dxa"/>
          </w:tcPr>
          <w:p w:rsidR="00BC4A25" w:rsidP="00B12C07" w:rsidRDefault="00D32CA8" w14:paraId="0CB061CC" w14:textId="320C9A15">
            <w:pPr>
              <w:pStyle w:val="NoSpacing"/>
            </w:pPr>
            <w:r>
              <w:t>Zijn de mutaties op Eigen Personeel onder artikel 7.1.13 het gevolg van de taakstelling?</w:t>
            </w:r>
          </w:p>
          <w:p w:rsidR="00B12C07" w:rsidP="00B12C07" w:rsidRDefault="00B12C07" w14:paraId="5BCFB970" w14:textId="77777777">
            <w:pPr>
              <w:pStyle w:val="NoSpacing"/>
            </w:pPr>
          </w:p>
          <w:p w:rsidR="00683DE6" w:rsidP="00B12C07" w:rsidRDefault="00683DE6" w14:paraId="2E2FCE8A" w14:textId="77777777">
            <w:pPr>
              <w:pStyle w:val="NoSpacing"/>
            </w:pPr>
            <w:r w:rsidRPr="00A524B3">
              <w:rPr>
                <w:b/>
                <w:bCs/>
              </w:rPr>
              <w:t>Antwoord</w:t>
            </w:r>
            <w:r>
              <w:t>:</w:t>
            </w:r>
          </w:p>
          <w:p w:rsidRPr="000D0A17" w:rsidR="00683DE6" w:rsidP="00B12C07" w:rsidRDefault="00D65EB3" w14:paraId="74128917" w14:textId="50773E3B">
            <w:pPr>
              <w:pStyle w:val="NoSpacing"/>
              <w:rPr>
                <w:b/>
                <w:bCs/>
              </w:rPr>
            </w:pPr>
            <w:r w:rsidRPr="00BC4A25">
              <w:rPr>
                <w:b/>
                <w:bCs/>
              </w:rPr>
              <w:t xml:space="preserve">Deze mutaties zijn niet het gevolg van de </w:t>
            </w:r>
            <w:r w:rsidRPr="00BC4A25" w:rsidR="003A7507">
              <w:rPr>
                <w:b/>
                <w:bCs/>
              </w:rPr>
              <w:t>apparaats</w:t>
            </w:r>
            <w:r w:rsidRPr="00BC4A25">
              <w:rPr>
                <w:b/>
                <w:bCs/>
              </w:rPr>
              <w:t xml:space="preserve">taakstelling uit </w:t>
            </w:r>
            <w:r w:rsidRPr="00BC4A25" w:rsidR="003A7507">
              <w:rPr>
                <w:b/>
                <w:bCs/>
              </w:rPr>
              <w:t xml:space="preserve">het </w:t>
            </w:r>
            <w:r w:rsidRPr="00BC4A25">
              <w:rPr>
                <w:b/>
                <w:bCs/>
              </w:rPr>
              <w:t xml:space="preserve">Hoofdlijnenakkoord. De taakstelling op het apparaatsbudget </w:t>
            </w:r>
            <w:r w:rsidRPr="00BC4A25" w:rsidR="003A7507">
              <w:rPr>
                <w:b/>
                <w:bCs/>
              </w:rPr>
              <w:t>is reeds verwerkt</w:t>
            </w:r>
            <w:r w:rsidRPr="00BC4A25">
              <w:rPr>
                <w:b/>
                <w:bCs/>
              </w:rPr>
              <w:t xml:space="preserve"> in de Ontwerpbegroting 2025 </w:t>
            </w:r>
            <w:r w:rsidRPr="00BC4A25" w:rsidR="003A7507">
              <w:rPr>
                <w:b/>
                <w:bCs/>
              </w:rPr>
              <w:t xml:space="preserve">en </w:t>
            </w:r>
            <w:r w:rsidRPr="00BC4A25">
              <w:rPr>
                <w:b/>
                <w:bCs/>
              </w:rPr>
              <w:t>de Eerste suppletoire begroting 2025</w:t>
            </w:r>
            <w:r w:rsidRPr="00BC4A25" w:rsidR="003A7507">
              <w:rPr>
                <w:b/>
                <w:bCs/>
              </w:rPr>
              <w:t xml:space="preserve">. </w:t>
            </w:r>
            <w:r w:rsidRPr="00BC4A25">
              <w:rPr>
                <w:b/>
                <w:bCs/>
              </w:rPr>
              <w:t>In de</w:t>
            </w:r>
            <w:r w:rsidRPr="00BC4A25" w:rsidR="003A7507">
              <w:rPr>
                <w:b/>
                <w:bCs/>
              </w:rPr>
              <w:t xml:space="preserve"> suppletoire </w:t>
            </w:r>
            <w:r w:rsidRPr="00BC4A25">
              <w:rPr>
                <w:b/>
                <w:bCs/>
              </w:rPr>
              <w:t xml:space="preserve">begroting </w:t>
            </w:r>
            <w:r w:rsidRPr="00BC4A25" w:rsidR="003A7507">
              <w:rPr>
                <w:b/>
                <w:bCs/>
              </w:rPr>
              <w:t xml:space="preserve">september </w:t>
            </w:r>
            <w:r w:rsidRPr="00BC4A25">
              <w:rPr>
                <w:b/>
                <w:bCs/>
              </w:rPr>
              <w:t xml:space="preserve">vindt er een technische mutatie plaats van Eigen personeel naar Inhuur Externen </w:t>
            </w:r>
            <w:r w:rsidRPr="00BC4A25" w:rsidR="003A7507">
              <w:rPr>
                <w:b/>
                <w:bCs/>
              </w:rPr>
              <w:t xml:space="preserve">om inhuur externen zo realistisch mogelijk te ramen. Dit betreft niet extra externe inhuur, maar voorzetting van bestaande externe inhuur. </w:t>
            </w:r>
          </w:p>
        </w:tc>
        <w:tc>
          <w:tcPr>
            <w:tcW w:w="1129" w:type="dxa"/>
          </w:tcPr>
          <w:p w:rsidR="00D32CA8" w:rsidRDefault="00D32CA8" w14:paraId="06222AF9" w14:textId="2F39175D">
            <w:pPr>
              <w:jc w:val="right"/>
            </w:pPr>
          </w:p>
        </w:tc>
        <w:tc>
          <w:tcPr>
            <w:tcW w:w="713" w:type="dxa"/>
          </w:tcPr>
          <w:p w:rsidR="00D32CA8" w:rsidRDefault="00D32CA8" w14:paraId="67D7506C" w14:textId="77777777">
            <w:pPr>
              <w:jc w:val="right"/>
            </w:pPr>
            <w:r>
              <w:t>16</w:t>
            </w:r>
          </w:p>
        </w:tc>
        <w:tc>
          <w:tcPr>
            <w:tcW w:w="567" w:type="dxa"/>
          </w:tcPr>
          <w:p w:rsidR="00D32CA8" w:rsidP="00C02510" w:rsidRDefault="00D32CA8" w14:paraId="4A352164" w14:textId="12B61A6A">
            <w:pPr>
              <w:tabs>
                <w:tab w:val="right" w:pos="567"/>
              </w:tabs>
            </w:pPr>
            <w:r>
              <w:tab/>
              <w:t xml:space="preserve"> </w:t>
            </w:r>
          </w:p>
        </w:tc>
      </w:tr>
      <w:tr w:rsidR="00D32CA8" w:rsidTr="00BC4A25" w14:paraId="7354136D" w14:textId="38168F1E">
        <w:tc>
          <w:tcPr>
            <w:tcW w:w="567" w:type="dxa"/>
          </w:tcPr>
          <w:p w:rsidR="00D32CA8" w:rsidRDefault="00D32CA8" w14:paraId="31BD2DA8" w14:textId="77777777">
            <w:r>
              <w:lastRenderedPageBreak/>
              <w:t>18</w:t>
            </w:r>
          </w:p>
        </w:tc>
        <w:tc>
          <w:tcPr>
            <w:tcW w:w="6521" w:type="dxa"/>
          </w:tcPr>
          <w:p w:rsidR="00BC4A25" w:rsidP="00B12C07" w:rsidRDefault="00D32CA8" w14:paraId="1CF0A39B" w14:textId="35D53C1F">
            <w:pPr>
              <w:pStyle w:val="NoSpacing"/>
            </w:pPr>
            <w:r>
              <w:t>Zijn de hogere kosten op Inhuur Externen onder artikel 7.1.13 het gevolg van de taakstelling op het apparaat?</w:t>
            </w:r>
          </w:p>
          <w:p w:rsidRPr="00BC4A25" w:rsidR="00B12C07" w:rsidP="00B12C07" w:rsidRDefault="00B12C07" w14:paraId="43325E14" w14:textId="77777777">
            <w:pPr>
              <w:pStyle w:val="NoSpacing"/>
            </w:pPr>
          </w:p>
          <w:p w:rsidR="00683DE6" w:rsidP="00B12C07" w:rsidRDefault="00683DE6" w14:paraId="32DD84CD" w14:textId="4D504EEC">
            <w:pPr>
              <w:pStyle w:val="NoSpacing"/>
            </w:pPr>
            <w:r w:rsidRPr="00A524B3">
              <w:rPr>
                <w:b/>
                <w:bCs/>
              </w:rPr>
              <w:t>Antwoord</w:t>
            </w:r>
            <w:r>
              <w:t>:</w:t>
            </w:r>
          </w:p>
          <w:p w:rsidRPr="00BC4A25" w:rsidR="00683DE6" w:rsidP="00B12C07" w:rsidRDefault="00D65EB3" w14:paraId="773C815D" w14:textId="51D6963C">
            <w:pPr>
              <w:pStyle w:val="NoSpacing"/>
              <w:rPr>
                <w:b/>
                <w:bCs/>
              </w:rPr>
            </w:pPr>
            <w:r w:rsidRPr="00BC4A25">
              <w:rPr>
                <w:b/>
                <w:bCs/>
              </w:rPr>
              <w:t xml:space="preserve">Zie antwoord </w:t>
            </w:r>
            <w:r w:rsidRPr="00BC4A25" w:rsidR="003A7507">
              <w:rPr>
                <w:b/>
                <w:bCs/>
              </w:rPr>
              <w:t xml:space="preserve">vraag </w:t>
            </w:r>
            <w:r w:rsidRPr="00BC4A25">
              <w:rPr>
                <w:b/>
                <w:bCs/>
              </w:rPr>
              <w:t>17.</w:t>
            </w:r>
          </w:p>
          <w:p w:rsidR="00683DE6" w:rsidP="00B12C07" w:rsidRDefault="00683DE6" w14:paraId="418D577B" w14:textId="77777777">
            <w:pPr>
              <w:pStyle w:val="NoSpacing"/>
            </w:pPr>
          </w:p>
        </w:tc>
        <w:tc>
          <w:tcPr>
            <w:tcW w:w="1129" w:type="dxa"/>
          </w:tcPr>
          <w:p w:rsidR="00D32CA8" w:rsidRDefault="00D32CA8" w14:paraId="6661CE2B" w14:textId="56C12C0D">
            <w:pPr>
              <w:jc w:val="right"/>
            </w:pPr>
          </w:p>
        </w:tc>
        <w:tc>
          <w:tcPr>
            <w:tcW w:w="713" w:type="dxa"/>
          </w:tcPr>
          <w:p w:rsidR="00D32CA8" w:rsidRDefault="00D32CA8" w14:paraId="512F2235" w14:textId="77777777">
            <w:pPr>
              <w:jc w:val="right"/>
            </w:pPr>
            <w:r>
              <w:t>16</w:t>
            </w:r>
          </w:p>
        </w:tc>
        <w:tc>
          <w:tcPr>
            <w:tcW w:w="567" w:type="dxa"/>
          </w:tcPr>
          <w:p w:rsidR="00D32CA8" w:rsidP="00C02510" w:rsidRDefault="00D32CA8" w14:paraId="18403C40" w14:textId="0A994DF3">
            <w:pPr>
              <w:tabs>
                <w:tab w:val="right" w:pos="567"/>
              </w:tabs>
            </w:pPr>
            <w:r>
              <w:tab/>
              <w:t xml:space="preserve"> </w:t>
            </w:r>
          </w:p>
        </w:tc>
      </w:tr>
      <w:tr w:rsidR="00D32CA8" w:rsidTr="00BC4A25" w14:paraId="311F58A1" w14:textId="20B94E13">
        <w:tc>
          <w:tcPr>
            <w:tcW w:w="567" w:type="dxa"/>
          </w:tcPr>
          <w:p w:rsidR="00D32CA8" w:rsidRDefault="00D32CA8" w14:paraId="7B7A34EE" w14:textId="77777777">
            <w:r>
              <w:t>19</w:t>
            </w:r>
          </w:p>
        </w:tc>
        <w:tc>
          <w:tcPr>
            <w:tcW w:w="6521" w:type="dxa"/>
          </w:tcPr>
          <w:p w:rsidR="00BC4A25" w:rsidP="00B12C07" w:rsidRDefault="00D32CA8" w14:paraId="2358FD08" w14:textId="5B36B6B5">
            <w:pPr>
              <w:pStyle w:val="NoSpacing"/>
            </w:pPr>
            <w:r>
              <w:t>Waar zijn de hogere kosten op Inhuur Externen onder artikel 7.1.13 aan besteed?</w:t>
            </w:r>
          </w:p>
          <w:p w:rsidR="00B12C07" w:rsidP="00B12C07" w:rsidRDefault="00B12C07" w14:paraId="7460F028" w14:textId="77777777">
            <w:pPr>
              <w:pStyle w:val="NoSpacing"/>
            </w:pPr>
          </w:p>
          <w:p w:rsidRPr="00BC4A25" w:rsidR="00683DE6" w:rsidP="00B12C07" w:rsidRDefault="00683DE6" w14:paraId="238D2CD2" w14:textId="77777777">
            <w:pPr>
              <w:pStyle w:val="NoSpacing"/>
              <w:rPr>
                <w:b/>
                <w:bCs/>
              </w:rPr>
            </w:pPr>
            <w:r w:rsidRPr="00BC4A25">
              <w:rPr>
                <w:b/>
                <w:bCs/>
              </w:rPr>
              <w:t>Antwoord:</w:t>
            </w:r>
          </w:p>
          <w:p w:rsidRPr="00BC4A25" w:rsidR="00683DE6" w:rsidP="00B12C07" w:rsidRDefault="003A7507" w14:paraId="79FD383F" w14:textId="335EEE0F">
            <w:pPr>
              <w:pStyle w:val="NoSpacing"/>
              <w:rPr>
                <w:b/>
                <w:bCs/>
              </w:rPr>
            </w:pPr>
            <w:r w:rsidRPr="00BC4A25">
              <w:rPr>
                <w:b/>
                <w:bCs/>
              </w:rPr>
              <w:t>Zie antwoord vraag 17.</w:t>
            </w:r>
          </w:p>
          <w:p w:rsidR="00683DE6" w:rsidP="00B12C07" w:rsidRDefault="00683DE6" w14:paraId="1A4D83E0" w14:textId="77777777">
            <w:pPr>
              <w:pStyle w:val="NoSpacing"/>
            </w:pPr>
          </w:p>
        </w:tc>
        <w:tc>
          <w:tcPr>
            <w:tcW w:w="1129" w:type="dxa"/>
          </w:tcPr>
          <w:p w:rsidR="00D32CA8" w:rsidRDefault="00D32CA8" w14:paraId="2AC8F421" w14:textId="27EFE8B6">
            <w:pPr>
              <w:jc w:val="right"/>
            </w:pPr>
          </w:p>
        </w:tc>
        <w:tc>
          <w:tcPr>
            <w:tcW w:w="713" w:type="dxa"/>
          </w:tcPr>
          <w:p w:rsidR="00D32CA8" w:rsidRDefault="00D32CA8" w14:paraId="7A4A61F6" w14:textId="77777777">
            <w:pPr>
              <w:jc w:val="right"/>
            </w:pPr>
            <w:r>
              <w:t>16</w:t>
            </w:r>
          </w:p>
        </w:tc>
        <w:tc>
          <w:tcPr>
            <w:tcW w:w="567" w:type="dxa"/>
          </w:tcPr>
          <w:p w:rsidR="00D32CA8" w:rsidP="00C02510" w:rsidRDefault="00D32CA8" w14:paraId="129D219E" w14:textId="6AE68A83">
            <w:pPr>
              <w:tabs>
                <w:tab w:val="right" w:pos="567"/>
              </w:tabs>
            </w:pPr>
            <w:r>
              <w:t xml:space="preserve"> </w:t>
            </w:r>
            <w:r>
              <w:tab/>
              <w:t xml:space="preserve"> </w:t>
            </w:r>
          </w:p>
        </w:tc>
      </w:tr>
      <w:tr w:rsidR="00D32CA8" w:rsidTr="00BC4A25" w14:paraId="11DCA850" w14:textId="21366CE1">
        <w:tc>
          <w:tcPr>
            <w:tcW w:w="567" w:type="dxa"/>
          </w:tcPr>
          <w:p w:rsidR="00D32CA8" w:rsidRDefault="00D32CA8" w14:paraId="1A97F51A" w14:textId="77777777">
            <w:r>
              <w:t>20</w:t>
            </w:r>
          </w:p>
        </w:tc>
        <w:tc>
          <w:tcPr>
            <w:tcW w:w="6521" w:type="dxa"/>
          </w:tcPr>
          <w:p w:rsidR="00BC4A25" w:rsidP="00B12C07" w:rsidRDefault="00D32CA8" w14:paraId="7A4F89DC" w14:textId="4D1EBC62">
            <w:pPr>
              <w:pStyle w:val="NoSpacing"/>
            </w:pPr>
            <w:r>
              <w:t>Hoeveel dalen de uitgaven op het apparaatsartikel (artikel 7) in 2025 door vertragingen op investeringen in huisvesting in het buitenland?</w:t>
            </w:r>
          </w:p>
          <w:p w:rsidR="00B12C07" w:rsidP="00B12C07" w:rsidRDefault="00B12C07" w14:paraId="1EA15388" w14:textId="77777777">
            <w:pPr>
              <w:pStyle w:val="NoSpacing"/>
            </w:pPr>
          </w:p>
          <w:p w:rsidR="00683DE6" w:rsidP="00B12C07" w:rsidRDefault="00683DE6" w14:paraId="27D368CE" w14:textId="77777777">
            <w:pPr>
              <w:pStyle w:val="NoSpacing"/>
            </w:pPr>
            <w:r w:rsidRPr="00A524B3">
              <w:rPr>
                <w:b/>
                <w:bCs/>
              </w:rPr>
              <w:t>Antwoord</w:t>
            </w:r>
            <w:r>
              <w:t>:</w:t>
            </w:r>
          </w:p>
          <w:p w:rsidRPr="00BC4A25" w:rsidR="00683DE6" w:rsidP="00B12C07" w:rsidRDefault="00D26223" w14:paraId="74686E17" w14:textId="220068B5">
            <w:pPr>
              <w:pStyle w:val="NoSpacing"/>
              <w:rPr>
                <w:b/>
                <w:bCs/>
              </w:rPr>
            </w:pPr>
            <w:r w:rsidRPr="00BC4A25">
              <w:rPr>
                <w:b/>
                <w:bCs/>
              </w:rPr>
              <w:t>De uitgaven op apparaat dalen in 2025 met EUR 11 miljoen als gevolg van vertragingen op investeringen in huisvesting in het buitenland.</w:t>
            </w:r>
          </w:p>
          <w:p w:rsidR="00D26223" w:rsidP="00B12C07" w:rsidRDefault="00D26223" w14:paraId="4F0EE019" w14:textId="032EABFA">
            <w:pPr>
              <w:pStyle w:val="NoSpacing"/>
            </w:pPr>
          </w:p>
          <w:p w:rsidRPr="000F0465" w:rsidR="00683DE6" w:rsidP="00B12C07" w:rsidRDefault="00683DE6" w14:paraId="65545E97" w14:textId="25E65EDC">
            <w:pPr>
              <w:pStyle w:val="NoSpacing"/>
            </w:pPr>
          </w:p>
          <w:p w:rsidR="00683DE6" w:rsidP="00B12C07" w:rsidRDefault="00683DE6" w14:paraId="52A2AD67" w14:textId="77777777">
            <w:pPr>
              <w:pStyle w:val="NoSpacing"/>
            </w:pPr>
          </w:p>
        </w:tc>
        <w:tc>
          <w:tcPr>
            <w:tcW w:w="1129" w:type="dxa"/>
          </w:tcPr>
          <w:p w:rsidR="00D32CA8" w:rsidP="00BC4A25" w:rsidRDefault="00D32CA8" w14:paraId="45E322C8" w14:textId="5FF1E4FD">
            <w:pPr>
              <w:jc w:val="center"/>
            </w:pPr>
          </w:p>
        </w:tc>
        <w:tc>
          <w:tcPr>
            <w:tcW w:w="713" w:type="dxa"/>
          </w:tcPr>
          <w:p w:rsidR="00D32CA8" w:rsidRDefault="00D32CA8" w14:paraId="35BA2EBE" w14:textId="77777777">
            <w:pPr>
              <w:jc w:val="right"/>
            </w:pPr>
            <w:r>
              <w:t>16</w:t>
            </w:r>
          </w:p>
        </w:tc>
        <w:tc>
          <w:tcPr>
            <w:tcW w:w="567" w:type="dxa"/>
          </w:tcPr>
          <w:p w:rsidR="00D32CA8" w:rsidP="00C02510" w:rsidRDefault="00D32CA8" w14:paraId="42A011EE" w14:textId="469DE6E4">
            <w:pPr>
              <w:tabs>
                <w:tab w:val="right" w:pos="567"/>
              </w:tabs>
            </w:pPr>
            <w:r>
              <w:t xml:space="preserve"> </w:t>
            </w:r>
            <w:r>
              <w:tab/>
              <w:t xml:space="preserve"> </w:t>
            </w:r>
          </w:p>
        </w:tc>
      </w:tr>
    </w:tbl>
    <w:p w:rsidR="00CA2CB6" w:rsidRDefault="00CA2CB6" w14:paraId="5931B82A" w14:textId="1B5281E9"/>
    <w:p w:rsidR="00710E76" w:rsidRDefault="00710E76" w14:paraId="51E43CDE" w14:textId="77777777"/>
    <w:sectPr w:rsidR="00710E76" w:rsidSect="0031587F">
      <w:footerReference w:type="defaul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85970" w14:textId="77777777" w:rsidR="001A47AF" w:rsidRDefault="001A47AF">
      <w:pPr>
        <w:spacing w:before="0" w:after="0"/>
      </w:pPr>
      <w:r>
        <w:separator/>
      </w:r>
    </w:p>
  </w:endnote>
  <w:endnote w:type="continuationSeparator" w:id="0">
    <w:p w14:paraId="24C07A32" w14:textId="77777777" w:rsidR="001A47AF" w:rsidRDefault="001A47AF">
      <w:pPr>
        <w:spacing w:before="0" w:after="0"/>
      </w:pPr>
      <w:r>
        <w:continuationSeparator/>
      </w:r>
    </w:p>
  </w:endnote>
  <w:endnote w:type="continuationNotice" w:id="1">
    <w:p w14:paraId="7011ECC9" w14:textId="77777777" w:rsidR="005A463B" w:rsidRDefault="005A463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62FCC" w14:textId="77777777" w:rsidR="00CA2CB6" w:rsidRDefault="001856D0">
    <w:pPr>
      <w:pStyle w:val="Footer"/>
    </w:pPr>
    <w:r>
      <w:t xml:space="preserve">Totaallijst feitelijke vragen Wijziging van de begrotingsstaat van het Ministerie van Buitenlandse Zaken (V) voor het jaar 2025 (wijziging samenhangende met de Miljoenennota) (36820-V-0)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92C55" w14:textId="77777777" w:rsidR="001A47AF" w:rsidRDefault="001A47AF">
      <w:pPr>
        <w:spacing w:before="0" w:after="0"/>
      </w:pPr>
      <w:r>
        <w:separator/>
      </w:r>
    </w:p>
  </w:footnote>
  <w:footnote w:type="continuationSeparator" w:id="0">
    <w:p w14:paraId="2F0BE061" w14:textId="77777777" w:rsidR="001A47AF" w:rsidRDefault="001A47AF">
      <w:pPr>
        <w:spacing w:before="0" w:after="0"/>
      </w:pPr>
      <w:r>
        <w:continuationSeparator/>
      </w:r>
    </w:p>
  </w:footnote>
  <w:footnote w:type="continuationNotice" w:id="1">
    <w:p w14:paraId="595388D7" w14:textId="77777777" w:rsidR="005A463B" w:rsidRDefault="005A463B">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81E"/>
    <w:multiLevelType w:val="hybridMultilevel"/>
    <w:tmpl w:val="141496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D76BF5"/>
    <w:multiLevelType w:val="hybridMultilevel"/>
    <w:tmpl w:val="B9F45F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9A3A3D"/>
    <w:multiLevelType w:val="hybridMultilevel"/>
    <w:tmpl w:val="D21050B2"/>
    <w:lvl w:ilvl="0" w:tplc="DA326B9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9506FDF"/>
    <w:multiLevelType w:val="hybridMultilevel"/>
    <w:tmpl w:val="23F865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FFE36B4"/>
    <w:multiLevelType w:val="hybridMultilevel"/>
    <w:tmpl w:val="A3BAB3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3B70A49"/>
    <w:multiLevelType w:val="hybridMultilevel"/>
    <w:tmpl w:val="719851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BF004DA"/>
    <w:multiLevelType w:val="hybridMultilevel"/>
    <w:tmpl w:val="ADDEA5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6866267">
    <w:abstractNumId w:val="3"/>
  </w:num>
  <w:num w:numId="2" w16cid:durableId="1703827416">
    <w:abstractNumId w:val="4"/>
  </w:num>
  <w:num w:numId="3" w16cid:durableId="1819416974">
    <w:abstractNumId w:val="1"/>
  </w:num>
  <w:num w:numId="4" w16cid:durableId="240796118">
    <w:abstractNumId w:val="5"/>
  </w:num>
  <w:num w:numId="5" w16cid:durableId="641613627">
    <w:abstractNumId w:val="6"/>
  </w:num>
  <w:num w:numId="6" w16cid:durableId="1734153493">
    <w:abstractNumId w:val="2"/>
  </w:num>
  <w:num w:numId="7" w16cid:durableId="617838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600F9"/>
    <w:rsid w:val="0007294C"/>
    <w:rsid w:val="000941BF"/>
    <w:rsid w:val="000C5A9E"/>
    <w:rsid w:val="000D0A17"/>
    <w:rsid w:val="000D40BD"/>
    <w:rsid w:val="000E15D4"/>
    <w:rsid w:val="000E7C08"/>
    <w:rsid w:val="00102B42"/>
    <w:rsid w:val="00124ED5"/>
    <w:rsid w:val="001351DC"/>
    <w:rsid w:val="0014372D"/>
    <w:rsid w:val="001624C5"/>
    <w:rsid w:val="001856D0"/>
    <w:rsid w:val="001A47AF"/>
    <w:rsid w:val="001A56AB"/>
    <w:rsid w:val="001B571D"/>
    <w:rsid w:val="001F50AF"/>
    <w:rsid w:val="00235C0F"/>
    <w:rsid w:val="002A669D"/>
    <w:rsid w:val="002D25E7"/>
    <w:rsid w:val="002F6F57"/>
    <w:rsid w:val="002F7485"/>
    <w:rsid w:val="003025CE"/>
    <w:rsid w:val="00310E1F"/>
    <w:rsid w:val="0031587F"/>
    <w:rsid w:val="00340BB8"/>
    <w:rsid w:val="00344336"/>
    <w:rsid w:val="0036092D"/>
    <w:rsid w:val="003A7507"/>
    <w:rsid w:val="003B7465"/>
    <w:rsid w:val="003D44DD"/>
    <w:rsid w:val="003E4E18"/>
    <w:rsid w:val="003F1BCA"/>
    <w:rsid w:val="004050B9"/>
    <w:rsid w:val="00425C4E"/>
    <w:rsid w:val="00445DEF"/>
    <w:rsid w:val="00492D99"/>
    <w:rsid w:val="00496260"/>
    <w:rsid w:val="004A0456"/>
    <w:rsid w:val="004B56D1"/>
    <w:rsid w:val="004D5F78"/>
    <w:rsid w:val="004E7D83"/>
    <w:rsid w:val="004F053B"/>
    <w:rsid w:val="005026C7"/>
    <w:rsid w:val="00507217"/>
    <w:rsid w:val="005207EE"/>
    <w:rsid w:val="00541302"/>
    <w:rsid w:val="00541EBF"/>
    <w:rsid w:val="005543A7"/>
    <w:rsid w:val="0059362A"/>
    <w:rsid w:val="0059727C"/>
    <w:rsid w:val="005A463B"/>
    <w:rsid w:val="005B64D3"/>
    <w:rsid w:val="005B7F7A"/>
    <w:rsid w:val="005E7484"/>
    <w:rsid w:val="005E7C56"/>
    <w:rsid w:val="00624362"/>
    <w:rsid w:val="006300C0"/>
    <w:rsid w:val="00637C60"/>
    <w:rsid w:val="00642E61"/>
    <w:rsid w:val="006506E9"/>
    <w:rsid w:val="00683DE6"/>
    <w:rsid w:val="006875C4"/>
    <w:rsid w:val="006A6414"/>
    <w:rsid w:val="006A7CAE"/>
    <w:rsid w:val="006C13D9"/>
    <w:rsid w:val="006C67FA"/>
    <w:rsid w:val="006E6825"/>
    <w:rsid w:val="006F20CC"/>
    <w:rsid w:val="00710E76"/>
    <w:rsid w:val="00717F2E"/>
    <w:rsid w:val="007533AB"/>
    <w:rsid w:val="00762892"/>
    <w:rsid w:val="007739CA"/>
    <w:rsid w:val="00791A48"/>
    <w:rsid w:val="007A5A56"/>
    <w:rsid w:val="007F484B"/>
    <w:rsid w:val="00804D03"/>
    <w:rsid w:val="00842F8A"/>
    <w:rsid w:val="00855953"/>
    <w:rsid w:val="0086614C"/>
    <w:rsid w:val="0087590F"/>
    <w:rsid w:val="00876F0E"/>
    <w:rsid w:val="00894624"/>
    <w:rsid w:val="008C3582"/>
    <w:rsid w:val="008E119D"/>
    <w:rsid w:val="009244A5"/>
    <w:rsid w:val="00930BDA"/>
    <w:rsid w:val="00971AF2"/>
    <w:rsid w:val="009749DF"/>
    <w:rsid w:val="009A3DC1"/>
    <w:rsid w:val="009B6EB4"/>
    <w:rsid w:val="009E0F9F"/>
    <w:rsid w:val="009F72D8"/>
    <w:rsid w:val="00A16D90"/>
    <w:rsid w:val="00A24C8B"/>
    <w:rsid w:val="00A509C6"/>
    <w:rsid w:val="00A553B7"/>
    <w:rsid w:val="00A743DF"/>
    <w:rsid w:val="00A77C3E"/>
    <w:rsid w:val="00AB2885"/>
    <w:rsid w:val="00AC74F7"/>
    <w:rsid w:val="00AD2203"/>
    <w:rsid w:val="00AD34B4"/>
    <w:rsid w:val="00B12C07"/>
    <w:rsid w:val="00B150C5"/>
    <w:rsid w:val="00B16CD2"/>
    <w:rsid w:val="00B17092"/>
    <w:rsid w:val="00B175D1"/>
    <w:rsid w:val="00B34D61"/>
    <w:rsid w:val="00B73AA9"/>
    <w:rsid w:val="00B751C7"/>
    <w:rsid w:val="00B915EC"/>
    <w:rsid w:val="00BC4A25"/>
    <w:rsid w:val="00BE13CA"/>
    <w:rsid w:val="00BF7B04"/>
    <w:rsid w:val="00C02510"/>
    <w:rsid w:val="00C03688"/>
    <w:rsid w:val="00C04F05"/>
    <w:rsid w:val="00C534EC"/>
    <w:rsid w:val="00C5351A"/>
    <w:rsid w:val="00C67402"/>
    <w:rsid w:val="00CA2CB6"/>
    <w:rsid w:val="00CB4EE2"/>
    <w:rsid w:val="00CC25AD"/>
    <w:rsid w:val="00CD78E1"/>
    <w:rsid w:val="00CF0BF6"/>
    <w:rsid w:val="00D03A7C"/>
    <w:rsid w:val="00D26223"/>
    <w:rsid w:val="00D32CA8"/>
    <w:rsid w:val="00D4452F"/>
    <w:rsid w:val="00D4628D"/>
    <w:rsid w:val="00D53764"/>
    <w:rsid w:val="00D60594"/>
    <w:rsid w:val="00D61FE0"/>
    <w:rsid w:val="00D65435"/>
    <w:rsid w:val="00D65EB3"/>
    <w:rsid w:val="00D7185A"/>
    <w:rsid w:val="00D93331"/>
    <w:rsid w:val="00DB3EA8"/>
    <w:rsid w:val="00DF04A3"/>
    <w:rsid w:val="00DF154C"/>
    <w:rsid w:val="00DF5D2D"/>
    <w:rsid w:val="00E02DEA"/>
    <w:rsid w:val="00E17B83"/>
    <w:rsid w:val="00E66CD9"/>
    <w:rsid w:val="00E70F59"/>
    <w:rsid w:val="00E7153D"/>
    <w:rsid w:val="00E84C0C"/>
    <w:rsid w:val="00EB55C9"/>
    <w:rsid w:val="00EF3BE1"/>
    <w:rsid w:val="00EF5467"/>
    <w:rsid w:val="00F0794A"/>
    <w:rsid w:val="00F56177"/>
    <w:rsid w:val="00F66C31"/>
    <w:rsid w:val="00F72AC9"/>
    <w:rsid w:val="00F72DC2"/>
    <w:rsid w:val="00F8009A"/>
    <w:rsid w:val="00F91DFF"/>
    <w:rsid w:val="00F92FF8"/>
    <w:rsid w:val="00FC178B"/>
    <w:rsid w:val="00FD228C"/>
    <w:rsid w:val="00FE0233"/>
    <w:rsid w:val="01E01D85"/>
    <w:rsid w:val="02BBEBC7"/>
    <w:rsid w:val="09B258A2"/>
    <w:rsid w:val="0D42A88F"/>
    <w:rsid w:val="14DB0171"/>
    <w:rsid w:val="1BC00E39"/>
    <w:rsid w:val="260EF058"/>
    <w:rsid w:val="2E0BD6AA"/>
    <w:rsid w:val="305DDE4D"/>
    <w:rsid w:val="3F21BDEB"/>
    <w:rsid w:val="3F53C130"/>
    <w:rsid w:val="47330483"/>
    <w:rsid w:val="4CDE9A2F"/>
    <w:rsid w:val="4F3C5000"/>
    <w:rsid w:val="4FC47776"/>
    <w:rsid w:val="4FEEAE11"/>
    <w:rsid w:val="542E4655"/>
    <w:rsid w:val="5EC38029"/>
    <w:rsid w:val="62AD79BF"/>
    <w:rsid w:val="6658AB62"/>
    <w:rsid w:val="69B4A226"/>
    <w:rsid w:val="6BB86907"/>
    <w:rsid w:val="72B7958F"/>
    <w:rsid w:val="7B25E7EB"/>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37A0A98E"/>
  <w15:docId w15:val="{87583EEF-5067-4AAF-9600-C2D4C95CC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5EC"/>
    <w:pPr>
      <w:tabs>
        <w:tab w:val="center" w:pos="4513"/>
        <w:tab w:val="right" w:pos="9026"/>
      </w:tabs>
      <w:spacing w:before="0" w:after="0"/>
    </w:pPr>
  </w:style>
  <w:style w:type="character" w:customStyle="1" w:styleId="HeaderChar">
    <w:name w:val="Header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FooterChar"/>
    <w:uiPriority w:val="99"/>
    <w:unhideWhenUsed/>
    <w:rsid w:val="00B915EC"/>
    <w:pPr>
      <w:tabs>
        <w:tab w:val="center" w:pos="4513"/>
        <w:tab w:val="right" w:pos="9026"/>
      </w:tabs>
      <w:spacing w:before="0" w:after="0"/>
    </w:pPr>
  </w:style>
  <w:style w:type="character" w:customStyle="1" w:styleId="FooterChar">
    <w:name w:val="Footer Char"/>
    <w:basedOn w:val="DefaultParagraphFont"/>
    <w:link w:val="Footer"/>
    <w:uiPriority w:val="99"/>
    <w:rsid w:val="00B915EC"/>
    <w:rPr>
      <w:rFonts w:ascii="Times New Roman" w:eastAsia="Times New Roman" w:hAnsi="Times New Roman" w:cs="Times New Roman"/>
      <w:sz w:val="20"/>
      <w:szCs w:val="20"/>
      <w:lang w:val="nl-NL" w:eastAsia="nl-NL"/>
    </w:rPr>
  </w:style>
  <w:style w:type="table" w:styleId="TableGrid">
    <w:name w:val="Table Grid"/>
    <w:basedOn w:val="TableNormal"/>
    <w:uiPriority w:val="59"/>
    <w:rsid w:val="00D32C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669D"/>
    <w:rPr>
      <w:color w:val="0000FF" w:themeColor="hyperlink"/>
      <w:u w:val="single"/>
    </w:rPr>
  </w:style>
  <w:style w:type="character" w:styleId="UnresolvedMention">
    <w:name w:val="Unresolved Mention"/>
    <w:basedOn w:val="DefaultParagraphFont"/>
    <w:uiPriority w:val="99"/>
    <w:semiHidden/>
    <w:unhideWhenUsed/>
    <w:rsid w:val="002A669D"/>
    <w:rPr>
      <w:color w:val="605E5C"/>
      <w:shd w:val="clear" w:color="auto" w:fill="E1DFDD"/>
    </w:rPr>
  </w:style>
  <w:style w:type="paragraph" w:styleId="Revision">
    <w:name w:val="Revision"/>
    <w:hidden/>
    <w:uiPriority w:val="99"/>
    <w:semiHidden/>
    <w:rsid w:val="001B571D"/>
    <w:rPr>
      <w:rFonts w:ascii="Times New Roman" w:eastAsia="Times New Roman" w:hAnsi="Times New Roman" w:cs="Times New Roman"/>
      <w:sz w:val="20"/>
      <w:szCs w:val="20"/>
      <w:lang w:val="nl-NL" w:eastAsia="nl-NL"/>
    </w:rPr>
  </w:style>
  <w:style w:type="character" w:styleId="CommentReference">
    <w:name w:val="annotation reference"/>
    <w:basedOn w:val="DefaultParagraphFont"/>
    <w:uiPriority w:val="99"/>
    <w:semiHidden/>
    <w:unhideWhenUsed/>
    <w:rsid w:val="00A24C8B"/>
    <w:rPr>
      <w:sz w:val="16"/>
      <w:szCs w:val="16"/>
    </w:rPr>
  </w:style>
  <w:style w:type="paragraph" w:styleId="CommentText">
    <w:name w:val="annotation text"/>
    <w:basedOn w:val="Normal"/>
    <w:link w:val="CommentTextChar"/>
    <w:uiPriority w:val="99"/>
    <w:unhideWhenUsed/>
    <w:rsid w:val="00A24C8B"/>
  </w:style>
  <w:style w:type="character" w:customStyle="1" w:styleId="CommentTextChar">
    <w:name w:val="Comment Text Char"/>
    <w:basedOn w:val="DefaultParagraphFont"/>
    <w:link w:val="CommentText"/>
    <w:uiPriority w:val="99"/>
    <w:rsid w:val="00A24C8B"/>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CommentSubjectChar"/>
    <w:uiPriority w:val="99"/>
    <w:semiHidden/>
    <w:unhideWhenUsed/>
    <w:rsid w:val="00A24C8B"/>
    <w:rPr>
      <w:b/>
      <w:bCs/>
    </w:rPr>
  </w:style>
  <w:style w:type="character" w:customStyle="1" w:styleId="CommentSubjectChar">
    <w:name w:val="Comment Subject Char"/>
    <w:basedOn w:val="CommentTextChar"/>
    <w:link w:val="CommentSubject"/>
    <w:uiPriority w:val="99"/>
    <w:semiHidden/>
    <w:rsid w:val="00A24C8B"/>
    <w:rPr>
      <w:rFonts w:ascii="Times New Roman" w:eastAsia="Times New Roman" w:hAnsi="Times New Roman" w:cs="Times New Roman"/>
      <w:b/>
      <w:bCs/>
      <w:sz w:val="20"/>
      <w:szCs w:val="20"/>
      <w:lang w:val="nl-NL" w:eastAsia="nl-NL"/>
    </w:rPr>
  </w:style>
  <w:style w:type="paragraph" w:styleId="ListParagraph">
    <w:name w:val="List Paragraph"/>
    <w:basedOn w:val="Normal"/>
    <w:uiPriority w:val="34"/>
    <w:qFormat/>
    <w:rsid w:val="005E7C56"/>
    <w:pPr>
      <w:ind w:left="720"/>
      <w:contextualSpacing/>
    </w:pPr>
  </w:style>
  <w:style w:type="paragraph" w:styleId="NoSpacing">
    <w:name w:val="No Spacing"/>
    <w:uiPriority w:val="1"/>
    <w:qFormat/>
    <w:rsid w:val="00B12C07"/>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6730">
      <w:bodyDiv w:val="1"/>
      <w:marLeft w:val="0"/>
      <w:marRight w:val="0"/>
      <w:marTop w:val="0"/>
      <w:marBottom w:val="0"/>
      <w:divBdr>
        <w:top w:val="none" w:sz="0" w:space="0" w:color="auto"/>
        <w:left w:val="none" w:sz="0" w:space="0" w:color="auto"/>
        <w:bottom w:val="none" w:sz="0" w:space="0" w:color="auto"/>
        <w:right w:val="none" w:sz="0" w:space="0" w:color="auto"/>
      </w:divBdr>
    </w:div>
    <w:div w:id="194390607">
      <w:bodyDiv w:val="1"/>
      <w:marLeft w:val="0"/>
      <w:marRight w:val="0"/>
      <w:marTop w:val="0"/>
      <w:marBottom w:val="0"/>
      <w:divBdr>
        <w:top w:val="none" w:sz="0" w:space="0" w:color="auto"/>
        <w:left w:val="none" w:sz="0" w:space="0" w:color="auto"/>
        <w:bottom w:val="none" w:sz="0" w:space="0" w:color="auto"/>
        <w:right w:val="none" w:sz="0" w:space="0" w:color="auto"/>
      </w:divBdr>
    </w:div>
    <w:div w:id="359597582">
      <w:bodyDiv w:val="1"/>
      <w:marLeft w:val="0"/>
      <w:marRight w:val="0"/>
      <w:marTop w:val="0"/>
      <w:marBottom w:val="0"/>
      <w:divBdr>
        <w:top w:val="none" w:sz="0" w:space="0" w:color="auto"/>
        <w:left w:val="none" w:sz="0" w:space="0" w:color="auto"/>
        <w:bottom w:val="none" w:sz="0" w:space="0" w:color="auto"/>
        <w:right w:val="none" w:sz="0" w:space="0" w:color="auto"/>
      </w:divBdr>
    </w:div>
    <w:div w:id="445075727">
      <w:bodyDiv w:val="1"/>
      <w:marLeft w:val="0"/>
      <w:marRight w:val="0"/>
      <w:marTop w:val="0"/>
      <w:marBottom w:val="0"/>
      <w:divBdr>
        <w:top w:val="none" w:sz="0" w:space="0" w:color="auto"/>
        <w:left w:val="none" w:sz="0" w:space="0" w:color="auto"/>
        <w:bottom w:val="none" w:sz="0" w:space="0" w:color="auto"/>
        <w:right w:val="none" w:sz="0" w:space="0" w:color="auto"/>
      </w:divBdr>
    </w:div>
    <w:div w:id="572741103">
      <w:bodyDiv w:val="1"/>
      <w:marLeft w:val="0"/>
      <w:marRight w:val="0"/>
      <w:marTop w:val="0"/>
      <w:marBottom w:val="0"/>
      <w:divBdr>
        <w:top w:val="none" w:sz="0" w:space="0" w:color="auto"/>
        <w:left w:val="none" w:sz="0" w:space="0" w:color="auto"/>
        <w:bottom w:val="none" w:sz="0" w:space="0" w:color="auto"/>
        <w:right w:val="none" w:sz="0" w:space="0" w:color="auto"/>
      </w:divBdr>
    </w:div>
    <w:div w:id="608395111">
      <w:bodyDiv w:val="1"/>
      <w:marLeft w:val="0"/>
      <w:marRight w:val="0"/>
      <w:marTop w:val="0"/>
      <w:marBottom w:val="0"/>
      <w:divBdr>
        <w:top w:val="none" w:sz="0" w:space="0" w:color="auto"/>
        <w:left w:val="none" w:sz="0" w:space="0" w:color="auto"/>
        <w:bottom w:val="none" w:sz="0" w:space="0" w:color="auto"/>
        <w:right w:val="none" w:sz="0" w:space="0" w:color="auto"/>
      </w:divBdr>
    </w:div>
    <w:div w:id="736586303">
      <w:bodyDiv w:val="1"/>
      <w:marLeft w:val="0"/>
      <w:marRight w:val="0"/>
      <w:marTop w:val="0"/>
      <w:marBottom w:val="0"/>
      <w:divBdr>
        <w:top w:val="none" w:sz="0" w:space="0" w:color="auto"/>
        <w:left w:val="none" w:sz="0" w:space="0" w:color="auto"/>
        <w:bottom w:val="none" w:sz="0" w:space="0" w:color="auto"/>
        <w:right w:val="none" w:sz="0" w:space="0" w:color="auto"/>
      </w:divBdr>
    </w:div>
    <w:div w:id="924647909">
      <w:bodyDiv w:val="1"/>
      <w:marLeft w:val="0"/>
      <w:marRight w:val="0"/>
      <w:marTop w:val="0"/>
      <w:marBottom w:val="0"/>
      <w:divBdr>
        <w:top w:val="none" w:sz="0" w:space="0" w:color="auto"/>
        <w:left w:val="none" w:sz="0" w:space="0" w:color="auto"/>
        <w:bottom w:val="none" w:sz="0" w:space="0" w:color="auto"/>
        <w:right w:val="none" w:sz="0" w:space="0" w:color="auto"/>
      </w:divBdr>
    </w:div>
    <w:div w:id="2117207949">
      <w:bodyDiv w:val="1"/>
      <w:marLeft w:val="0"/>
      <w:marRight w:val="0"/>
      <w:marTop w:val="0"/>
      <w:marBottom w:val="0"/>
      <w:divBdr>
        <w:top w:val="none" w:sz="0" w:space="0" w:color="auto"/>
        <w:left w:val="none" w:sz="0" w:space="0" w:color="auto"/>
        <w:bottom w:val="none" w:sz="0" w:space="0" w:color="auto"/>
        <w:right w:val="none" w:sz="0" w:space="0" w:color="auto"/>
      </w:divBdr>
    </w:div>
    <w:div w:id="21227975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5</ap:Pages>
  <ap:Words>1788</ap:Words>
  <ap:Characters>9836</ap:Characters>
  <ap:DocSecurity>0</ap:DocSecurity>
  <ap:Lines>81</ap:Lines>
  <ap:Paragraphs>23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11601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2025-09-24T09:41:00.0000000Z</lastPrinted>
  <dcterms:created xsi:type="dcterms:W3CDTF">2025-09-24T16:14:00.0000000Z</dcterms:created>
  <dcterms:modified xsi:type="dcterms:W3CDTF">2025-09-24T16:14:00.0000000Z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c2efd3bfea04f7f8169be07009f5536">
    <vt:lpwstr/>
  </property>
  <property fmtid="{D5CDD505-2E9C-101B-9397-08002B2CF9AE}" pid="3" name="BZForumOrganisation">
    <vt:lpwstr>2;#Not applicable|0049e722-bfb1-4a3f-9d08-af7366a9af40</vt:lpwstr>
  </property>
  <property fmtid="{D5CDD505-2E9C-101B-9397-08002B2CF9AE}" pid="4" name="BZDossierBudgetManager">
    <vt:lpwstr/>
  </property>
  <property fmtid="{D5CDD505-2E9C-101B-9397-08002B2CF9AE}" pid="5" name="BZDossierSendTo">
    <vt:lpwstr/>
  </property>
  <property fmtid="{D5CDD505-2E9C-101B-9397-08002B2CF9AE}" pid="6" name="BZTheme">
    <vt:lpwstr>1;#Not applicable|ec01d90b-9d0f-4785-8785-e1ea615196bf</vt:lpwstr>
  </property>
  <property fmtid="{D5CDD505-2E9C-101B-9397-08002B2CF9AE}" pid="7" name="ContentTypeId">
    <vt:lpwstr>0x0101009C7CE436063D44E9BE7DC0259EF7C32F006EB9F9836A634AE58B6169785FD3936F00876E5882F55347418786914B10860203</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GovernmentOfficial">
    <vt:lpwstr/>
  </property>
  <property fmtid="{D5CDD505-2E9C-101B-9397-08002B2CF9AE}" pid="11" name="BZDossierProcessLocation">
    <vt:lpwstr/>
  </property>
  <property fmtid="{D5CDD505-2E9C-101B-9397-08002B2CF9AE}" pid="12" name="i42ef48d5fa942a0ad0d60e44f201751">
    <vt:lpwstr/>
  </property>
  <property fmtid="{D5CDD505-2E9C-101B-9397-08002B2CF9AE}" pid="13" name="BZDossierPublishingWOOCategory">
    <vt:lpwstr/>
  </property>
  <property fmtid="{D5CDD505-2E9C-101B-9397-08002B2CF9AE}" pid="14" name="f2fb2a8e39404f1ab554e4e4a49d2918">
    <vt:lpwstr/>
  </property>
  <property fmtid="{D5CDD505-2E9C-101B-9397-08002B2CF9AE}" pid="15" name="BZMarking">
    <vt:lpwstr>5;#NO MARKING|0a4eb9ae-69eb-4d9e-b573-43ab99ef8592</vt:lpwstr>
  </property>
  <property fmtid="{D5CDD505-2E9C-101B-9397-08002B2CF9AE}" pid="16" name="_dlc_DocIdItemGuid">
    <vt:lpwstr>bf2e259e-79fe-41e4-ac81-584b09da5bfd</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