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D2D" w:rsidP="004B4D2D" w:rsidRDefault="004B4D2D" w14:paraId="0BD498BF" w14:textId="15850A45">
      <w:pPr>
        <w:rPr>
          <w:lang w:val="nl-NL"/>
        </w:rPr>
      </w:pPr>
      <w:r>
        <w:rPr>
          <w:lang w:val="nl-NL"/>
        </w:rPr>
        <w:t xml:space="preserve">Zaterdag 20 september jongstleden hebben er op verschillende plaatsen in Den Haag </w:t>
      </w:r>
      <w:r>
        <w:rPr>
          <w:szCs w:val="18"/>
          <w:lang w:val="nl-NL"/>
        </w:rPr>
        <w:t xml:space="preserve">geweldsincidenten en vernielingen plaatsgevonden. Deze hebben zich onder meer gericht tegen de politie, journalisten, ondernemers en het partijkantoor van D66. Hierbij zijn er verschillende rechts-extremistische uitingen gedaan. </w:t>
      </w:r>
      <w:r w:rsidRPr="00C26260">
        <w:rPr>
          <w:lang w:val="nl-NL"/>
        </w:rPr>
        <w:t xml:space="preserve">Het kabinet </w:t>
      </w:r>
      <w:r>
        <w:rPr>
          <w:lang w:val="nl-NL"/>
        </w:rPr>
        <w:t xml:space="preserve">heeft met afschuw naar de gebeurtenissen van afgelopen weekend gekeken en </w:t>
      </w:r>
      <w:r w:rsidRPr="00C26260">
        <w:rPr>
          <w:lang w:val="nl-NL"/>
        </w:rPr>
        <w:t>veroordeelt ten zeerste het geweld dat is gebruikt en de uitingen die zijn gedaan. Hiervoor is geen plaats in onze democratische rechtsstaat. Dit mag niet gebeuren.</w:t>
      </w:r>
    </w:p>
    <w:p w:rsidR="004B4D2D" w:rsidP="004B4D2D" w:rsidRDefault="004B4D2D" w14:paraId="75F4811E" w14:textId="495C9A59">
      <w:pPr>
        <w:rPr>
          <w:lang w:val="nl-NL"/>
        </w:rPr>
      </w:pPr>
      <w:r w:rsidRPr="009445E4">
        <w:rPr>
          <w:lang w:val="nl-NL"/>
        </w:rPr>
        <w:t xml:space="preserve">Tijdens het mondelinge vragenuur van 23 september zijn de rellen van afgelopen zaterdag in uw Kamer aan de orde geweest. Hierin heb ik mij </w:t>
      </w:r>
      <w:r>
        <w:rPr>
          <w:lang w:val="nl-NL"/>
        </w:rPr>
        <w:t>niet duidelijk genoeg</w:t>
      </w:r>
      <w:r w:rsidRPr="009445E4">
        <w:rPr>
          <w:lang w:val="nl-NL"/>
        </w:rPr>
        <w:t xml:space="preserve"> uitgelaten over het geweld dat heeft plaatsgevonden. In het debat over de bestrijding van antisemitisme in de avond van 23 september heb ik mijn uitingen tijdens het vragenuur verduidelijkt. Hierbij heb ik benadrukt dat ik met afschuw heb gekeken naar de hooligans en </w:t>
      </w:r>
      <w:r>
        <w:rPr>
          <w:lang w:val="nl-NL"/>
        </w:rPr>
        <w:t>rechts-extremistische</w:t>
      </w:r>
      <w:r w:rsidRPr="009445E4">
        <w:rPr>
          <w:lang w:val="nl-NL"/>
        </w:rPr>
        <w:t xml:space="preserve"> relschoppers die geweld gebruikten</w:t>
      </w:r>
      <w:r>
        <w:rPr>
          <w:lang w:val="nl-NL"/>
        </w:rPr>
        <w:t xml:space="preserve">, </w:t>
      </w:r>
      <w:r w:rsidRPr="009445E4">
        <w:rPr>
          <w:lang w:val="nl-NL"/>
        </w:rPr>
        <w:t xml:space="preserve">die wij onder meer de Hitlergroet zagen brengen en de meest vreselijke leuzen </w:t>
      </w:r>
      <w:r w:rsidR="00532923">
        <w:rPr>
          <w:lang w:val="nl-NL"/>
        </w:rPr>
        <w:t>hoorden</w:t>
      </w:r>
      <w:r w:rsidRPr="009445E4">
        <w:rPr>
          <w:lang w:val="nl-NL"/>
        </w:rPr>
        <w:t xml:space="preserve"> roepen. Dat vind ik nazistisch en antisemitisch</w:t>
      </w:r>
      <w:r>
        <w:rPr>
          <w:lang w:val="nl-NL"/>
        </w:rPr>
        <w:t xml:space="preserve"> en</w:t>
      </w:r>
      <w:r w:rsidRPr="009445E4">
        <w:rPr>
          <w:lang w:val="nl-NL"/>
        </w:rPr>
        <w:t xml:space="preserve"> dus verwerpelijk en afschuwelijk. Ik wilde tijdens het vragenuur voorkomen dat ik als minister van </w:t>
      </w:r>
      <w:r>
        <w:rPr>
          <w:lang w:val="nl-NL"/>
        </w:rPr>
        <w:t>Justitie en Veiligheid</w:t>
      </w:r>
      <w:r w:rsidRPr="009445E4">
        <w:rPr>
          <w:lang w:val="nl-NL"/>
        </w:rPr>
        <w:t xml:space="preserve"> een</w:t>
      </w:r>
      <w:r w:rsidR="00532923">
        <w:rPr>
          <w:lang w:val="nl-NL"/>
        </w:rPr>
        <w:t xml:space="preserve"> straf</w:t>
      </w:r>
      <w:r w:rsidRPr="009445E4">
        <w:rPr>
          <w:lang w:val="nl-NL"/>
        </w:rPr>
        <w:t xml:space="preserve">zaak negatief beïnvloed met mijn oordeel. Daarom was ik tijdens het vragenuur te voorzichtig, maar laat ik duidelijk zijn, er was </w:t>
      </w:r>
      <w:r>
        <w:rPr>
          <w:lang w:val="nl-NL"/>
        </w:rPr>
        <w:t xml:space="preserve">in mijn ogen </w:t>
      </w:r>
      <w:r w:rsidRPr="009445E4">
        <w:rPr>
          <w:lang w:val="nl-NL"/>
        </w:rPr>
        <w:t xml:space="preserve">sprake van </w:t>
      </w:r>
      <w:r>
        <w:rPr>
          <w:lang w:val="nl-NL"/>
        </w:rPr>
        <w:t>rechts-extremisme en politiek geweld</w:t>
      </w:r>
      <w:r w:rsidRPr="009445E4">
        <w:rPr>
          <w:lang w:val="nl-NL"/>
        </w:rPr>
        <w:t>.</w:t>
      </w:r>
    </w:p>
    <w:p w:rsidR="004B4D2D" w:rsidP="004B4D2D" w:rsidRDefault="004B4D2D" w14:paraId="400A62C5" w14:textId="77777777">
      <w:pPr>
        <w:rPr>
          <w:lang w:val="nl-NL"/>
        </w:rPr>
      </w:pPr>
      <w:r w:rsidRPr="006F34F7">
        <w:rPr>
          <w:lang w:val="nl-NL"/>
        </w:rPr>
        <w:t xml:space="preserve">Met deze brief informeer ik uw Kamer nader over de gebeurtenissen van afgelopen </w:t>
      </w:r>
      <w:r>
        <w:rPr>
          <w:lang w:val="nl-NL"/>
        </w:rPr>
        <w:t>weekend</w:t>
      </w:r>
      <w:r w:rsidRPr="006F34F7">
        <w:rPr>
          <w:lang w:val="nl-NL"/>
        </w:rPr>
        <w:t xml:space="preserve">. </w:t>
      </w:r>
      <w:r>
        <w:rPr>
          <w:lang w:val="nl-NL"/>
        </w:rPr>
        <w:t xml:space="preserve">Ik zal ingaan op het feitenrelaas over de aanloop naar en het verloop van de anti-immigratiedemonstratie en de genomen maatregelen. Daarnaast deel ik met uw Kamer de duiding van de NCTV van de gebeurtenissen en de stand van zaken in het opsporingsonderzoek. </w:t>
      </w:r>
      <w:r w:rsidRPr="006F34F7">
        <w:rPr>
          <w:lang w:val="nl-NL"/>
        </w:rPr>
        <w:t>Dit betreft een beeld van de gebeurtenissen aan de hand van informatie waarover ik nu beschik.</w:t>
      </w:r>
      <w:r>
        <w:rPr>
          <w:lang w:val="nl-NL"/>
        </w:rPr>
        <w:t xml:space="preserve"> Op verzoek van uw Kamer zal ik ook ingaan op de voedingsbodem voor de dreiging vanuit het</w:t>
      </w:r>
      <w:r w:rsidRPr="003A336A">
        <w:rPr>
          <w:lang w:val="nl-NL"/>
        </w:rPr>
        <w:t xml:space="preserve"> rechts</w:t>
      </w:r>
      <w:r>
        <w:rPr>
          <w:lang w:val="nl-NL"/>
        </w:rPr>
        <w:t>-</w:t>
      </w:r>
      <w:r w:rsidRPr="003A336A">
        <w:rPr>
          <w:lang w:val="nl-NL"/>
        </w:rPr>
        <w:t>extremisme</w:t>
      </w:r>
      <w:r>
        <w:rPr>
          <w:lang w:val="nl-NL"/>
        </w:rPr>
        <w:t>. Tot slot zal ik ingaan op de inzet van</w:t>
      </w:r>
      <w:r w:rsidRPr="003A336A">
        <w:rPr>
          <w:lang w:val="nl-NL"/>
        </w:rPr>
        <w:t xml:space="preserve"> het kabinet om rechts</w:t>
      </w:r>
      <w:r>
        <w:rPr>
          <w:lang w:val="nl-NL"/>
        </w:rPr>
        <w:t>-</w:t>
      </w:r>
      <w:r w:rsidRPr="003A336A">
        <w:rPr>
          <w:lang w:val="nl-NL"/>
        </w:rPr>
        <w:t>extremisme tegen te gaan</w:t>
      </w:r>
      <w:r>
        <w:rPr>
          <w:lang w:val="nl-NL"/>
        </w:rPr>
        <w:t>.</w:t>
      </w:r>
    </w:p>
    <w:p w:rsidRPr="00B541F2" w:rsidR="004B4D2D" w:rsidP="004B4D2D" w:rsidRDefault="004B4D2D" w14:paraId="697BF79B" w14:textId="77777777">
      <w:pPr>
        <w:rPr>
          <w:b/>
          <w:bCs/>
          <w:u w:val="single"/>
          <w:lang w:val="nl-NL"/>
        </w:rPr>
      </w:pPr>
      <w:r w:rsidRPr="00B541F2">
        <w:rPr>
          <w:b/>
          <w:bCs/>
          <w:u w:val="single"/>
          <w:lang w:val="nl-NL"/>
        </w:rPr>
        <w:t>Feitenrelaas gebeurtenissen 20 september</w:t>
      </w:r>
    </w:p>
    <w:p w:rsidRPr="00BA5256" w:rsidR="004B4D2D" w:rsidP="004B4D2D" w:rsidRDefault="004B4D2D" w14:paraId="53D6DF8E" w14:textId="77777777">
      <w:pPr>
        <w:rPr>
          <w:lang w:val="nl-NL"/>
        </w:rPr>
      </w:pPr>
      <w:r w:rsidRPr="00BA5256">
        <w:rPr>
          <w:lang w:val="nl-NL"/>
        </w:rPr>
        <w:t>Kort na de start van de demonstratie</w:t>
      </w:r>
      <w:r>
        <w:rPr>
          <w:lang w:val="nl-NL"/>
        </w:rPr>
        <w:t xml:space="preserve"> op het Malieveld</w:t>
      </w:r>
      <w:r w:rsidRPr="00BA5256">
        <w:rPr>
          <w:lang w:val="nl-NL"/>
        </w:rPr>
        <w:t xml:space="preserve">, </w:t>
      </w:r>
      <w:r>
        <w:rPr>
          <w:lang w:val="nl-NL"/>
        </w:rPr>
        <w:t>splitste een groep</w:t>
      </w:r>
      <w:r w:rsidRPr="00BA5256">
        <w:rPr>
          <w:lang w:val="nl-NL"/>
        </w:rPr>
        <w:t xml:space="preserve"> van circa 1.500 personen zich af van de demonstratie en </w:t>
      </w:r>
      <w:r>
        <w:rPr>
          <w:lang w:val="nl-NL"/>
        </w:rPr>
        <w:t xml:space="preserve">zocht </w:t>
      </w:r>
      <w:r w:rsidRPr="00BA5256">
        <w:rPr>
          <w:lang w:val="nl-NL"/>
        </w:rPr>
        <w:t xml:space="preserve">op zeer gewelddadige wijze doelbewust de confrontatie met de politie. </w:t>
      </w:r>
      <w:r>
        <w:rPr>
          <w:lang w:val="nl-NL"/>
        </w:rPr>
        <w:t>R</w:t>
      </w:r>
      <w:r w:rsidRPr="00BA5256">
        <w:rPr>
          <w:lang w:val="nl-NL"/>
        </w:rPr>
        <w:t xml:space="preserve">elschoppers </w:t>
      </w:r>
      <w:r>
        <w:rPr>
          <w:lang w:val="nl-NL"/>
        </w:rPr>
        <w:t xml:space="preserve">vielen </w:t>
      </w:r>
      <w:r w:rsidRPr="00BA5256">
        <w:rPr>
          <w:lang w:val="nl-NL"/>
        </w:rPr>
        <w:t xml:space="preserve">op en rond het Malieveld de politie aan en bezetten de A12. Hierbij is ook grof geweld gebruikt tegen andere aanwezigen, waaronder journalisten. De politie heeft hierop ingegrepen met de Mobiele Eenheid, paarden en waterwerpers en heeft de relschoppers teruggedrongen naar het Malieveld. Op het Malieveld is de politie </w:t>
      </w:r>
      <w:r w:rsidRPr="00BA5256">
        <w:rPr>
          <w:lang w:val="nl-NL"/>
        </w:rPr>
        <w:lastRenderedPageBreak/>
        <w:t xml:space="preserve">wederom aangevallen. Om het geweld te keren is traangas ingezet en is een noodbevel afgegeven. De demonstratie werd in de loop van de middag ontbonden, omdat de veiligheid van de demonstranten niet kon worden gegarandeerd. </w:t>
      </w:r>
    </w:p>
    <w:p w:rsidR="004B4D2D" w:rsidP="004B4D2D" w:rsidRDefault="004B4D2D" w14:paraId="754B3A27" w14:textId="77777777">
      <w:pPr>
        <w:rPr>
          <w:lang w:val="nl-NL"/>
        </w:rPr>
      </w:pPr>
      <w:r w:rsidRPr="00793110">
        <w:rPr>
          <w:lang w:val="nl-NL"/>
        </w:rPr>
        <w:t xml:space="preserve">Op meerdere plekken op het Malieveld ontstonden vervolgens tegelijkertijd hevige confrontaties tussen de Mobiele Eenheid en de relschoppers. Daarop is door de Mobiele Eenheid fors ingezet, ook met waterwerpers en traangas. Een deel van de relschoppers heeft toen gelegenheid gevonden om de binnenstad in te trekken. Hierbij zijn vernielingen aangericht, onder andere aan het partijkantoor van D66. Ook is een poging gedaan om het afgesloten Binnenhof te betreden. De politie heeft dit voorkomen. In de avond zijn groepen relschoppers door de politie aangehouden en uit het centrumgebied verwijderd. Onder moeilijke omstandigheden is de politie er in geslaagd de rust te laten terugkeren. Voor een gedetailleerd overzicht van het verloop van het politieoptreden verwijs ik u naar de brief (inclusief het noodbevel) die de burgemeester van Den Haag op 24 september jl. aan de gemeenteraad gestuurd heeft en die als bijlage bij deze brief zijn opgenomen. </w:t>
      </w:r>
    </w:p>
    <w:p w:rsidRPr="00B541F2" w:rsidR="004B4D2D" w:rsidP="004B4D2D" w:rsidRDefault="004B4D2D" w14:paraId="6202D5C3" w14:textId="77777777">
      <w:pPr>
        <w:rPr>
          <w:b/>
          <w:bCs/>
          <w:u w:val="single"/>
          <w:lang w:val="nl-NL"/>
        </w:rPr>
      </w:pPr>
      <w:r w:rsidRPr="00B541F2">
        <w:rPr>
          <w:b/>
          <w:bCs/>
          <w:u w:val="single"/>
          <w:lang w:val="nl-NL"/>
        </w:rPr>
        <w:t>Voorbereiding en genomen maatregelen</w:t>
      </w:r>
    </w:p>
    <w:p w:rsidRPr="00BA5256" w:rsidR="004B4D2D" w:rsidP="004B4D2D" w:rsidRDefault="004B4D2D" w14:paraId="21CF93C0" w14:textId="77777777">
      <w:pPr>
        <w:rPr>
          <w:lang w:val="nl-NL"/>
        </w:rPr>
      </w:pPr>
      <w:r>
        <w:rPr>
          <w:lang w:val="nl-NL"/>
        </w:rPr>
        <w:t>De lokale driehoek heeft mij laten weten dat t</w:t>
      </w:r>
      <w:r w:rsidRPr="00BA5256">
        <w:rPr>
          <w:lang w:val="nl-NL"/>
        </w:rPr>
        <w:t xml:space="preserve">er voorbereiding op de demonstratie de politie een zogenaamd Staf Grootschalig en Bijzonder Optreden </w:t>
      </w:r>
      <w:r>
        <w:rPr>
          <w:lang w:val="nl-NL"/>
        </w:rPr>
        <w:t xml:space="preserve">(SGBO) </w:t>
      </w:r>
      <w:r w:rsidRPr="00BA5256">
        <w:rPr>
          <w:lang w:val="nl-NL"/>
        </w:rPr>
        <w:t xml:space="preserve">heeft ingericht. Het beeld rondom de demonstratie is voorafgaand daaraan ook meerdere keren besproken in de </w:t>
      </w:r>
      <w:r>
        <w:rPr>
          <w:lang w:val="nl-NL"/>
        </w:rPr>
        <w:t>lokale d</w:t>
      </w:r>
      <w:r w:rsidRPr="00BA5256">
        <w:rPr>
          <w:lang w:val="nl-NL"/>
        </w:rPr>
        <w:t>riehoek</w:t>
      </w:r>
      <w:r>
        <w:rPr>
          <w:lang w:val="nl-NL"/>
        </w:rPr>
        <w:t xml:space="preserve"> van Den Haag</w:t>
      </w:r>
      <w:r w:rsidRPr="00BA5256">
        <w:rPr>
          <w:lang w:val="nl-NL"/>
        </w:rPr>
        <w:t xml:space="preserve">, waarbij rekening is gehouden met een scenario waarin dit tot een gewelddadige confrontatie zou kunnen komen. Op basis van de scenario’s zijn door de </w:t>
      </w:r>
      <w:r>
        <w:rPr>
          <w:lang w:val="nl-NL"/>
        </w:rPr>
        <w:t>lokale d</w:t>
      </w:r>
      <w:r w:rsidRPr="00BA5256">
        <w:rPr>
          <w:lang w:val="nl-NL"/>
        </w:rPr>
        <w:t xml:space="preserve">riehoek op voorhand forse maatregelen getroffen, waaronder de </w:t>
      </w:r>
      <w:r>
        <w:rPr>
          <w:lang w:val="nl-NL"/>
        </w:rPr>
        <w:t>beschikbaarheid</w:t>
      </w:r>
      <w:r w:rsidRPr="00BA5256">
        <w:rPr>
          <w:lang w:val="nl-NL"/>
        </w:rPr>
        <w:t xml:space="preserve"> van vier pelotons ME, waterwerpers, paarden en honden. De </w:t>
      </w:r>
      <w:r>
        <w:rPr>
          <w:lang w:val="nl-NL"/>
        </w:rPr>
        <w:t xml:space="preserve">bij de lokale driehoek </w:t>
      </w:r>
      <w:r w:rsidRPr="00BA5256">
        <w:rPr>
          <w:lang w:val="nl-NL"/>
        </w:rPr>
        <w:t>beschikbare informatie leidde</w:t>
      </w:r>
      <w:r>
        <w:rPr>
          <w:lang w:val="nl-NL"/>
        </w:rPr>
        <w:t>, zoals in het feitenrelaas van de burgemeester staat,</w:t>
      </w:r>
      <w:r w:rsidRPr="00BA5256">
        <w:rPr>
          <w:lang w:val="nl-NL"/>
        </w:rPr>
        <w:t xml:space="preserve"> niet tot de verwachting dat zich een situatie zou voordoen waarin sprake was van de massaliteit en de extreme mate van het geweld, zoals die heeft plaatsgevonden. </w:t>
      </w:r>
      <w:r w:rsidRPr="00793110">
        <w:rPr>
          <w:lang w:val="nl-NL"/>
        </w:rPr>
        <w:t>Op sociale media werd juist door de verschillende betrokken groepen opgeroepen om vreedzaam te demonstreren.</w:t>
      </w:r>
    </w:p>
    <w:p w:rsidRPr="00B541F2" w:rsidR="004B4D2D" w:rsidP="004B4D2D" w:rsidRDefault="004B4D2D" w14:paraId="3363F488" w14:textId="77777777">
      <w:pPr>
        <w:rPr>
          <w:b/>
          <w:bCs/>
          <w:u w:val="single"/>
          <w:lang w:val="nl-NL"/>
        </w:rPr>
      </w:pPr>
      <w:r w:rsidRPr="00B541F2">
        <w:rPr>
          <w:b/>
          <w:bCs/>
          <w:u w:val="single"/>
          <w:lang w:val="nl-NL"/>
        </w:rPr>
        <w:t>Duiding gebeurtenissen 20 september</w:t>
      </w:r>
    </w:p>
    <w:p w:rsidR="004B4D2D" w:rsidP="004B4D2D" w:rsidRDefault="004B4D2D" w14:paraId="1CA8DFB3" w14:textId="695F67EE">
      <w:pPr>
        <w:rPr>
          <w:lang w:val="nl-NL"/>
        </w:rPr>
      </w:pPr>
      <w:r w:rsidRPr="001B6845">
        <w:rPr>
          <w:lang w:val="nl-NL"/>
        </w:rPr>
        <w:t>De NCTV en AIVD waarschuwen al langere tijd voor de dreiging van rechts-extremisme (en rechts-terrorisme) en dat normalisering van rechts-extremistisch gedachtengoed</w:t>
      </w:r>
      <w:r>
        <w:rPr>
          <w:rStyle w:val="Voetnootmarkering"/>
          <w:lang w:val="nl-NL"/>
        </w:rPr>
        <w:footnoteReference w:id="1"/>
      </w:r>
      <w:r w:rsidRPr="001B6845">
        <w:rPr>
          <w:lang w:val="nl-NL"/>
        </w:rPr>
        <w:t xml:space="preserve"> kan leiden tot rechts-extremistisch gemotiveerd geweld. Zo werd in opeenvolgende Dreigingsbeelden Terrorisme en Nederland (DTN) en ook </w:t>
      </w:r>
      <w:r w:rsidR="00532923">
        <w:rPr>
          <w:lang w:val="nl-NL"/>
        </w:rPr>
        <w:t xml:space="preserve">in </w:t>
      </w:r>
      <w:r w:rsidRPr="001B6845">
        <w:rPr>
          <w:lang w:val="nl-NL"/>
        </w:rPr>
        <w:t xml:space="preserve">het jaarverslag van de AIVD van 2024 aandacht besteed aan de normalisering van rechts-extremistisch gedachtegoed en de verspreiding hiervan online. De snelle online radicalisering en mogelijke geweldsdreiging van met name jongeren in onder andere rechts-terroristische online netwerken is hier onderdeel van.  Normalisering van het rechts-extremistisch gedachtegoed kan leiden tot een toenemende intolerantie jegens instituten en andere groepen in de samenleving, waardoor geweld tegen deze groepen sneller wordt geaccepteerd. Om het gedachtegoed te normaliseren spelen rechtsextremisten in op bestaande maatschappelijke onvrede. Het geweld van afgelopen zaterdag is mogelijk een teken van de normalisering van rechts-extremistisch gedachtegoed in de </w:t>
      </w:r>
      <w:r w:rsidRPr="001B6845">
        <w:rPr>
          <w:lang w:val="nl-NL"/>
        </w:rPr>
        <w:lastRenderedPageBreak/>
        <w:t>samenleving.</w:t>
      </w:r>
      <w:r w:rsidRPr="00ED585D">
        <w:rPr>
          <w:lang w:val="nl-NL"/>
        </w:rPr>
        <w:t xml:space="preserve"> </w:t>
      </w:r>
      <w:r w:rsidRPr="001B6845">
        <w:rPr>
          <w:lang w:val="nl-NL"/>
        </w:rPr>
        <w:t>Daarbij is het een zorgelijke ontwikkeling dat (al dan niet extremistische) groepen met verschillende achtergronden zich vanuit een gedeelde onvrede kunnen verenigen en elkaar kunnen versterken in hun (extremistische) denkbeelden</w:t>
      </w:r>
      <w:r>
        <w:rPr>
          <w:lang w:val="nl-NL"/>
        </w:rPr>
        <w:t xml:space="preserve"> en in het uiterste geval geweldsbereidheid tonen</w:t>
      </w:r>
      <w:r w:rsidRPr="001B6845">
        <w:rPr>
          <w:lang w:val="nl-NL"/>
        </w:rPr>
        <w:t>.</w:t>
      </w:r>
    </w:p>
    <w:p w:rsidRPr="005A0417" w:rsidR="004B4D2D" w:rsidP="004B4D2D" w:rsidRDefault="004B4D2D" w14:paraId="63E4D3AE" w14:textId="6834D663">
      <w:pPr>
        <w:rPr>
          <w:lang w:val="nl-NL"/>
        </w:rPr>
      </w:pPr>
      <w:r w:rsidRPr="001F29A4">
        <w:rPr>
          <w:lang w:val="nl-NL"/>
        </w:rPr>
        <w:t>De gebeurtenissen van afgelopen zaterdag passen dus helaas in een breder beeld.</w:t>
      </w:r>
      <w:r>
        <w:rPr>
          <w:lang w:val="nl-NL"/>
        </w:rPr>
        <w:t xml:space="preserve"> Voor de duiding van de NCTV van de gebeurtenissen van 20 september verwijs ik u naar de bijlage.</w:t>
      </w:r>
      <w:r w:rsidRPr="00A17278">
        <w:rPr>
          <w:lang w:val="nl-NL"/>
        </w:rPr>
        <w:t xml:space="preserve"> </w:t>
      </w:r>
      <w:r>
        <w:rPr>
          <w:lang w:val="nl-NL"/>
        </w:rPr>
        <w:t>Hierin vindt u de</w:t>
      </w:r>
      <w:r w:rsidRPr="005A0417">
        <w:rPr>
          <w:lang w:val="nl-NL"/>
        </w:rPr>
        <w:t xml:space="preserve"> </w:t>
      </w:r>
      <w:proofErr w:type="spellStart"/>
      <w:r w:rsidRPr="005A0417">
        <w:rPr>
          <w:lang w:val="nl-NL"/>
        </w:rPr>
        <w:t>factsheet</w:t>
      </w:r>
      <w:proofErr w:type="spellEnd"/>
      <w:r w:rsidRPr="005A0417">
        <w:rPr>
          <w:lang w:val="nl-NL"/>
        </w:rPr>
        <w:t xml:space="preserve"> </w:t>
      </w:r>
      <w:r>
        <w:rPr>
          <w:lang w:val="nl-NL"/>
        </w:rPr>
        <w:t xml:space="preserve">met de duiding van de NCTV die ten behoeve van het </w:t>
      </w:r>
      <w:r w:rsidR="0038233A">
        <w:rPr>
          <w:lang w:val="nl-NL"/>
        </w:rPr>
        <w:t>m</w:t>
      </w:r>
      <w:r>
        <w:rPr>
          <w:lang w:val="nl-NL"/>
        </w:rPr>
        <w:t xml:space="preserve">ondelinge </w:t>
      </w:r>
      <w:r w:rsidR="0038233A">
        <w:rPr>
          <w:lang w:val="nl-NL"/>
        </w:rPr>
        <w:t>v</w:t>
      </w:r>
      <w:r>
        <w:rPr>
          <w:lang w:val="nl-NL"/>
        </w:rPr>
        <w:t>ragenuur van afgelopen dinsdag is opgesteld</w:t>
      </w:r>
      <w:r w:rsidRPr="005A0417">
        <w:rPr>
          <w:lang w:val="nl-NL"/>
        </w:rPr>
        <w:t xml:space="preserve">. Hiermee voldoe ik tevens aan het informatieverzoek van het lid Koekkoek.   </w:t>
      </w:r>
    </w:p>
    <w:p w:rsidRPr="005A0417" w:rsidR="004B4D2D" w:rsidP="004B4D2D" w:rsidRDefault="004B4D2D" w14:paraId="5C99B10C" w14:textId="77777777">
      <w:pPr>
        <w:rPr>
          <w:i/>
          <w:iCs/>
          <w:lang w:val="nl-NL"/>
        </w:rPr>
      </w:pPr>
      <w:r w:rsidRPr="005A0417">
        <w:rPr>
          <w:i/>
          <w:iCs/>
          <w:lang w:val="nl-NL"/>
        </w:rPr>
        <w:t>Stand van zaken opsporingsonderzoek</w:t>
      </w:r>
    </w:p>
    <w:p w:rsidR="004B4D2D" w:rsidP="004B4D2D" w:rsidRDefault="004B4D2D" w14:paraId="0F29F659" w14:textId="77777777">
      <w:pPr>
        <w:rPr>
          <w:lang w:val="nl-NL"/>
        </w:rPr>
      </w:pPr>
      <w:r w:rsidRPr="009C3B51">
        <w:rPr>
          <w:lang w:val="nl-NL"/>
        </w:rPr>
        <w:t>De strafrechtelijke onderzoeken van het Openbaar Ministerie zijn op dit moment in volle gang. Deze onderzoeken zullen moeten uitwijzen wat de precieze toedracht is geweest</w:t>
      </w:r>
      <w:r>
        <w:rPr>
          <w:lang w:val="nl-NL"/>
        </w:rPr>
        <w:t>, in welke mate de rellen bijvoorbeeld georganiseerd waren en wat in individuele gevallen de motieven waren</w:t>
      </w:r>
      <w:r w:rsidRPr="009C3B51">
        <w:rPr>
          <w:lang w:val="nl-NL"/>
        </w:rPr>
        <w:t>.</w:t>
      </w:r>
      <w:r>
        <w:rPr>
          <w:lang w:val="nl-NL"/>
        </w:rPr>
        <w:t xml:space="preserve"> Hierover kan ik o</w:t>
      </w:r>
      <w:r w:rsidRPr="00BA5256">
        <w:rPr>
          <w:lang w:val="nl-NL"/>
        </w:rPr>
        <w:t>p basis van de informatie die op dit moment bekend is</w:t>
      </w:r>
      <w:r>
        <w:rPr>
          <w:lang w:val="nl-NL"/>
        </w:rPr>
        <w:t xml:space="preserve">, aangeven dat er </w:t>
      </w:r>
      <w:r w:rsidRPr="00BA5256">
        <w:rPr>
          <w:lang w:val="nl-NL"/>
        </w:rPr>
        <w:t xml:space="preserve">op 20 september 37 personen </w:t>
      </w:r>
      <w:r>
        <w:rPr>
          <w:lang w:val="nl-NL"/>
        </w:rPr>
        <w:t xml:space="preserve">zijn </w:t>
      </w:r>
      <w:r w:rsidRPr="00BA5256">
        <w:rPr>
          <w:lang w:val="nl-NL"/>
        </w:rPr>
        <w:t xml:space="preserve">aangehouden en </w:t>
      </w:r>
      <w:r>
        <w:rPr>
          <w:lang w:val="nl-NL"/>
        </w:rPr>
        <w:t>er</w:t>
      </w:r>
      <w:r w:rsidRPr="00BA5256">
        <w:rPr>
          <w:lang w:val="nl-NL"/>
        </w:rPr>
        <w:t xml:space="preserve"> direct </w:t>
      </w:r>
      <w:r>
        <w:rPr>
          <w:lang w:val="nl-NL"/>
        </w:rPr>
        <w:t xml:space="preserve">is </w:t>
      </w:r>
      <w:r w:rsidRPr="00BA5256">
        <w:rPr>
          <w:lang w:val="nl-NL"/>
        </w:rPr>
        <w:t>gestart met een groot rechercheonderzoek, onder leiding van een Team Grootschalige Opsporing (TGO). Het TGO richt zich op het in kaart brengen van de rol van de aangehouden personen en het identificeren en opsporen van andere relschoppers die nog niet aangehouden zijn. De eerste verdachten zijn voor de rechtbank gebracht en een aantal van hen is inmiddels veroordeeld via het supersnelrecht. Gezien de aard, impact en omvang van de ongeregeldheden is de verwachting dat het aantal verdachten dat wordt geïdentificeerd, aangehouden en vervolgd zal toenemen.</w:t>
      </w:r>
    </w:p>
    <w:p w:rsidRPr="00ED585D" w:rsidR="004B4D2D" w:rsidP="004B4D2D" w:rsidRDefault="004B4D2D" w14:paraId="57DC77C4" w14:textId="77777777">
      <w:pPr>
        <w:rPr>
          <w:rFonts w:eastAsia="Calibri" w:cs="Times New Roman"/>
          <w:b/>
          <w:bCs/>
          <w:u w:val="single"/>
          <w:lang w:val="nl-NL"/>
        </w:rPr>
      </w:pPr>
      <w:r>
        <w:rPr>
          <w:rFonts w:eastAsia="Calibri" w:cs="Times New Roman"/>
          <w:b/>
          <w:bCs/>
          <w:u w:val="single"/>
          <w:lang w:val="nl-NL"/>
        </w:rPr>
        <w:t xml:space="preserve">Inzet </w:t>
      </w:r>
    </w:p>
    <w:p w:rsidR="004B4D2D" w:rsidP="004B4D2D" w:rsidRDefault="004B4D2D" w14:paraId="3FEB8653" w14:textId="77777777">
      <w:pPr>
        <w:rPr>
          <w:rFonts w:eastAsia="Calibri" w:cs="Times New Roman"/>
          <w:szCs w:val="18"/>
          <w:lang w:val="nl-NL"/>
        </w:rPr>
      </w:pPr>
      <w:r>
        <w:rPr>
          <w:rFonts w:eastAsia="Calibri" w:cs="Times New Roman"/>
          <w:szCs w:val="18"/>
          <w:lang w:val="nl-NL"/>
        </w:rPr>
        <w:t>De gebeurtenissen van dit weekend vragen op verschillende punten om onverminderde inspanning van het kabinet. Daartoe wordt de volgende inzet gepleegd:</w:t>
      </w:r>
    </w:p>
    <w:p w:rsidR="004B4D2D" w:rsidP="004B4D2D" w:rsidRDefault="004B4D2D" w14:paraId="498CFC1D" w14:textId="77777777">
      <w:pPr>
        <w:rPr>
          <w:rFonts w:eastAsia="Calibri" w:cs="Times New Roman"/>
          <w:szCs w:val="18"/>
          <w:lang w:val="nl-NL"/>
        </w:rPr>
      </w:pPr>
      <w:r>
        <w:rPr>
          <w:rFonts w:eastAsia="Calibri" w:cs="Times New Roman"/>
          <w:i/>
          <w:iCs/>
          <w:szCs w:val="18"/>
          <w:lang w:val="nl-NL"/>
        </w:rPr>
        <w:t xml:space="preserve">Versterken informatiepositie </w:t>
      </w:r>
    </w:p>
    <w:p w:rsidRPr="004637D1" w:rsidR="004B4D2D" w:rsidP="004B4D2D" w:rsidRDefault="004B4D2D" w14:paraId="40B0B5D5" w14:textId="77777777">
      <w:pPr>
        <w:rPr>
          <w:rFonts w:eastAsia="Calibri" w:cs="Times New Roman"/>
          <w:szCs w:val="18"/>
          <w:lang w:val="nl-NL"/>
        </w:rPr>
      </w:pPr>
      <w:r w:rsidRPr="004637D1">
        <w:rPr>
          <w:rFonts w:eastAsia="Calibri" w:cs="Times New Roman"/>
          <w:szCs w:val="18"/>
          <w:lang w:val="nl-NL"/>
        </w:rPr>
        <w:t>Het is voor het lokaal gezag en de politie essentieel om een goede informatie positie te hebben om een demonstratie in goede banen te kunnen leiden en daar waar nodig handhavend op te reden. Hierdoor kan onderscheid worden gemaakt tussen verschillende groepen: vreedzame demonstranten enerzijds en relschoppers die de demonstratie willen verstoren of kapen anderzijds. Personen die verantwoordelijk zijn voor de escalatie van geweld en de demonstratie hun vreedzame karakter ontnemen, worden niet door het demonstratierecht beschermd.</w:t>
      </w:r>
    </w:p>
    <w:p w:rsidRPr="003365C6" w:rsidR="004B4D2D" w:rsidP="004B4D2D" w:rsidRDefault="004B4D2D" w14:paraId="563C894A" w14:textId="0C230359">
      <w:pPr>
        <w:rPr>
          <w:rFonts w:eastAsia="Calibri" w:cs="Times New Roman"/>
          <w:szCs w:val="18"/>
          <w:lang w:val="nl-NL"/>
        </w:rPr>
      </w:pPr>
      <w:r w:rsidRPr="004637D1">
        <w:rPr>
          <w:rFonts w:eastAsia="Calibri" w:cs="Times New Roman"/>
          <w:szCs w:val="18"/>
          <w:lang w:val="nl-NL"/>
        </w:rPr>
        <w:t xml:space="preserve">Het wetsvoorstel voor gegevensvergaring uit de publiek toegankelijk bronnen is met de grootst mogelijke snelheid deze zomer in consultatie gebracht conform de toezegging aan uw Kamer. Ik wacht nog op de consultatie adviezen van een aantal belangrijke partijen, waaronder de politie. Ook de gevraagde uitvoeringstoetsen zijn erg belangrijk voor dit wetsvoorstel. Uit de consultatiereacties halen wij ook waardevolle informatie voor het wetsvoorstel gegevensvergaring uit de besloten groepen. Een wetsvoorstel voor de besloten groepen is complexer op het gebied van grondrechten. Ik kan u verzekeren dat aan </w:t>
      </w:r>
      <w:r w:rsidRPr="003365C6">
        <w:rPr>
          <w:rFonts w:eastAsia="Calibri" w:cs="Times New Roman"/>
          <w:szCs w:val="18"/>
          <w:lang w:val="nl-NL"/>
        </w:rPr>
        <w:t>beide trajecten met volle kracht wordt gewerkt.</w:t>
      </w:r>
    </w:p>
    <w:p w:rsidRPr="003365C6" w:rsidR="004B4D2D" w:rsidP="004B4D2D" w:rsidRDefault="004B4D2D" w14:paraId="6B6BBEB6" w14:textId="0F2AC323">
      <w:pPr>
        <w:rPr>
          <w:rFonts w:eastAsia="Calibri" w:cs="Times New Roman"/>
          <w:szCs w:val="18"/>
          <w:lang w:val="nl-NL"/>
        </w:rPr>
      </w:pPr>
      <w:r w:rsidRPr="003365C6">
        <w:rPr>
          <w:rFonts w:eastAsia="Calibri" w:cs="Times New Roman"/>
          <w:szCs w:val="18"/>
          <w:lang w:val="nl-NL"/>
        </w:rPr>
        <w:t xml:space="preserve">Daarnaast spreekt </w:t>
      </w:r>
      <w:r w:rsidR="00532923">
        <w:rPr>
          <w:rFonts w:eastAsia="Calibri" w:cs="Times New Roman"/>
          <w:szCs w:val="18"/>
          <w:lang w:val="nl-NL"/>
        </w:rPr>
        <w:t xml:space="preserve">de </w:t>
      </w:r>
      <w:r w:rsidRPr="003365C6">
        <w:rPr>
          <w:rFonts w:eastAsia="Calibri" w:cs="Times New Roman"/>
          <w:szCs w:val="18"/>
          <w:lang w:val="nl-NL"/>
        </w:rPr>
        <w:t xml:space="preserve">NCTV maandelijks met die gemeenten die Versterkingsgelden ontvangen voor hun lokale aanpak radicalisering. Er zijn lokaal </w:t>
      </w:r>
      <w:r w:rsidRPr="003365C6">
        <w:rPr>
          <w:rFonts w:eastAsia="Calibri" w:cs="Times New Roman"/>
          <w:szCs w:val="18"/>
          <w:lang w:val="nl-NL"/>
        </w:rPr>
        <w:lastRenderedPageBreak/>
        <w:t xml:space="preserve">adviseurs van de NCTV verbonden aan de gebieden van politie eenheden. Zij zijn bekend met de aanpak van de gemeentes in dat gebied. Ook brengen zij het netwerk van inlichtingen- en veiligheidsdiensten in contact met de gemeentes, met als doel om relevante informatie te kunnen delen. </w:t>
      </w:r>
    </w:p>
    <w:p w:rsidRPr="004637D1" w:rsidR="004B4D2D" w:rsidP="004B4D2D" w:rsidRDefault="004B4D2D" w14:paraId="1F803C5D" w14:textId="77777777">
      <w:pPr>
        <w:rPr>
          <w:rFonts w:eastAsia="Calibri" w:cs="Times New Roman"/>
          <w:i/>
          <w:iCs/>
          <w:szCs w:val="18"/>
          <w:lang w:val="nl-NL"/>
        </w:rPr>
      </w:pPr>
      <w:r w:rsidRPr="004637D1">
        <w:rPr>
          <w:rFonts w:eastAsia="Calibri" w:cs="Times New Roman"/>
          <w:i/>
          <w:iCs/>
          <w:szCs w:val="18"/>
          <w:lang w:val="nl-NL"/>
        </w:rPr>
        <w:t>Instrumentarium Mobiele Eenheid</w:t>
      </w:r>
    </w:p>
    <w:p w:rsidRPr="004637D1" w:rsidR="004B4D2D" w:rsidP="004B4D2D" w:rsidRDefault="004B4D2D" w14:paraId="15987329" w14:textId="77777777">
      <w:pPr>
        <w:rPr>
          <w:rFonts w:eastAsia="Calibri" w:cs="Times New Roman"/>
          <w:szCs w:val="18"/>
          <w:lang w:val="nl-NL"/>
        </w:rPr>
      </w:pPr>
      <w:r w:rsidRPr="004637D1">
        <w:rPr>
          <w:rFonts w:eastAsia="Calibri" w:cs="Times New Roman"/>
          <w:szCs w:val="18"/>
          <w:lang w:val="nl-NL"/>
        </w:rPr>
        <w:t>Ik vind het van groot belang dat leden van de Mobiele Eenheid (ME) toereikend zijn uitgerust met beschermende kleding en middelen om veilig op te kunnen treden bij openbare ordeverstoringen en geweld. Zeker bij heftige rellen waarbij grof geweld wordt gebruikt, moet de ME beschikken over adequate geweldmiddelen zodat snel en effectief kan worden opgetreden. Ik zal met de politie nagaan of de uitrusting van de ME voldoende adequaat is voor de ME-taak.</w:t>
      </w:r>
    </w:p>
    <w:p w:rsidRPr="004637D1" w:rsidR="004B4D2D" w:rsidP="004B4D2D" w:rsidRDefault="004B4D2D" w14:paraId="1486A84A" w14:textId="77777777">
      <w:pPr>
        <w:rPr>
          <w:rFonts w:eastAsia="Calibri" w:cs="Times New Roman"/>
          <w:szCs w:val="18"/>
          <w:lang w:val="nl-NL"/>
        </w:rPr>
      </w:pPr>
      <w:r w:rsidRPr="004637D1">
        <w:rPr>
          <w:rFonts w:eastAsia="Calibri" w:cs="Times New Roman"/>
          <w:szCs w:val="18"/>
          <w:lang w:val="nl-NL"/>
        </w:rPr>
        <w:t xml:space="preserve">Het onderzoeksprogramma Politie en Openbare Orde Management, dat vorig jaar van start is gegaan, onderzoekt al verschillende mogelijkheden om de slagkracht en de inzet van de ME te verbeteren. Ook de vraag of aanvullende bewapening van meerwaarde kan zijn, wordt uitvoerig onderzocht. Nadat een inventarisatie is gemaakt van mogelijke geweldmiddelen en ervaringen die daarmee in het buitenland zijn opgedaan, wordt bepaald welk middel of middelen nader kunnen worden beproefd. </w:t>
      </w:r>
    </w:p>
    <w:p w:rsidRPr="004637D1" w:rsidR="004B4D2D" w:rsidP="004B4D2D" w:rsidRDefault="004B4D2D" w14:paraId="0CF2E1CC" w14:textId="77777777">
      <w:pPr>
        <w:rPr>
          <w:i/>
          <w:iCs/>
          <w:szCs w:val="18"/>
          <w:lang w:val="nl-NL"/>
        </w:rPr>
      </w:pPr>
      <w:r w:rsidRPr="004637D1">
        <w:rPr>
          <w:i/>
          <w:iCs/>
          <w:szCs w:val="18"/>
          <w:lang w:val="nl-NL"/>
        </w:rPr>
        <w:t xml:space="preserve">Verbod op </w:t>
      </w:r>
      <w:proofErr w:type="spellStart"/>
      <w:r w:rsidRPr="004637D1">
        <w:rPr>
          <w:i/>
          <w:iCs/>
          <w:szCs w:val="18"/>
          <w:lang w:val="nl-NL"/>
        </w:rPr>
        <w:t>gezichtsbedekkende</w:t>
      </w:r>
      <w:proofErr w:type="spellEnd"/>
      <w:r w:rsidRPr="004637D1">
        <w:rPr>
          <w:i/>
          <w:iCs/>
          <w:szCs w:val="18"/>
          <w:lang w:val="nl-NL"/>
        </w:rPr>
        <w:t xml:space="preserve"> kleding</w:t>
      </w:r>
    </w:p>
    <w:p w:rsidRPr="004637D1" w:rsidR="004B4D2D" w:rsidP="004B4D2D" w:rsidRDefault="004B4D2D" w14:paraId="5CCD0A73" w14:textId="465493B7">
      <w:pPr>
        <w:rPr>
          <w:rFonts w:eastAsia="Calibri" w:cs="Times New Roman"/>
          <w:szCs w:val="18"/>
          <w:lang w:val="nl-NL"/>
        </w:rPr>
      </w:pPr>
      <w:r w:rsidRPr="004637D1">
        <w:rPr>
          <w:rFonts w:eastAsia="Calibri" w:cs="Times New Roman"/>
          <w:szCs w:val="18"/>
          <w:lang w:val="nl-NL"/>
        </w:rPr>
        <w:t xml:space="preserve">Zoals in de </w:t>
      </w:r>
      <w:r w:rsidR="00532923">
        <w:rPr>
          <w:rFonts w:eastAsia="Calibri" w:cs="Times New Roman"/>
          <w:szCs w:val="18"/>
          <w:lang w:val="nl-NL"/>
        </w:rPr>
        <w:t>K</w:t>
      </w:r>
      <w:r w:rsidRPr="004637D1">
        <w:rPr>
          <w:rFonts w:eastAsia="Calibri" w:cs="Times New Roman"/>
          <w:szCs w:val="18"/>
          <w:lang w:val="nl-NL"/>
        </w:rPr>
        <w:t>amerbrief van 15 april</w:t>
      </w:r>
      <w:r w:rsidR="00532923">
        <w:rPr>
          <w:rFonts w:eastAsia="Calibri" w:cs="Times New Roman"/>
          <w:szCs w:val="18"/>
          <w:lang w:val="nl-NL"/>
        </w:rPr>
        <w:t xml:space="preserve"> jl.</w:t>
      </w:r>
      <w:r w:rsidRPr="004637D1">
        <w:rPr>
          <w:rFonts w:eastAsia="Calibri" w:cs="Times New Roman"/>
          <w:szCs w:val="18"/>
          <w:lang w:val="nl-NL"/>
        </w:rPr>
        <w:t xml:space="preserve"> is aangegeven werk ik op dit moment samen met de minister van Binnenlandse Zaken en Koninkrijksrelaties aan een aanpassing van de Wet openbare manifestaties (</w:t>
      </w:r>
      <w:proofErr w:type="spellStart"/>
      <w:r w:rsidRPr="004637D1">
        <w:rPr>
          <w:rFonts w:eastAsia="Calibri" w:cs="Times New Roman"/>
          <w:szCs w:val="18"/>
          <w:lang w:val="nl-NL"/>
        </w:rPr>
        <w:t>Wom</w:t>
      </w:r>
      <w:proofErr w:type="spellEnd"/>
      <w:r w:rsidRPr="004637D1">
        <w:rPr>
          <w:rFonts w:eastAsia="Calibri" w:cs="Times New Roman"/>
          <w:szCs w:val="18"/>
          <w:lang w:val="nl-NL"/>
        </w:rPr>
        <w:t xml:space="preserve">), waarmee demonstreren met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wordt verboden. Hiermee wordt uitvoering gegeven aan de motie Eerdmans en Stoffer.</w:t>
      </w:r>
      <w:r w:rsidRPr="004637D1">
        <w:rPr>
          <w:rStyle w:val="Voetnootmarkering"/>
          <w:rFonts w:eastAsia="Calibri" w:cs="Times New Roman"/>
          <w:szCs w:val="18"/>
          <w:lang w:val="nl-NL"/>
        </w:rPr>
        <w:footnoteReference w:id="2"/>
      </w:r>
      <w:r w:rsidRPr="004637D1">
        <w:rPr>
          <w:rFonts w:eastAsia="Calibri" w:cs="Times New Roman"/>
          <w:szCs w:val="18"/>
          <w:lang w:val="nl-NL"/>
        </w:rPr>
        <w:t xml:space="preserve"> Het huidige wettelijk kader biedt burgemeesters al verschillende mogelijkheden om ter bestrijding of voorkoming van wanordelijkheden in te grijpen ten aanzien van een demonstratie. Waar het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betreft vindt het kabinet het echter wenselijk om een algemene verbodsnorm te stellen. Op deze manier kan naar de mening van het kabinet beter worden opgetreden tegen demonstranten die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dragen om doelbewust herkenning bij opsporing of handhaving van de openbare orde te voorkomen. Een dergelijk verbod moet wel effectief en uitvoerbaar zijn en ruimte laten voor situaties waarin het dragen van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een legitiem doel dient. Over de invulling van deze voorwaarden vinden momenteel gesprekken plaats. Hierbij worden ook leden van lokale driehoeken betrokken.</w:t>
      </w:r>
    </w:p>
    <w:p w:rsidRPr="004637D1" w:rsidR="004B4D2D" w:rsidP="004B4D2D" w:rsidRDefault="004B4D2D" w14:paraId="4116D896" w14:textId="77777777">
      <w:pPr>
        <w:rPr>
          <w:rFonts w:eastAsia="Calibri" w:cs="Times New Roman"/>
          <w:i/>
          <w:iCs/>
          <w:szCs w:val="18"/>
          <w:lang w:val="nl-NL"/>
        </w:rPr>
      </w:pPr>
      <w:r w:rsidRPr="004637D1">
        <w:rPr>
          <w:rFonts w:eastAsia="Calibri" w:cs="Times New Roman"/>
          <w:i/>
          <w:iCs/>
          <w:szCs w:val="18"/>
          <w:lang w:val="nl-NL"/>
        </w:rPr>
        <w:t xml:space="preserve">Schade vernielingen </w:t>
      </w:r>
      <w:r>
        <w:rPr>
          <w:rFonts w:eastAsia="Calibri" w:cs="Times New Roman"/>
          <w:i/>
          <w:iCs/>
          <w:szCs w:val="18"/>
          <w:lang w:val="nl-NL"/>
        </w:rPr>
        <w:t xml:space="preserve">en berechting </w:t>
      </w:r>
    </w:p>
    <w:p w:rsidR="004B4D2D" w:rsidP="004B4D2D" w:rsidRDefault="004B4D2D" w14:paraId="247FC12B" w14:textId="73978A64">
      <w:pPr>
        <w:rPr>
          <w:rFonts w:eastAsia="Calibri" w:cs="Times New Roman"/>
          <w:szCs w:val="18"/>
          <w:lang w:val="nl-NL"/>
        </w:rPr>
      </w:pPr>
      <w:r w:rsidRPr="004637D1">
        <w:rPr>
          <w:rFonts w:eastAsia="Calibri" w:cs="Times New Roman"/>
          <w:szCs w:val="18"/>
          <w:lang w:val="nl-NL"/>
        </w:rPr>
        <w:t>Het kabinet vind</w:t>
      </w:r>
      <w:r>
        <w:rPr>
          <w:rFonts w:eastAsia="Calibri" w:cs="Times New Roman"/>
          <w:szCs w:val="18"/>
          <w:lang w:val="nl-NL"/>
        </w:rPr>
        <w:t>t</w:t>
      </w:r>
      <w:r w:rsidRPr="004637D1">
        <w:rPr>
          <w:rFonts w:eastAsia="Calibri" w:cs="Times New Roman"/>
          <w:szCs w:val="18"/>
          <w:lang w:val="nl-NL"/>
        </w:rPr>
        <w:t xml:space="preserve"> het belangrijk dat personen die zorgen voor vernielingen bij rellen of ontwrichtende demonstraties zoveel mogelijk de door hen aangerichte schade betalen. Zoals in het halfjaarbericht politie </w:t>
      </w:r>
      <w:r w:rsidR="00532923">
        <w:rPr>
          <w:rFonts w:eastAsia="Calibri" w:cs="Times New Roman"/>
          <w:szCs w:val="18"/>
          <w:lang w:val="nl-NL"/>
        </w:rPr>
        <w:t>eerste</w:t>
      </w:r>
      <w:r w:rsidRPr="004637D1">
        <w:rPr>
          <w:rFonts w:eastAsia="Calibri" w:cs="Times New Roman"/>
          <w:szCs w:val="18"/>
          <w:lang w:val="nl-NL"/>
        </w:rPr>
        <w:t xml:space="preserve"> helft 2025 is aangegeven</w:t>
      </w:r>
      <w:r w:rsidR="00532923">
        <w:rPr>
          <w:rFonts w:eastAsia="Calibri" w:cs="Times New Roman"/>
          <w:szCs w:val="18"/>
          <w:lang w:val="nl-NL"/>
        </w:rPr>
        <w:t xml:space="preserve"> dat het </w:t>
      </w:r>
      <w:r w:rsidRPr="004637D1">
        <w:rPr>
          <w:rFonts w:eastAsia="Calibri" w:cs="Times New Roman"/>
          <w:szCs w:val="18"/>
          <w:lang w:val="nl-NL"/>
        </w:rPr>
        <w:t xml:space="preserve">een praktische belemmering </w:t>
      </w:r>
      <w:r w:rsidR="00532923">
        <w:rPr>
          <w:rFonts w:eastAsia="Calibri" w:cs="Times New Roman"/>
          <w:szCs w:val="18"/>
          <w:lang w:val="nl-NL"/>
        </w:rPr>
        <w:t xml:space="preserve">is </w:t>
      </w:r>
      <w:r w:rsidRPr="004637D1">
        <w:rPr>
          <w:rFonts w:eastAsia="Calibri" w:cs="Times New Roman"/>
          <w:szCs w:val="18"/>
          <w:lang w:val="nl-NL"/>
        </w:rPr>
        <w:t xml:space="preserve">voor schadeverhaal tijdens rellen dat het door het onoverzichtelijke en chaotische karakter van dergelijke situaties niet altijd mogelijk is om te achterhalen wie verantwoordelijk is voor welke concrete schade. Politie en OM zetten zich echter altijd in om dit waar mogelijk te achterhalen. Wanneer in het opsporingsonderzoek een verdachte wordt geïdentificeerd en vervolgd, kan het slachtoffer zich als benadeelde partij voegen </w:t>
      </w:r>
      <w:r w:rsidRPr="004637D1">
        <w:rPr>
          <w:rFonts w:eastAsia="Calibri" w:cs="Times New Roman"/>
          <w:szCs w:val="18"/>
          <w:lang w:val="nl-NL"/>
        </w:rPr>
        <w:lastRenderedPageBreak/>
        <w:t xml:space="preserve">in het strafproces om zo zijn schade te verhalen. Als in het vonnis de schadevergoedingsmaatregel wordt opgelegd, in het CJIB de schadevergoeding voor het slachtoffer bij de dader. Het slachtoffer hoeft dat niet zelf te doen. Daders kunnen ook civielrechtelijk worden aangesproken. Er wordt gewerkt aan verschillende maatregelen om het verhalen van schade te verbeteren en te vergemakkelijken. Hiervoor wordt verwezen naar de </w:t>
      </w:r>
      <w:proofErr w:type="spellStart"/>
      <w:r w:rsidRPr="004637D1">
        <w:rPr>
          <w:rFonts w:eastAsia="Calibri" w:cs="Times New Roman"/>
          <w:szCs w:val="18"/>
          <w:lang w:val="nl-NL"/>
        </w:rPr>
        <w:t>Meerjarenagenda</w:t>
      </w:r>
      <w:proofErr w:type="spellEnd"/>
      <w:r w:rsidRPr="004637D1">
        <w:rPr>
          <w:rFonts w:eastAsia="Calibri" w:cs="Times New Roman"/>
          <w:szCs w:val="18"/>
          <w:lang w:val="nl-NL"/>
        </w:rPr>
        <w:t xml:space="preserve"> Slachtofferbeleid 2025-2028 die op 25 juni jl. met uw Kamer is gedeeld.</w:t>
      </w:r>
    </w:p>
    <w:p w:rsidR="004B4D2D" w:rsidP="004B4D2D" w:rsidRDefault="004B4D2D" w14:paraId="54225DD2" w14:textId="77777777">
      <w:pPr>
        <w:rPr>
          <w:rFonts w:eastAsia="Calibri" w:cs="Times New Roman"/>
          <w:szCs w:val="18"/>
          <w:lang w:val="nl-NL"/>
        </w:rPr>
      </w:pPr>
      <w:r w:rsidRPr="004637D1">
        <w:rPr>
          <w:rFonts w:eastAsia="Calibri" w:cs="Times New Roman"/>
          <w:szCs w:val="18"/>
          <w:lang w:val="nl-NL"/>
        </w:rPr>
        <w:t>Daarnaast zal ik bij het Openbaar Ministerie aandacht vragen voor een stevige aanpak van discriminatoire delicten en het daar waar mogelijk toepassen van (super)snelrecht.</w:t>
      </w:r>
    </w:p>
    <w:p w:rsidRPr="003365C6" w:rsidR="004B4D2D" w:rsidP="004B4D2D" w:rsidRDefault="004B4D2D" w14:paraId="45761AE7" w14:textId="77777777">
      <w:pPr>
        <w:rPr>
          <w:rFonts w:eastAsia="Calibri" w:cs="Times New Roman"/>
          <w:szCs w:val="18"/>
          <w:lang w:val="nl-NL"/>
        </w:rPr>
      </w:pPr>
      <w:r>
        <w:rPr>
          <w:szCs w:val="18"/>
          <w:lang w:val="nl-NL"/>
        </w:rPr>
        <w:br/>
      </w:r>
      <w:r>
        <w:rPr>
          <w:b/>
          <w:bCs/>
          <w:u w:val="single"/>
          <w:lang w:val="nl-NL"/>
        </w:rPr>
        <w:t>Brede a</w:t>
      </w:r>
      <w:r w:rsidRPr="003F6118">
        <w:rPr>
          <w:b/>
          <w:bCs/>
          <w:u w:val="single"/>
          <w:lang w:val="nl-NL"/>
        </w:rPr>
        <w:t xml:space="preserve">anpak </w:t>
      </w:r>
      <w:r>
        <w:rPr>
          <w:b/>
          <w:bCs/>
          <w:u w:val="single"/>
          <w:lang w:val="nl-NL"/>
        </w:rPr>
        <w:t>rechts-extremisme</w:t>
      </w:r>
    </w:p>
    <w:p w:rsidRPr="00C26260" w:rsidR="004B4D2D" w:rsidP="004B4D2D" w:rsidRDefault="004B4D2D" w14:paraId="5EF2F30C" w14:textId="77777777">
      <w:pPr>
        <w:rPr>
          <w:lang w:val="nl-NL"/>
        </w:rPr>
      </w:pPr>
      <w:r w:rsidRPr="00C26260">
        <w:rPr>
          <w:lang w:val="nl-NL"/>
        </w:rPr>
        <w:t xml:space="preserve">De aanpak van extremisme is gericht op het tegengaan en voorkomen van alle vormen </w:t>
      </w:r>
      <w:r>
        <w:rPr>
          <w:lang w:val="nl-NL"/>
        </w:rPr>
        <w:t xml:space="preserve">hiervan </w:t>
      </w:r>
      <w:r w:rsidRPr="00C26260">
        <w:rPr>
          <w:lang w:val="nl-NL"/>
        </w:rPr>
        <w:t xml:space="preserve">die Nederland bedreigen. Sinds het verschijnen van DTN 56 en de Kamerbrief over de aanpak van </w:t>
      </w:r>
      <w:r>
        <w:rPr>
          <w:lang w:val="nl-NL"/>
        </w:rPr>
        <w:t>rechts-extremisme</w:t>
      </w:r>
      <w:r w:rsidRPr="00C26260">
        <w:rPr>
          <w:lang w:val="nl-NL"/>
        </w:rPr>
        <w:t xml:space="preserve"> in oktober 2021, is de inzet </w:t>
      </w:r>
      <w:r>
        <w:rPr>
          <w:lang w:val="nl-NL"/>
        </w:rPr>
        <w:t>van</w:t>
      </w:r>
      <w:r w:rsidRPr="00C26260">
        <w:rPr>
          <w:lang w:val="nl-NL"/>
        </w:rPr>
        <w:t xml:space="preserve"> de inlichtingen</w:t>
      </w:r>
      <w:r>
        <w:rPr>
          <w:lang w:val="nl-NL"/>
        </w:rPr>
        <w:t>- en veiligheids</w:t>
      </w:r>
      <w:r w:rsidRPr="00C26260">
        <w:rPr>
          <w:lang w:val="nl-NL"/>
        </w:rPr>
        <w:t>dienst</w:t>
      </w:r>
      <w:r>
        <w:rPr>
          <w:lang w:val="nl-NL"/>
        </w:rPr>
        <w:t>en</w:t>
      </w:r>
      <w:r w:rsidRPr="00C26260">
        <w:rPr>
          <w:lang w:val="nl-NL"/>
        </w:rPr>
        <w:t xml:space="preserve"> op de rechts-extremistische- en terroristische dreiging in Nederland geïntensiveerd en is de aanpak verstevigd waar nodig.</w:t>
      </w:r>
    </w:p>
    <w:p w:rsidRPr="003314E1" w:rsidR="004B4D2D" w:rsidP="004B4D2D" w:rsidRDefault="004B4D2D" w14:paraId="2962F91D" w14:textId="77777777">
      <w:pPr>
        <w:rPr>
          <w:i/>
          <w:iCs/>
          <w:lang w:val="nl-NL"/>
        </w:rPr>
      </w:pPr>
      <w:r w:rsidRPr="003314E1">
        <w:rPr>
          <w:i/>
          <w:iCs/>
          <w:lang w:val="nl-NL"/>
        </w:rPr>
        <w:t xml:space="preserve">Online </w:t>
      </w:r>
    </w:p>
    <w:p w:rsidRPr="00C26260" w:rsidR="00F643B3" w:rsidP="004B4D2D" w:rsidRDefault="004B4D2D" w14:paraId="1340B154" w14:textId="33DFA3A8">
      <w:pPr>
        <w:rPr>
          <w:lang w:val="nl-NL"/>
        </w:rPr>
      </w:pPr>
      <w:r w:rsidRPr="00C26260">
        <w:rPr>
          <w:lang w:val="nl-NL"/>
        </w:rPr>
        <w:t xml:space="preserve">De snelle online radicalisering en mogelijke geweldsdreiging van met name jongeren in rechts-terroristische online netwerken legt bloot dat het online domein anoniem is, een corrigerend geluid mist en door terroristen en extremisten </w:t>
      </w:r>
      <w:r>
        <w:rPr>
          <w:lang w:val="nl-NL"/>
        </w:rPr>
        <w:t xml:space="preserve">wordt </w:t>
      </w:r>
      <w:r w:rsidRPr="00C26260">
        <w:rPr>
          <w:lang w:val="nl-NL"/>
        </w:rPr>
        <w:t xml:space="preserve">benut om hun gedachtegoed te verspreiden en netwerken te onderhouden. Hierbij wordt veel gebruik gemaakt van groepen die zich bevinden op gesloten platformen, waarbij detectiemogelijkheden beperkt zijn. De handelingsmogelijkheden van de overheid liggen met name ten aanzien van de open platformen. Hoewel we de Autoriteit online Terroristisch en </w:t>
      </w:r>
      <w:proofErr w:type="spellStart"/>
      <w:r w:rsidRPr="00C26260">
        <w:rPr>
          <w:lang w:val="nl-NL"/>
        </w:rPr>
        <w:t>Kinderpornografisch</w:t>
      </w:r>
      <w:proofErr w:type="spellEnd"/>
      <w:r w:rsidRPr="00C26260">
        <w:rPr>
          <w:lang w:val="nl-NL"/>
        </w:rPr>
        <w:t xml:space="preserve"> Materiaal (hierna: ATKM) hebben die effectief kan optreden tegen terroristische content, heeft de ATKM alleen bevoegdheden op open platformen. Voor het optreden tegen content die zeer onwenselijk is, maar net niet de lat van strafbaarheid haalt, en het voorkomen van doorlinken</w:t>
      </w:r>
      <w:r>
        <w:rPr>
          <w:lang w:val="nl-NL"/>
        </w:rPr>
        <w:t xml:space="preserve">, is de overheid </w:t>
      </w:r>
      <w:r w:rsidRPr="00C26260">
        <w:rPr>
          <w:lang w:val="nl-NL"/>
        </w:rPr>
        <w:t xml:space="preserve">grotendeels afhankelijk van de internetsector. De Digital Service Act legt zorgvuldigheidsverplichtingen op aan online platformen om bij te dragen aan het creëren van een veilige online omgeving. Daarnaast werk ik aan effectieve interventiemogelijkheden en zoek </w:t>
      </w:r>
      <w:r>
        <w:rPr>
          <w:lang w:val="nl-NL"/>
        </w:rPr>
        <w:t>ik</w:t>
      </w:r>
      <w:r w:rsidRPr="00C26260">
        <w:rPr>
          <w:lang w:val="nl-NL"/>
        </w:rPr>
        <w:t xml:space="preserve"> de samenwerking op met de sector</w:t>
      </w:r>
      <w:r>
        <w:rPr>
          <w:lang w:val="nl-NL"/>
        </w:rPr>
        <w:t>.</w:t>
      </w:r>
      <w:r w:rsidRPr="00C26260">
        <w:rPr>
          <w:lang w:val="nl-NL"/>
        </w:rPr>
        <w:t xml:space="preserve"> </w:t>
      </w:r>
      <w:r>
        <w:rPr>
          <w:lang w:val="nl-NL"/>
        </w:rPr>
        <w:t>Zo start in december 2025 de pilot met de</w:t>
      </w:r>
      <w:r w:rsidRPr="00C26260">
        <w:rPr>
          <w:lang w:val="nl-NL"/>
        </w:rPr>
        <w:t xml:space="preserve"> </w:t>
      </w:r>
      <w:proofErr w:type="spellStart"/>
      <w:r w:rsidRPr="00C26260">
        <w:rPr>
          <w:lang w:val="nl-NL"/>
        </w:rPr>
        <w:t>ReDirect</w:t>
      </w:r>
      <w:proofErr w:type="spellEnd"/>
      <w:r w:rsidRPr="00C26260">
        <w:rPr>
          <w:lang w:val="nl-NL"/>
        </w:rPr>
        <w:t>-methode</w:t>
      </w:r>
      <w:r>
        <w:rPr>
          <w:lang w:val="nl-NL"/>
        </w:rPr>
        <w:t xml:space="preserve">, waarbij </w:t>
      </w:r>
      <w:r w:rsidRPr="00C26260">
        <w:rPr>
          <w:lang w:val="nl-NL"/>
        </w:rPr>
        <w:t xml:space="preserve">gebruikers die online zoeken naar terroristische of extremistische content </w:t>
      </w:r>
      <w:r>
        <w:rPr>
          <w:lang w:val="nl-NL"/>
        </w:rPr>
        <w:t xml:space="preserve">worden </w:t>
      </w:r>
      <w:r w:rsidRPr="00C26260">
        <w:rPr>
          <w:lang w:val="nl-NL"/>
        </w:rPr>
        <w:t xml:space="preserve">geconfronteerd met een informatieveld om hen door te geleiden naar online hulp. Aanvullend wordt voortdurend bekeken of de huidige wet- en regelgeving toereikend is, en blijf ik mij inzetten </w:t>
      </w:r>
      <w:r>
        <w:rPr>
          <w:lang w:val="nl-NL"/>
        </w:rPr>
        <w:t>voor</w:t>
      </w:r>
      <w:r w:rsidRPr="00C26260">
        <w:rPr>
          <w:lang w:val="nl-NL"/>
        </w:rPr>
        <w:t xml:space="preserve"> preventie, educatie en samenwerking met lokale en internationale partners.</w:t>
      </w:r>
    </w:p>
    <w:p w:rsidRPr="004C65FC" w:rsidR="004B4D2D" w:rsidP="004B4D2D" w:rsidRDefault="004B4D2D" w14:paraId="53683588" w14:textId="77777777">
      <w:pPr>
        <w:rPr>
          <w:rFonts w:eastAsia="Calibri" w:cs="Times New Roman"/>
          <w:i/>
          <w:iCs/>
          <w:lang w:val="nl-NL"/>
        </w:rPr>
      </w:pPr>
      <w:r w:rsidRPr="004C65FC">
        <w:rPr>
          <w:rFonts w:eastAsia="Calibri" w:cs="Times New Roman"/>
          <w:i/>
          <w:iCs/>
          <w:lang w:val="nl-NL"/>
        </w:rPr>
        <w:t>Kennis en kunde vergroten</w:t>
      </w:r>
    </w:p>
    <w:p w:rsidRPr="004C65FC" w:rsidR="004B4D2D" w:rsidP="004B4D2D" w:rsidRDefault="004B4D2D" w14:paraId="5FDA85D6" w14:textId="77777777">
      <w:pPr>
        <w:rPr>
          <w:rFonts w:eastAsia="Calibri" w:cs="Times New Roman"/>
          <w:lang w:val="nl-NL"/>
        </w:rPr>
      </w:pPr>
      <w:r>
        <w:rPr>
          <w:rFonts w:eastAsia="Calibri" w:cs="Times New Roman"/>
          <w:lang w:val="nl-NL"/>
        </w:rPr>
        <w:t>Om t</w:t>
      </w:r>
      <w:r w:rsidRPr="004C65FC">
        <w:rPr>
          <w:rFonts w:eastAsia="Calibri" w:cs="Times New Roman"/>
          <w:lang w:val="nl-NL"/>
        </w:rPr>
        <w:t xml:space="preserve">ijdig signalen van </w:t>
      </w:r>
      <w:r>
        <w:rPr>
          <w:rFonts w:eastAsia="Calibri" w:cs="Times New Roman"/>
          <w:lang w:val="nl-NL"/>
        </w:rPr>
        <w:t>rechts-extremisme</w:t>
      </w:r>
      <w:r w:rsidRPr="004C65FC">
        <w:rPr>
          <w:rFonts w:eastAsia="Calibri" w:cs="Times New Roman"/>
          <w:lang w:val="nl-NL"/>
        </w:rPr>
        <w:t xml:space="preserve">- en terrorisme </w:t>
      </w:r>
      <w:r>
        <w:rPr>
          <w:rFonts w:eastAsia="Calibri" w:cs="Times New Roman"/>
          <w:lang w:val="nl-NL"/>
        </w:rPr>
        <w:t xml:space="preserve">te </w:t>
      </w:r>
      <w:r w:rsidRPr="004C65FC">
        <w:rPr>
          <w:rFonts w:eastAsia="Calibri" w:cs="Times New Roman"/>
          <w:lang w:val="nl-NL"/>
        </w:rPr>
        <w:t xml:space="preserve">onderkennen, wordt voortdurend </w:t>
      </w:r>
      <w:r>
        <w:rPr>
          <w:rFonts w:eastAsia="Calibri" w:cs="Times New Roman"/>
          <w:lang w:val="nl-NL"/>
        </w:rPr>
        <w:t>ingezet op het behouden en vergroten van</w:t>
      </w:r>
      <w:r w:rsidRPr="004C65FC">
        <w:rPr>
          <w:rFonts w:eastAsia="Calibri" w:cs="Times New Roman"/>
          <w:lang w:val="nl-NL"/>
        </w:rPr>
        <w:t xml:space="preserve"> kennis en kunde bij (lokale) professionals. Zo is onder meer het trainingsaanbod van het Rijksopleidingsinstituut Radicalisering (ROR) uitgebreid met trainingen op het gebied van rechts-extremisme. Het ROR biedt een thematraining ‘</w:t>
      </w:r>
      <w:r>
        <w:rPr>
          <w:rFonts w:eastAsia="Calibri" w:cs="Times New Roman"/>
          <w:lang w:val="nl-NL"/>
        </w:rPr>
        <w:t>Rechts-extremisme</w:t>
      </w:r>
      <w:r w:rsidRPr="004C65FC">
        <w:rPr>
          <w:rFonts w:eastAsia="Calibri" w:cs="Times New Roman"/>
          <w:lang w:val="nl-NL"/>
        </w:rPr>
        <w:t xml:space="preserve">’ aan die in 2023 is doorontwikkeld op basis van de laatste inzichten </w:t>
      </w:r>
      <w:r w:rsidRPr="004C65FC">
        <w:rPr>
          <w:rFonts w:eastAsia="Calibri" w:cs="Times New Roman"/>
          <w:lang w:val="nl-NL"/>
        </w:rPr>
        <w:lastRenderedPageBreak/>
        <w:t>en voortdurend tegen het licht wordt gehouden bij nieuwe ontwikkelingen. Daarnaast heeft NCTV samen met Nationale Politie een Symbolenbank ontwikkeld met daarin informatie over rechts-extremistische symbolen. Deze Symbolenbank is beschikbaar voor politieagenten en andere professionals die in hun werk in aanraking kunnen komen met rechts-extremistische symboliek en helpt bij het herkennen hiervan.</w:t>
      </w:r>
    </w:p>
    <w:p w:rsidRPr="004C65FC" w:rsidR="004B4D2D" w:rsidP="004B4D2D" w:rsidRDefault="004B4D2D" w14:paraId="5D4D3E01" w14:textId="77777777">
      <w:pPr>
        <w:rPr>
          <w:rFonts w:eastAsia="Calibri" w:cs="Times New Roman"/>
          <w:i/>
          <w:iCs/>
          <w:lang w:val="nl-NL"/>
        </w:rPr>
      </w:pPr>
      <w:r w:rsidRPr="004C65FC">
        <w:rPr>
          <w:rFonts w:eastAsia="Calibri" w:cs="Times New Roman"/>
          <w:i/>
          <w:iCs/>
          <w:lang w:val="nl-NL"/>
        </w:rPr>
        <w:t>Lokale aanpak</w:t>
      </w:r>
    </w:p>
    <w:p w:rsidR="004B4D2D" w:rsidP="004B4D2D" w:rsidRDefault="004B4D2D" w14:paraId="77508F57" w14:textId="77777777">
      <w:pPr>
        <w:rPr>
          <w:rFonts w:eastAsia="Calibri" w:cs="Times New Roman"/>
          <w:lang w:val="nl-NL"/>
        </w:rPr>
      </w:pPr>
      <w:r w:rsidRPr="004C65FC">
        <w:rPr>
          <w:rFonts w:eastAsia="Calibri" w:cs="Times New Roman"/>
          <w:lang w:val="nl-NL"/>
        </w:rPr>
        <w:t>Gemeente</w:t>
      </w:r>
      <w:r>
        <w:rPr>
          <w:rFonts w:eastAsia="Calibri" w:cs="Times New Roman"/>
          <w:lang w:val="nl-NL"/>
        </w:rPr>
        <w:t>n</w:t>
      </w:r>
      <w:r w:rsidRPr="004C65FC">
        <w:rPr>
          <w:rFonts w:eastAsia="Calibri" w:cs="Times New Roman"/>
          <w:lang w:val="nl-NL"/>
        </w:rPr>
        <w:t xml:space="preserve"> spelen een cruciale rol in het tegengaan van radicalisering en het verminderen van de dreiging die kan uitgaan van extremistische personen. Als bepaalde acties of gedragingen de lat van extremisme of terrorisme halen, dan kunnen personen worden opgenomen in de lokale persoonsgerichte aanpak radicalisering. Binnen deze aanpak kunnen maatregelen vanuit de verschillende domeinen worden afgestemd. De lokale professionals zijn geëquipeerd om signalen van alle vormen van extremisme te herkennen en in samenwerking met andere (lokale) ketenpartners een passende aanpak op maat op te stellen. Door middel van de Versterkingsgelden die het Rijk jaarlijks beschikbaar stelt, zetten gemeenten projecten in ten behoeve van de integrale lokale aanpak. De lokale aanpak bestaat uit programma’s en projecten om jongeren weerbaar</w:t>
      </w:r>
      <w:r>
        <w:rPr>
          <w:rFonts w:eastAsia="Calibri" w:cs="Times New Roman"/>
          <w:lang w:val="nl-NL"/>
        </w:rPr>
        <w:t>der te maken</w:t>
      </w:r>
      <w:r w:rsidRPr="004C65FC">
        <w:rPr>
          <w:rFonts w:eastAsia="Calibri" w:cs="Times New Roman"/>
          <w:lang w:val="nl-NL"/>
        </w:rPr>
        <w:t xml:space="preserve">. </w:t>
      </w:r>
    </w:p>
    <w:p w:rsidR="004B4D2D" w:rsidP="004B4D2D" w:rsidRDefault="004B4D2D" w14:paraId="6897FAC8" w14:textId="77777777">
      <w:pPr>
        <w:rPr>
          <w:rFonts w:eastAsia="Calibri" w:cs="Times New Roman"/>
          <w:i/>
          <w:iCs/>
          <w:lang w:val="nl-NL"/>
        </w:rPr>
      </w:pPr>
      <w:r w:rsidRPr="005F1D10">
        <w:rPr>
          <w:rFonts w:eastAsia="Calibri" w:cs="Times New Roman"/>
          <w:i/>
          <w:iCs/>
          <w:lang w:val="nl-NL"/>
        </w:rPr>
        <w:t>Bevorderen, beschermen, bestrijde</w:t>
      </w:r>
      <w:r>
        <w:rPr>
          <w:rFonts w:eastAsia="Calibri" w:cs="Times New Roman"/>
          <w:i/>
          <w:iCs/>
          <w:lang w:val="nl-NL"/>
        </w:rPr>
        <w:t>n</w:t>
      </w:r>
    </w:p>
    <w:p w:rsidR="004B4D2D" w:rsidP="004B4D2D" w:rsidRDefault="004B4D2D" w14:paraId="20EE1317" w14:textId="25962A17">
      <w:pPr>
        <w:rPr>
          <w:rFonts w:eastAsia="Calibri" w:cs="Times New Roman"/>
          <w:lang w:val="nl-NL"/>
        </w:rPr>
      </w:pPr>
      <w:r>
        <w:rPr>
          <w:rFonts w:eastAsia="Calibri" w:cs="Times New Roman"/>
          <w:lang w:val="nl-NL"/>
        </w:rPr>
        <w:t>Voorts wil ik benadrukken dat e</w:t>
      </w:r>
      <w:r w:rsidRPr="00BD4B5B">
        <w:rPr>
          <w:rFonts w:eastAsia="Calibri" w:cs="Times New Roman"/>
          <w:lang w:val="nl-NL"/>
        </w:rPr>
        <w:t xml:space="preserve">xtremisme niet </w:t>
      </w:r>
      <w:r>
        <w:rPr>
          <w:rFonts w:eastAsia="Calibri" w:cs="Times New Roman"/>
          <w:lang w:val="nl-NL"/>
        </w:rPr>
        <w:t>alleen</w:t>
      </w:r>
      <w:r w:rsidRPr="00BD4B5B">
        <w:rPr>
          <w:rFonts w:eastAsia="Calibri" w:cs="Times New Roman"/>
          <w:lang w:val="nl-NL"/>
        </w:rPr>
        <w:t xml:space="preserve"> vanuit een veiligheidsperspectief kan worden tegengegaan. </w:t>
      </w:r>
      <w:r>
        <w:rPr>
          <w:rFonts w:eastAsia="Calibri" w:cs="Times New Roman"/>
          <w:lang w:val="nl-NL"/>
        </w:rPr>
        <w:t>Het is van belang om ook aan de voorkant te zorgen dat voedingsbodems voor extremisme worden weggenomen. Dit moeten we vanuit verschillende invalshoeken doen</w:t>
      </w:r>
      <w:r w:rsidRPr="00BD4B5B">
        <w:rPr>
          <w:rFonts w:eastAsia="Calibri" w:cs="Times New Roman"/>
          <w:lang w:val="nl-NL"/>
        </w:rPr>
        <w:t>; van het investeren in de weerbaarheid</w:t>
      </w:r>
      <w:r>
        <w:rPr>
          <w:rFonts w:eastAsia="Calibri" w:cs="Times New Roman"/>
          <w:lang w:val="nl-NL"/>
        </w:rPr>
        <w:t xml:space="preserve"> van de samenleving</w:t>
      </w:r>
      <w:r w:rsidRPr="00BD4B5B">
        <w:rPr>
          <w:rFonts w:eastAsia="Calibri" w:cs="Times New Roman"/>
          <w:lang w:val="nl-NL"/>
        </w:rPr>
        <w:t xml:space="preserve">, het beschermen van de democratische rechtsorde tegen desinformatie tot het weerbaarder maken van individuen tegen complotten en de aantrekkingskracht van geweld. </w:t>
      </w:r>
      <w:r>
        <w:rPr>
          <w:rFonts w:eastAsia="Calibri" w:cs="Times New Roman"/>
          <w:lang w:val="nl-NL"/>
        </w:rPr>
        <w:t>Daarnaast</w:t>
      </w:r>
      <w:r w:rsidRPr="00BD4B5B">
        <w:rPr>
          <w:rFonts w:eastAsia="Calibri" w:cs="Times New Roman"/>
          <w:lang w:val="nl-NL"/>
        </w:rPr>
        <w:t xml:space="preserve"> is er natuurlijk ook een krachtig overheidsoptreden nodig indien grenzen worden overschreden, geweld wordt gebruikt of anderen worden aangezet tot geweld. </w:t>
      </w:r>
      <w:r w:rsidRPr="005F1D10">
        <w:rPr>
          <w:rFonts w:eastAsia="Calibri" w:cs="Times New Roman"/>
          <w:lang w:val="nl-NL"/>
        </w:rPr>
        <w:t>Extremisme is dus zowel een sociaal-maatschappelijk als een veiligheidsvraagstuk</w:t>
      </w:r>
      <w:r>
        <w:rPr>
          <w:rFonts w:eastAsia="Calibri" w:cs="Times New Roman"/>
          <w:lang w:val="nl-NL"/>
        </w:rPr>
        <w:t xml:space="preserve"> en het vraagt betrokkenheid van ons allemaal, zoals ook beschreven in de Nationale Extremisme Strategie.</w:t>
      </w:r>
      <w:r>
        <w:rPr>
          <w:rStyle w:val="Voetnootmarkering"/>
          <w:rFonts w:eastAsia="Calibri" w:cs="Times New Roman"/>
          <w:lang w:val="nl-NL"/>
        </w:rPr>
        <w:footnoteReference w:id="3"/>
      </w:r>
    </w:p>
    <w:p w:rsidR="004B4D2D" w:rsidP="004B4D2D" w:rsidRDefault="004B4D2D" w14:paraId="32D2B35B" w14:textId="77777777">
      <w:pPr>
        <w:rPr>
          <w:lang w:val="nl-NL"/>
        </w:rPr>
      </w:pPr>
      <w:r w:rsidRPr="002541D7">
        <w:rPr>
          <w:b/>
          <w:bCs/>
          <w:lang w:val="nl-NL"/>
        </w:rPr>
        <w:t>Tot slot</w:t>
      </w:r>
      <w:r w:rsidRPr="00BD4B5B">
        <w:rPr>
          <w:lang w:val="nl-NL"/>
        </w:rPr>
        <w:t xml:space="preserve"> </w:t>
      </w:r>
    </w:p>
    <w:p w:rsidR="004B4D2D" w:rsidP="004B4D2D" w:rsidRDefault="004B4D2D" w14:paraId="58376E2B" w14:textId="77777777">
      <w:pPr>
        <w:rPr>
          <w:lang w:val="nl-NL"/>
        </w:rPr>
      </w:pPr>
      <w:r w:rsidRPr="005A0417">
        <w:rPr>
          <w:lang w:val="nl-NL"/>
        </w:rPr>
        <w:t xml:space="preserve">In Nederland is geen plaats voor geweld en extremisme. Het kabinet zet alles op alles om dit te bestrijden. Via deze weg wil ik mijn grote dank uitspreken voor de politieagenten die elke dag in de vuurlinie staan om ons veilig te houden. Ook op momenten dat zij geconfronteerd worden met buitenproportioneel geweld. Ik roep iedereen op: blijf van de mensen die voor onze veiligheid zorgen af. </w:t>
      </w:r>
    </w:p>
    <w:p w:rsidRPr="00ED585D" w:rsidR="004B4D2D" w:rsidP="004B4D2D" w:rsidRDefault="004B4D2D" w14:paraId="618A45BB" w14:textId="77777777">
      <w:pPr>
        <w:rPr>
          <w:lang w:val="nl-NL"/>
        </w:rPr>
      </w:pPr>
    </w:p>
    <w:p w:rsidR="004B4D2D" w:rsidP="004B4D2D" w:rsidRDefault="004B4D2D" w14:paraId="10A1F62C" w14:textId="77777777">
      <w:pPr>
        <w:rPr>
          <w:lang w:val="nl-NL"/>
        </w:rPr>
      </w:pPr>
      <w:r w:rsidRPr="00ED585D">
        <w:rPr>
          <w:lang w:val="nl-NL"/>
        </w:rPr>
        <w:t>De Minister van Justitie en Veiligheid,</w:t>
      </w:r>
    </w:p>
    <w:p w:rsidR="004B4D2D" w:rsidP="004B4D2D" w:rsidRDefault="004B4D2D" w14:paraId="6637AE57" w14:textId="77777777">
      <w:pPr>
        <w:rPr>
          <w:lang w:val="nl-NL"/>
        </w:rPr>
      </w:pPr>
    </w:p>
    <w:p w:rsidR="004B4D2D" w:rsidP="004B4D2D" w:rsidRDefault="004B4D2D" w14:paraId="7C70248C" w14:textId="77777777">
      <w:pPr>
        <w:rPr>
          <w:lang w:val="nl-NL"/>
        </w:rPr>
      </w:pPr>
    </w:p>
    <w:p w:rsidRPr="00EC07DA" w:rsidR="00EC07DA" w:rsidP="00EC07DA" w:rsidRDefault="004B4D2D" w14:paraId="710FD62B" w14:textId="79008584">
      <w:pPr>
        <w:rPr>
          <w:lang w:val="nl-NL"/>
        </w:rPr>
      </w:pPr>
      <w:proofErr w:type="spellStart"/>
      <w:r>
        <w:rPr>
          <w:lang w:val="nl-NL"/>
        </w:rPr>
        <w:t>Foort</w:t>
      </w:r>
      <w:proofErr w:type="spellEnd"/>
      <w:r>
        <w:rPr>
          <w:lang w:val="nl-NL"/>
        </w:rPr>
        <w:t xml:space="preserve"> van Oosten</w:t>
      </w:r>
    </w:p>
    <w:sectPr w:rsidRPr="00EC07DA" w:rsidR="00EC07DA" w:rsidSect="005C424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F244" w14:textId="77777777" w:rsidR="00F86620" w:rsidRDefault="00F86620">
      <w:pPr>
        <w:spacing w:line="240" w:lineRule="auto"/>
      </w:pPr>
      <w:r>
        <w:separator/>
      </w:r>
    </w:p>
  </w:endnote>
  <w:endnote w:type="continuationSeparator" w:id="0">
    <w:p w14:paraId="398428E4" w14:textId="77777777" w:rsidR="00F86620" w:rsidRDefault="00F8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3E2E" w14:textId="77777777" w:rsidR="00F86620" w:rsidRDefault="00F86620">
      <w:pPr>
        <w:spacing w:line="240" w:lineRule="auto"/>
      </w:pPr>
      <w:r>
        <w:separator/>
      </w:r>
    </w:p>
  </w:footnote>
  <w:footnote w:type="continuationSeparator" w:id="0">
    <w:p w14:paraId="3139C1DA" w14:textId="77777777" w:rsidR="00F86620" w:rsidRDefault="00F86620">
      <w:pPr>
        <w:spacing w:line="240" w:lineRule="auto"/>
      </w:pPr>
      <w:r>
        <w:continuationSeparator/>
      </w:r>
    </w:p>
  </w:footnote>
  <w:footnote w:id="1">
    <w:p w14:paraId="561A2E11" w14:textId="77777777" w:rsidR="004B4D2D" w:rsidRPr="007D793D" w:rsidRDefault="004B4D2D" w:rsidP="004B4D2D">
      <w:pPr>
        <w:pStyle w:val="Voetnoottekst"/>
        <w:rPr>
          <w:sz w:val="16"/>
          <w:szCs w:val="16"/>
          <w:lang w:val="nl-NL"/>
        </w:rPr>
      </w:pPr>
      <w:r w:rsidRPr="007D793D">
        <w:rPr>
          <w:rStyle w:val="Voetnootmarkering"/>
          <w:sz w:val="16"/>
          <w:szCs w:val="16"/>
          <w:lang w:val="nl-NL"/>
        </w:rPr>
        <w:footnoteRef/>
      </w:r>
      <w:r w:rsidRPr="007D793D">
        <w:rPr>
          <w:sz w:val="16"/>
          <w:szCs w:val="16"/>
          <w:lang w:val="nl-NL"/>
        </w:rPr>
        <w:t xml:space="preserve"> Gedachtegoed is rechts-extremistisch als een of meer van de volgende denkbeelden centraal staan: racisme en wit </w:t>
      </w:r>
      <w:proofErr w:type="spellStart"/>
      <w:r w:rsidRPr="007D793D">
        <w:rPr>
          <w:sz w:val="16"/>
          <w:szCs w:val="16"/>
          <w:lang w:val="nl-NL"/>
        </w:rPr>
        <w:t>superioriteitsdenken</w:t>
      </w:r>
      <w:proofErr w:type="spellEnd"/>
      <w:r w:rsidRPr="007D793D">
        <w:rPr>
          <w:sz w:val="16"/>
          <w:szCs w:val="16"/>
          <w:lang w:val="nl-NL"/>
        </w:rPr>
        <w:t xml:space="preserve">, antisemitisme, vreemdelingenhaat (inclusief moslimhaat), haat jegens vreemde (cultuur)elementen, de </w:t>
      </w:r>
      <w:proofErr w:type="spellStart"/>
      <w:r w:rsidRPr="007D793D">
        <w:rPr>
          <w:sz w:val="16"/>
          <w:szCs w:val="16"/>
          <w:lang w:val="nl-NL"/>
        </w:rPr>
        <w:t>omvolkingstheorie</w:t>
      </w:r>
      <w:proofErr w:type="spellEnd"/>
      <w:r w:rsidRPr="007D793D">
        <w:rPr>
          <w:sz w:val="16"/>
          <w:szCs w:val="16"/>
          <w:lang w:val="nl-NL"/>
        </w:rPr>
        <w:t xml:space="preserve"> en ultranationalisme.</w:t>
      </w:r>
    </w:p>
  </w:footnote>
  <w:footnote w:id="2">
    <w:p w14:paraId="45661CEA" w14:textId="77777777" w:rsidR="004B4D2D" w:rsidRPr="00ED585D" w:rsidRDefault="004B4D2D" w:rsidP="004B4D2D">
      <w:pPr>
        <w:pStyle w:val="Voetnoottekst"/>
        <w:rPr>
          <w:b/>
          <w:bCs/>
          <w:lang w:val="nl-NL"/>
        </w:rPr>
      </w:pPr>
      <w:r>
        <w:rPr>
          <w:rStyle w:val="Voetnootmarkering"/>
        </w:rPr>
        <w:footnoteRef/>
      </w:r>
      <w:r w:rsidRPr="00ED585D">
        <w:rPr>
          <w:lang w:val="nl-NL"/>
        </w:rPr>
        <w:t xml:space="preserve"> </w:t>
      </w:r>
      <w:r w:rsidRPr="003F2000">
        <w:rPr>
          <w:sz w:val="16"/>
          <w:szCs w:val="16"/>
          <w:lang w:val="nl-NL"/>
        </w:rPr>
        <w:t>Kamerstukken II 2024-2025, 36 600, nr. 34. Zie ook de motie Eerdmans, Kamerstukken II 2024-2025, 29 628, nr. 1229.</w:t>
      </w:r>
    </w:p>
  </w:footnote>
  <w:footnote w:id="3">
    <w:p w14:paraId="79701592" w14:textId="77777777" w:rsidR="004B4D2D" w:rsidRPr="007D793D" w:rsidRDefault="004B4D2D" w:rsidP="004B4D2D">
      <w:pPr>
        <w:pStyle w:val="Voetnoottekst"/>
        <w:rPr>
          <w:sz w:val="16"/>
          <w:szCs w:val="16"/>
          <w:lang w:val="nl-NL"/>
        </w:rPr>
      </w:pPr>
      <w:r w:rsidRPr="007D793D">
        <w:rPr>
          <w:rStyle w:val="Voetnootmarkering"/>
          <w:sz w:val="16"/>
          <w:szCs w:val="16"/>
        </w:rPr>
        <w:footnoteRef/>
      </w:r>
      <w:r w:rsidRPr="007D793D">
        <w:rPr>
          <w:sz w:val="16"/>
          <w:szCs w:val="16"/>
        </w:rPr>
        <w:t xml:space="preserve"> De Nationale </w:t>
      </w:r>
      <w:proofErr w:type="spellStart"/>
      <w:r w:rsidRPr="007D793D">
        <w:rPr>
          <w:sz w:val="16"/>
          <w:szCs w:val="16"/>
        </w:rPr>
        <w:t>Extremisme</w:t>
      </w:r>
      <w:proofErr w:type="spellEnd"/>
      <w:r w:rsidRPr="007D793D">
        <w:rPr>
          <w:sz w:val="16"/>
          <w:szCs w:val="16"/>
        </w:rPr>
        <w:t xml:space="preserve"> </w:t>
      </w:r>
      <w:proofErr w:type="spellStart"/>
      <w:r w:rsidRPr="007D793D">
        <w:rPr>
          <w:sz w:val="16"/>
          <w:szCs w:val="16"/>
        </w:rPr>
        <w:t>strategie</w:t>
      </w:r>
      <w:proofErr w:type="spellEnd"/>
      <w:r w:rsidRPr="007D793D">
        <w:rPr>
          <w:sz w:val="16"/>
          <w:szCs w:val="16"/>
        </w:rPr>
        <w:t xml:space="preserve"> 2024-2029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1998" w14:textId="77777777" w:rsidR="005D0EA6" w:rsidRDefault="00EC07DA">
    <w:r>
      <w:rPr>
        <w:noProof/>
      </w:rPr>
      <mc:AlternateContent>
        <mc:Choice Requires="wps">
          <w:drawing>
            <wp:anchor distT="0" distB="0" distL="0" distR="0" simplePos="0" relativeHeight="251652096" behindDoc="0" locked="1" layoutInCell="1" allowOverlap="1" wp14:anchorId="5CF9CBF5" wp14:editId="76125B9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FCB85A" w14:textId="77777777" w:rsidR="00764E55" w:rsidRDefault="00764E55"/>
                      </w:txbxContent>
                    </wps:txbx>
                    <wps:bodyPr vert="horz" wrap="square" lIns="0" tIns="0" rIns="0" bIns="0" anchor="t" anchorCtr="0"/>
                  </wps:wsp>
                </a:graphicData>
              </a:graphic>
            </wp:anchor>
          </w:drawing>
        </mc:Choice>
        <mc:Fallback>
          <w:pict>
            <v:shapetype w14:anchorId="5CF9CB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2FCB85A" w14:textId="77777777" w:rsidR="00764E55" w:rsidRDefault="00764E5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512ED6" wp14:editId="7A7EA66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253F25" w14:textId="77777777" w:rsidR="005D0EA6" w:rsidRDefault="00EC07DA">
                          <w:pPr>
                            <w:pStyle w:val="Referentiegegevensbold"/>
                          </w:pPr>
                          <w:r>
                            <w:t>Ministerie van Justitie en Veiligheid</w:t>
                          </w:r>
                        </w:p>
                        <w:p w14:paraId="79F459A9" w14:textId="77777777" w:rsidR="005D0EA6" w:rsidRDefault="005D0EA6">
                          <w:pPr>
                            <w:pStyle w:val="WitregelW2"/>
                          </w:pPr>
                        </w:p>
                        <w:p w14:paraId="2E20A5D3" w14:textId="77777777" w:rsidR="005D0EA6" w:rsidRDefault="00EC07DA">
                          <w:pPr>
                            <w:pStyle w:val="Referentiegegevensbold"/>
                          </w:pPr>
                          <w:r>
                            <w:t>Datum</w:t>
                          </w:r>
                        </w:p>
                        <w:p w14:paraId="35866C31" w14:textId="77777777" w:rsidR="005D0EA6" w:rsidRDefault="00EC07DA">
                          <w:pPr>
                            <w:pStyle w:val="Referentiegegevens"/>
                          </w:pPr>
                          <w:sdt>
                            <w:sdtPr>
                              <w:id w:val="265352076"/>
                              <w:date w:fullDate="2025-09-24T14:11:00Z">
                                <w:dateFormat w:val="d MMMM yyyy"/>
                                <w:lid w:val="nl"/>
                                <w:storeMappedDataAs w:val="dateTime"/>
                                <w:calendar w:val="gregorian"/>
                              </w:date>
                            </w:sdtPr>
                            <w:sdtEndPr/>
                            <w:sdtContent>
                              <w:r>
                                <w:t>24 september 2025</w:t>
                              </w:r>
                            </w:sdtContent>
                          </w:sdt>
                        </w:p>
                        <w:p w14:paraId="00F153CB" w14:textId="77777777" w:rsidR="005D0EA6" w:rsidRDefault="005D0EA6">
                          <w:pPr>
                            <w:pStyle w:val="WitregelW1"/>
                          </w:pPr>
                        </w:p>
                        <w:p w14:paraId="45284ADE" w14:textId="77777777" w:rsidR="005D0EA6" w:rsidRDefault="00EC07DA">
                          <w:pPr>
                            <w:pStyle w:val="Referentiegegevensbold"/>
                          </w:pPr>
                          <w:r>
                            <w:t>Onze referentie</w:t>
                          </w:r>
                        </w:p>
                        <w:p w14:paraId="034BFD7C" w14:textId="77777777" w:rsidR="004B4D2D" w:rsidRDefault="004B4D2D" w:rsidP="004B4D2D">
                          <w:pPr>
                            <w:pStyle w:val="Referentiegegevens"/>
                          </w:pPr>
                          <w:r w:rsidRPr="00C21F56">
                            <w:t>6759827</w:t>
                          </w:r>
                        </w:p>
                        <w:p w14:paraId="35CD025D" w14:textId="37243682" w:rsidR="005D0EA6" w:rsidRDefault="005D0EA6">
                          <w:pPr>
                            <w:pStyle w:val="Referentiegegevens"/>
                          </w:pPr>
                        </w:p>
                      </w:txbxContent>
                    </wps:txbx>
                    <wps:bodyPr vert="horz" wrap="square" lIns="0" tIns="0" rIns="0" bIns="0" anchor="t" anchorCtr="0"/>
                  </wps:wsp>
                </a:graphicData>
              </a:graphic>
            </wp:anchor>
          </w:drawing>
        </mc:Choice>
        <mc:Fallback>
          <w:pict>
            <v:shape w14:anchorId="39512E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253F25" w14:textId="77777777" w:rsidR="005D0EA6" w:rsidRDefault="00EC07DA">
                    <w:pPr>
                      <w:pStyle w:val="Referentiegegevensbold"/>
                    </w:pPr>
                    <w:r>
                      <w:t>Ministerie van Justitie en Veiligheid</w:t>
                    </w:r>
                  </w:p>
                  <w:p w14:paraId="79F459A9" w14:textId="77777777" w:rsidR="005D0EA6" w:rsidRDefault="005D0EA6">
                    <w:pPr>
                      <w:pStyle w:val="WitregelW2"/>
                    </w:pPr>
                  </w:p>
                  <w:p w14:paraId="2E20A5D3" w14:textId="77777777" w:rsidR="005D0EA6" w:rsidRDefault="00EC07DA">
                    <w:pPr>
                      <w:pStyle w:val="Referentiegegevensbold"/>
                    </w:pPr>
                    <w:r>
                      <w:t>Datum</w:t>
                    </w:r>
                  </w:p>
                  <w:p w14:paraId="35866C31" w14:textId="77777777" w:rsidR="005D0EA6" w:rsidRDefault="00EC07DA">
                    <w:pPr>
                      <w:pStyle w:val="Referentiegegevens"/>
                    </w:pPr>
                    <w:sdt>
                      <w:sdtPr>
                        <w:id w:val="265352076"/>
                        <w:date w:fullDate="2025-09-24T14:11:00Z">
                          <w:dateFormat w:val="d MMMM yyyy"/>
                          <w:lid w:val="nl"/>
                          <w:storeMappedDataAs w:val="dateTime"/>
                          <w:calendar w:val="gregorian"/>
                        </w:date>
                      </w:sdtPr>
                      <w:sdtEndPr/>
                      <w:sdtContent>
                        <w:r>
                          <w:t>24 september 2025</w:t>
                        </w:r>
                      </w:sdtContent>
                    </w:sdt>
                  </w:p>
                  <w:p w14:paraId="00F153CB" w14:textId="77777777" w:rsidR="005D0EA6" w:rsidRDefault="005D0EA6">
                    <w:pPr>
                      <w:pStyle w:val="WitregelW1"/>
                    </w:pPr>
                  </w:p>
                  <w:p w14:paraId="45284ADE" w14:textId="77777777" w:rsidR="005D0EA6" w:rsidRDefault="00EC07DA">
                    <w:pPr>
                      <w:pStyle w:val="Referentiegegevensbold"/>
                    </w:pPr>
                    <w:r>
                      <w:t>Onze referentie</w:t>
                    </w:r>
                  </w:p>
                  <w:p w14:paraId="034BFD7C" w14:textId="77777777" w:rsidR="004B4D2D" w:rsidRDefault="004B4D2D" w:rsidP="004B4D2D">
                    <w:pPr>
                      <w:pStyle w:val="Referentiegegevens"/>
                    </w:pPr>
                    <w:r w:rsidRPr="00C21F56">
                      <w:t>6759827</w:t>
                    </w:r>
                  </w:p>
                  <w:p w14:paraId="35CD025D" w14:textId="37243682" w:rsidR="005D0EA6" w:rsidRDefault="005D0EA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C19A86" wp14:editId="0951E50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15B81" w14:textId="77777777" w:rsidR="00764E55" w:rsidRDefault="00764E55"/>
                      </w:txbxContent>
                    </wps:txbx>
                    <wps:bodyPr vert="horz" wrap="square" lIns="0" tIns="0" rIns="0" bIns="0" anchor="t" anchorCtr="0"/>
                  </wps:wsp>
                </a:graphicData>
              </a:graphic>
            </wp:anchor>
          </w:drawing>
        </mc:Choice>
        <mc:Fallback>
          <w:pict>
            <v:shape w14:anchorId="67C19A8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015B81" w14:textId="77777777" w:rsidR="00764E55" w:rsidRDefault="00764E5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CB983B" wp14:editId="0E9BD7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54F700" w14:textId="174C8060" w:rsidR="005D0EA6" w:rsidRDefault="00EC07DA">
                          <w:pPr>
                            <w:pStyle w:val="Referentiegegevens"/>
                          </w:pPr>
                          <w:r>
                            <w:t xml:space="preserve">Pagina </w:t>
                          </w:r>
                          <w:r>
                            <w:fldChar w:fldCharType="begin"/>
                          </w:r>
                          <w:r>
                            <w:instrText>PAGE</w:instrText>
                          </w:r>
                          <w:r>
                            <w:fldChar w:fldCharType="separate"/>
                          </w:r>
                          <w:r w:rsidR="005C424B">
                            <w:rPr>
                              <w:noProof/>
                            </w:rPr>
                            <w:t>2</w:t>
                          </w:r>
                          <w:r>
                            <w:fldChar w:fldCharType="end"/>
                          </w:r>
                          <w:r>
                            <w:t xml:space="preserve"> van </w:t>
                          </w:r>
                          <w:r>
                            <w:fldChar w:fldCharType="begin"/>
                          </w:r>
                          <w:r>
                            <w:instrText>NUMPAGES</w:instrText>
                          </w:r>
                          <w:r>
                            <w:fldChar w:fldCharType="separate"/>
                          </w:r>
                          <w:r w:rsidR="005C424B">
                            <w:rPr>
                              <w:noProof/>
                            </w:rPr>
                            <w:t>1</w:t>
                          </w:r>
                          <w:r>
                            <w:fldChar w:fldCharType="end"/>
                          </w:r>
                        </w:p>
                      </w:txbxContent>
                    </wps:txbx>
                    <wps:bodyPr vert="horz" wrap="square" lIns="0" tIns="0" rIns="0" bIns="0" anchor="t" anchorCtr="0"/>
                  </wps:wsp>
                </a:graphicData>
              </a:graphic>
            </wp:anchor>
          </w:drawing>
        </mc:Choice>
        <mc:Fallback>
          <w:pict>
            <v:shape w14:anchorId="25CB983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54F700" w14:textId="174C8060" w:rsidR="005D0EA6" w:rsidRDefault="00EC07DA">
                    <w:pPr>
                      <w:pStyle w:val="Referentiegegevens"/>
                    </w:pPr>
                    <w:r>
                      <w:t xml:space="preserve">Pagina </w:t>
                    </w:r>
                    <w:r>
                      <w:fldChar w:fldCharType="begin"/>
                    </w:r>
                    <w:r>
                      <w:instrText>PAGE</w:instrText>
                    </w:r>
                    <w:r>
                      <w:fldChar w:fldCharType="separate"/>
                    </w:r>
                    <w:r w:rsidR="005C424B">
                      <w:rPr>
                        <w:noProof/>
                      </w:rPr>
                      <w:t>2</w:t>
                    </w:r>
                    <w:r>
                      <w:fldChar w:fldCharType="end"/>
                    </w:r>
                    <w:r>
                      <w:t xml:space="preserve"> van </w:t>
                    </w:r>
                    <w:r>
                      <w:fldChar w:fldCharType="begin"/>
                    </w:r>
                    <w:r>
                      <w:instrText>NUMPAGES</w:instrText>
                    </w:r>
                    <w:r>
                      <w:fldChar w:fldCharType="separate"/>
                    </w:r>
                    <w:r w:rsidR="005C424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BDE1" w14:textId="77777777" w:rsidR="005D0EA6" w:rsidRDefault="00EC07DA">
    <w:pPr>
      <w:spacing w:after="6377" w:line="14" w:lineRule="exact"/>
    </w:pPr>
    <w:r>
      <w:rPr>
        <w:noProof/>
      </w:rPr>
      <mc:AlternateContent>
        <mc:Choice Requires="wps">
          <w:drawing>
            <wp:anchor distT="0" distB="0" distL="0" distR="0" simplePos="0" relativeHeight="251656192" behindDoc="0" locked="1" layoutInCell="1" allowOverlap="1" wp14:anchorId="0BB0525E" wp14:editId="0654986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C58153" w14:textId="77777777" w:rsidR="005D0EA6" w:rsidRDefault="00EC07DA">
                          <w:pPr>
                            <w:spacing w:line="240" w:lineRule="auto"/>
                          </w:pPr>
                          <w:r>
                            <w:rPr>
                              <w:noProof/>
                            </w:rPr>
                            <w:drawing>
                              <wp:inline distT="0" distB="0" distL="0" distR="0" wp14:anchorId="60346B96" wp14:editId="56105400">
                                <wp:extent cx="467995" cy="1583865"/>
                                <wp:effectExtent l="0" t="0" r="0" b="0"/>
                                <wp:docPr id="2086038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B0525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C58153" w14:textId="77777777" w:rsidR="005D0EA6" w:rsidRDefault="00EC07DA">
                    <w:pPr>
                      <w:spacing w:line="240" w:lineRule="auto"/>
                    </w:pPr>
                    <w:r>
                      <w:rPr>
                        <w:noProof/>
                      </w:rPr>
                      <w:drawing>
                        <wp:inline distT="0" distB="0" distL="0" distR="0" wp14:anchorId="60346B96" wp14:editId="56105400">
                          <wp:extent cx="467995" cy="1583865"/>
                          <wp:effectExtent l="0" t="0" r="0" b="0"/>
                          <wp:docPr id="2086038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682A84" wp14:editId="15340E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2C369C" w14:textId="77777777" w:rsidR="005D0EA6" w:rsidRDefault="00EC07DA">
                          <w:pPr>
                            <w:spacing w:line="240" w:lineRule="auto"/>
                          </w:pPr>
                          <w:r>
                            <w:rPr>
                              <w:noProof/>
                            </w:rPr>
                            <w:drawing>
                              <wp:inline distT="0" distB="0" distL="0" distR="0" wp14:anchorId="4B735D2A" wp14:editId="23C9F3F1">
                                <wp:extent cx="2339975" cy="1582834"/>
                                <wp:effectExtent l="0" t="0" r="0" b="0"/>
                                <wp:docPr id="18947944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682A8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2C369C" w14:textId="77777777" w:rsidR="005D0EA6" w:rsidRDefault="00EC07DA">
                    <w:pPr>
                      <w:spacing w:line="240" w:lineRule="auto"/>
                    </w:pPr>
                    <w:r>
                      <w:rPr>
                        <w:noProof/>
                      </w:rPr>
                      <w:drawing>
                        <wp:inline distT="0" distB="0" distL="0" distR="0" wp14:anchorId="4B735D2A" wp14:editId="23C9F3F1">
                          <wp:extent cx="2339975" cy="1582834"/>
                          <wp:effectExtent l="0" t="0" r="0" b="0"/>
                          <wp:docPr id="18947944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1D2AC8" wp14:editId="3EFEEBC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D7C216" w14:textId="77777777" w:rsidR="005D0EA6" w:rsidRDefault="00EC07D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1D2AC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8D7C216" w14:textId="77777777" w:rsidR="005D0EA6" w:rsidRDefault="00EC07D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A94408" wp14:editId="7CA3CC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2EE009" w14:textId="546FB180" w:rsidR="00EC07DA" w:rsidRDefault="00EC07DA" w:rsidP="00EC07DA">
                          <w:r>
                            <w:t>Aan de Voorzitter van de Tweede Kamer</w:t>
                          </w:r>
                          <w:r>
                            <w:br/>
                          </w:r>
                          <w:r>
                            <w:t>der Staten-</w:t>
                          </w:r>
                          <w:proofErr w:type="spellStart"/>
                          <w:r>
                            <w:t>Generaal</w:t>
                          </w:r>
                          <w:proofErr w:type="spellEnd"/>
                          <w:r>
                            <w:br/>
                          </w:r>
                          <w:r>
                            <w:t xml:space="preserve">Postbus 20018   </w:t>
                          </w:r>
                          <w:r>
                            <w:br/>
                          </w:r>
                          <w:r>
                            <w:t>2500 EA  DEN HAAG</w:t>
                          </w:r>
                        </w:p>
                        <w:p w14:paraId="7BF644E8" w14:textId="4AFA27C7" w:rsidR="00EC07DA" w:rsidRDefault="00EC07DA" w:rsidP="00EC07DA"/>
                        <w:p w14:paraId="6202BA6D" w14:textId="38FEC3C1" w:rsidR="005D0EA6" w:rsidRDefault="005D0EA6"/>
                      </w:txbxContent>
                    </wps:txbx>
                    <wps:bodyPr vert="horz" wrap="square" lIns="0" tIns="0" rIns="0" bIns="0" anchor="t" anchorCtr="0"/>
                  </wps:wsp>
                </a:graphicData>
              </a:graphic>
            </wp:anchor>
          </w:drawing>
        </mc:Choice>
        <mc:Fallback>
          <w:pict>
            <v:shape w14:anchorId="54A9440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2EE009" w14:textId="546FB180" w:rsidR="00EC07DA" w:rsidRDefault="00EC07DA" w:rsidP="00EC07DA">
                    <w:r>
                      <w:t>Aan de Voorzitter van de Tweede Kamer</w:t>
                    </w:r>
                    <w:r>
                      <w:br/>
                    </w:r>
                    <w:r>
                      <w:t>der Staten-</w:t>
                    </w:r>
                    <w:proofErr w:type="spellStart"/>
                    <w:r>
                      <w:t>Generaal</w:t>
                    </w:r>
                    <w:proofErr w:type="spellEnd"/>
                    <w:r>
                      <w:br/>
                    </w:r>
                    <w:r>
                      <w:t xml:space="preserve">Postbus 20018   </w:t>
                    </w:r>
                    <w:r>
                      <w:br/>
                    </w:r>
                    <w:r>
                      <w:t>2500 EA  DEN HAAG</w:t>
                    </w:r>
                  </w:p>
                  <w:p w14:paraId="7BF644E8" w14:textId="4AFA27C7" w:rsidR="00EC07DA" w:rsidRDefault="00EC07DA" w:rsidP="00EC07DA"/>
                  <w:p w14:paraId="6202BA6D" w14:textId="38FEC3C1" w:rsidR="005D0EA6" w:rsidRDefault="005D0EA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FABBFB" wp14:editId="580A521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D0EA6" w14:paraId="1EE1CD68" w14:textId="77777777">
                            <w:trPr>
                              <w:trHeight w:val="240"/>
                            </w:trPr>
                            <w:tc>
                              <w:tcPr>
                                <w:tcW w:w="1140" w:type="dxa"/>
                              </w:tcPr>
                              <w:p w14:paraId="0B4987C5" w14:textId="77777777" w:rsidR="005D0EA6" w:rsidRDefault="00EC07DA">
                                <w:r>
                                  <w:t>Datum</w:t>
                                </w:r>
                              </w:p>
                            </w:tc>
                            <w:tc>
                              <w:tcPr>
                                <w:tcW w:w="5918" w:type="dxa"/>
                              </w:tcPr>
                              <w:p w14:paraId="1EEA5594" w14:textId="0A7EF76C" w:rsidR="005D0EA6" w:rsidRDefault="00EC07DA">
                                <w:sdt>
                                  <w:sdtPr>
                                    <w:id w:val="-1407531882"/>
                                    <w:date w:fullDate="2025-09-24T00:00:00Z">
                                      <w:dateFormat w:val="d MMMM yyyy"/>
                                      <w:lid w:val="nl"/>
                                      <w:storeMappedDataAs w:val="dateTime"/>
                                      <w:calendar w:val="gregorian"/>
                                    </w:date>
                                  </w:sdtPr>
                                  <w:sdtEndPr/>
                                  <w:sdtContent>
                                    <w:r>
                                      <w:rPr>
                                        <w:lang w:val="nl"/>
                                      </w:rPr>
                                      <w:t>24 september 2025</w:t>
                                    </w:r>
                                  </w:sdtContent>
                                </w:sdt>
                              </w:p>
                            </w:tc>
                          </w:tr>
                          <w:tr w:rsidR="005D0EA6" w14:paraId="3CDB2506" w14:textId="77777777">
                            <w:trPr>
                              <w:trHeight w:val="240"/>
                            </w:trPr>
                            <w:tc>
                              <w:tcPr>
                                <w:tcW w:w="1140" w:type="dxa"/>
                              </w:tcPr>
                              <w:p w14:paraId="5791E2ED" w14:textId="77777777" w:rsidR="005D0EA6" w:rsidRDefault="00EC07DA">
                                <w:proofErr w:type="spellStart"/>
                                <w:r>
                                  <w:t>Betreft</w:t>
                                </w:r>
                                <w:proofErr w:type="spellEnd"/>
                              </w:p>
                            </w:tc>
                            <w:tc>
                              <w:tcPr>
                                <w:tcW w:w="5918" w:type="dxa"/>
                              </w:tcPr>
                              <w:p w14:paraId="12BB7744" w14:textId="7AC2F667" w:rsidR="005D0EA6" w:rsidRDefault="004B4D2D">
                                <w:r w:rsidRPr="00362BA4">
                                  <w:rPr>
                                    <w:lang w:val="nl-NL"/>
                                  </w:rPr>
                                  <w:t>Verloop van de anti-immigratiedemonstratie op 20 september in Den Haag</w:t>
                                </w:r>
                              </w:p>
                            </w:tc>
                          </w:tr>
                        </w:tbl>
                        <w:p w14:paraId="3E282F4C" w14:textId="77777777" w:rsidR="00764E55" w:rsidRDefault="00764E55"/>
                      </w:txbxContent>
                    </wps:txbx>
                    <wps:bodyPr vert="horz" wrap="square" lIns="0" tIns="0" rIns="0" bIns="0" anchor="t" anchorCtr="0"/>
                  </wps:wsp>
                </a:graphicData>
              </a:graphic>
            </wp:anchor>
          </w:drawing>
        </mc:Choice>
        <mc:Fallback>
          <w:pict>
            <v:shape w14:anchorId="32FABBF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D0EA6" w14:paraId="1EE1CD68" w14:textId="77777777">
                      <w:trPr>
                        <w:trHeight w:val="240"/>
                      </w:trPr>
                      <w:tc>
                        <w:tcPr>
                          <w:tcW w:w="1140" w:type="dxa"/>
                        </w:tcPr>
                        <w:p w14:paraId="0B4987C5" w14:textId="77777777" w:rsidR="005D0EA6" w:rsidRDefault="00EC07DA">
                          <w:r>
                            <w:t>Datum</w:t>
                          </w:r>
                        </w:p>
                      </w:tc>
                      <w:tc>
                        <w:tcPr>
                          <w:tcW w:w="5918" w:type="dxa"/>
                        </w:tcPr>
                        <w:p w14:paraId="1EEA5594" w14:textId="0A7EF76C" w:rsidR="005D0EA6" w:rsidRDefault="00EC07DA">
                          <w:sdt>
                            <w:sdtPr>
                              <w:id w:val="-1407531882"/>
                              <w:date w:fullDate="2025-09-24T00:00:00Z">
                                <w:dateFormat w:val="d MMMM yyyy"/>
                                <w:lid w:val="nl"/>
                                <w:storeMappedDataAs w:val="dateTime"/>
                                <w:calendar w:val="gregorian"/>
                              </w:date>
                            </w:sdtPr>
                            <w:sdtEndPr/>
                            <w:sdtContent>
                              <w:r>
                                <w:rPr>
                                  <w:lang w:val="nl"/>
                                </w:rPr>
                                <w:t>24 september 2025</w:t>
                              </w:r>
                            </w:sdtContent>
                          </w:sdt>
                        </w:p>
                      </w:tc>
                    </w:tr>
                    <w:tr w:rsidR="005D0EA6" w14:paraId="3CDB2506" w14:textId="77777777">
                      <w:trPr>
                        <w:trHeight w:val="240"/>
                      </w:trPr>
                      <w:tc>
                        <w:tcPr>
                          <w:tcW w:w="1140" w:type="dxa"/>
                        </w:tcPr>
                        <w:p w14:paraId="5791E2ED" w14:textId="77777777" w:rsidR="005D0EA6" w:rsidRDefault="00EC07DA">
                          <w:proofErr w:type="spellStart"/>
                          <w:r>
                            <w:t>Betreft</w:t>
                          </w:r>
                          <w:proofErr w:type="spellEnd"/>
                        </w:p>
                      </w:tc>
                      <w:tc>
                        <w:tcPr>
                          <w:tcW w:w="5918" w:type="dxa"/>
                        </w:tcPr>
                        <w:p w14:paraId="12BB7744" w14:textId="7AC2F667" w:rsidR="005D0EA6" w:rsidRDefault="004B4D2D">
                          <w:r w:rsidRPr="00362BA4">
                            <w:rPr>
                              <w:lang w:val="nl-NL"/>
                            </w:rPr>
                            <w:t>Verloop van de anti-immigratiedemonstratie op 20 september in Den Haag</w:t>
                          </w:r>
                        </w:p>
                      </w:tc>
                    </w:tr>
                  </w:tbl>
                  <w:p w14:paraId="3E282F4C" w14:textId="77777777" w:rsidR="00764E55" w:rsidRDefault="00764E5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FC2841" wp14:editId="4AA10EA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B3751" w14:textId="77777777" w:rsidR="005D0EA6" w:rsidRDefault="00EC07DA">
                          <w:pPr>
                            <w:pStyle w:val="Referentiegegevensbold"/>
                          </w:pPr>
                          <w:r>
                            <w:t>Ministerie van Justitie en Veiligheid</w:t>
                          </w:r>
                        </w:p>
                        <w:p w14:paraId="4A85E409" w14:textId="77777777" w:rsidR="005D0EA6" w:rsidRDefault="005D0EA6">
                          <w:pPr>
                            <w:pStyle w:val="WitregelW1"/>
                          </w:pPr>
                        </w:p>
                        <w:p w14:paraId="0D89FD4C" w14:textId="77777777" w:rsidR="005D0EA6" w:rsidRDefault="00EC07DA">
                          <w:pPr>
                            <w:pStyle w:val="Referentiegegevens"/>
                          </w:pPr>
                          <w:r>
                            <w:t>Turfmarkt 147</w:t>
                          </w:r>
                        </w:p>
                        <w:p w14:paraId="01C6FFCA" w14:textId="77777777" w:rsidR="005D0EA6" w:rsidRDefault="00EC07DA">
                          <w:pPr>
                            <w:pStyle w:val="Referentiegegevens"/>
                          </w:pPr>
                          <w:r>
                            <w:t>2511 DP   Den Haag</w:t>
                          </w:r>
                        </w:p>
                        <w:p w14:paraId="4A4F9E2E" w14:textId="77777777" w:rsidR="005D0EA6" w:rsidRDefault="00EC07DA">
                          <w:pPr>
                            <w:pStyle w:val="Referentiegegevens"/>
                          </w:pPr>
                          <w:r>
                            <w:t>Postbus 20301</w:t>
                          </w:r>
                        </w:p>
                        <w:p w14:paraId="6B743496" w14:textId="77777777" w:rsidR="005D0EA6" w:rsidRDefault="00EC07DA">
                          <w:pPr>
                            <w:pStyle w:val="Referentiegegevens"/>
                          </w:pPr>
                          <w:r>
                            <w:t>2500 EH   Den Haag</w:t>
                          </w:r>
                        </w:p>
                        <w:p w14:paraId="64124238" w14:textId="77777777" w:rsidR="005D0EA6" w:rsidRDefault="00EC07DA">
                          <w:pPr>
                            <w:pStyle w:val="Referentiegegevens"/>
                          </w:pPr>
                          <w:r>
                            <w:t>www.rijksoverheid.nl/jenv</w:t>
                          </w:r>
                        </w:p>
                        <w:p w14:paraId="2B83558E" w14:textId="77777777" w:rsidR="005D0EA6" w:rsidRDefault="005D0EA6">
                          <w:pPr>
                            <w:pStyle w:val="WitregelW1"/>
                          </w:pPr>
                        </w:p>
                        <w:p w14:paraId="788B1431" w14:textId="77777777" w:rsidR="005D0EA6" w:rsidRDefault="005D0EA6">
                          <w:pPr>
                            <w:pStyle w:val="WitregelW2"/>
                          </w:pPr>
                        </w:p>
                        <w:p w14:paraId="0A92829B" w14:textId="77777777" w:rsidR="005D0EA6" w:rsidRDefault="00EC07DA">
                          <w:pPr>
                            <w:pStyle w:val="Referentiegegevensbold"/>
                          </w:pPr>
                          <w:r>
                            <w:t>Onze referentie</w:t>
                          </w:r>
                        </w:p>
                        <w:p w14:paraId="7011C572" w14:textId="77777777" w:rsidR="004B4D2D" w:rsidRDefault="004B4D2D" w:rsidP="004B4D2D">
                          <w:pPr>
                            <w:pStyle w:val="Referentiegegevens"/>
                          </w:pPr>
                          <w:r w:rsidRPr="00C21F56">
                            <w:t>6759827</w:t>
                          </w:r>
                        </w:p>
                        <w:p w14:paraId="2D9E093C" w14:textId="77777777" w:rsidR="00EC07DA" w:rsidRDefault="00EC07DA" w:rsidP="00EC07DA">
                          <w:pPr>
                            <w:rPr>
                              <w:lang w:val="nl-NL" w:eastAsia="nl-NL"/>
                            </w:rPr>
                          </w:pPr>
                        </w:p>
                        <w:p w14:paraId="4CDC31A1" w14:textId="27DFBCE4" w:rsidR="00EC07DA" w:rsidRDefault="00EC07DA" w:rsidP="00EC07DA">
                          <w:pPr>
                            <w:pStyle w:val="Referentiegegevensbold"/>
                          </w:pPr>
                          <w:r>
                            <w:t>Bijlagen</w:t>
                          </w:r>
                        </w:p>
                        <w:p w14:paraId="60E7BCF9" w14:textId="31D45523" w:rsidR="00EC07DA" w:rsidRDefault="00EC07DA" w:rsidP="00EC07DA">
                          <w:pPr>
                            <w:pStyle w:val="Referentiegegevensbold"/>
                          </w:pPr>
                          <w:r>
                            <w:t>3</w:t>
                          </w:r>
                        </w:p>
                        <w:p w14:paraId="635F7A67" w14:textId="77777777" w:rsidR="00EC07DA" w:rsidRPr="00EC07DA" w:rsidRDefault="00EC07DA" w:rsidP="00EC07DA">
                          <w:pPr>
                            <w:rPr>
                              <w:lang w:val="nl-NL" w:eastAsia="nl-NL"/>
                            </w:rPr>
                          </w:pPr>
                        </w:p>
                        <w:p w14:paraId="31A92FE1" w14:textId="113D19C1" w:rsidR="005D0EA6" w:rsidRDefault="005D0EA6">
                          <w:pPr>
                            <w:pStyle w:val="Referentiegegevens"/>
                          </w:pPr>
                        </w:p>
                      </w:txbxContent>
                    </wps:txbx>
                    <wps:bodyPr vert="horz" wrap="square" lIns="0" tIns="0" rIns="0" bIns="0" anchor="t" anchorCtr="0"/>
                  </wps:wsp>
                </a:graphicData>
              </a:graphic>
            </wp:anchor>
          </w:drawing>
        </mc:Choice>
        <mc:Fallback>
          <w:pict>
            <v:shape w14:anchorId="1EFC284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2FB3751" w14:textId="77777777" w:rsidR="005D0EA6" w:rsidRDefault="00EC07DA">
                    <w:pPr>
                      <w:pStyle w:val="Referentiegegevensbold"/>
                    </w:pPr>
                    <w:r>
                      <w:t>Ministerie van Justitie en Veiligheid</w:t>
                    </w:r>
                  </w:p>
                  <w:p w14:paraId="4A85E409" w14:textId="77777777" w:rsidR="005D0EA6" w:rsidRDefault="005D0EA6">
                    <w:pPr>
                      <w:pStyle w:val="WitregelW1"/>
                    </w:pPr>
                  </w:p>
                  <w:p w14:paraId="0D89FD4C" w14:textId="77777777" w:rsidR="005D0EA6" w:rsidRDefault="00EC07DA">
                    <w:pPr>
                      <w:pStyle w:val="Referentiegegevens"/>
                    </w:pPr>
                    <w:r>
                      <w:t>Turfmarkt 147</w:t>
                    </w:r>
                  </w:p>
                  <w:p w14:paraId="01C6FFCA" w14:textId="77777777" w:rsidR="005D0EA6" w:rsidRDefault="00EC07DA">
                    <w:pPr>
                      <w:pStyle w:val="Referentiegegevens"/>
                    </w:pPr>
                    <w:r>
                      <w:t>2511 DP   Den Haag</w:t>
                    </w:r>
                  </w:p>
                  <w:p w14:paraId="4A4F9E2E" w14:textId="77777777" w:rsidR="005D0EA6" w:rsidRDefault="00EC07DA">
                    <w:pPr>
                      <w:pStyle w:val="Referentiegegevens"/>
                    </w:pPr>
                    <w:r>
                      <w:t>Postbus 20301</w:t>
                    </w:r>
                  </w:p>
                  <w:p w14:paraId="6B743496" w14:textId="77777777" w:rsidR="005D0EA6" w:rsidRDefault="00EC07DA">
                    <w:pPr>
                      <w:pStyle w:val="Referentiegegevens"/>
                    </w:pPr>
                    <w:r>
                      <w:t>2500 EH   Den Haag</w:t>
                    </w:r>
                  </w:p>
                  <w:p w14:paraId="64124238" w14:textId="77777777" w:rsidR="005D0EA6" w:rsidRDefault="00EC07DA">
                    <w:pPr>
                      <w:pStyle w:val="Referentiegegevens"/>
                    </w:pPr>
                    <w:r>
                      <w:t>www.rijksoverheid.nl/jenv</w:t>
                    </w:r>
                  </w:p>
                  <w:p w14:paraId="2B83558E" w14:textId="77777777" w:rsidR="005D0EA6" w:rsidRDefault="005D0EA6">
                    <w:pPr>
                      <w:pStyle w:val="WitregelW1"/>
                    </w:pPr>
                  </w:p>
                  <w:p w14:paraId="788B1431" w14:textId="77777777" w:rsidR="005D0EA6" w:rsidRDefault="005D0EA6">
                    <w:pPr>
                      <w:pStyle w:val="WitregelW2"/>
                    </w:pPr>
                  </w:p>
                  <w:p w14:paraId="0A92829B" w14:textId="77777777" w:rsidR="005D0EA6" w:rsidRDefault="00EC07DA">
                    <w:pPr>
                      <w:pStyle w:val="Referentiegegevensbold"/>
                    </w:pPr>
                    <w:r>
                      <w:t>Onze referentie</w:t>
                    </w:r>
                  </w:p>
                  <w:p w14:paraId="7011C572" w14:textId="77777777" w:rsidR="004B4D2D" w:rsidRDefault="004B4D2D" w:rsidP="004B4D2D">
                    <w:pPr>
                      <w:pStyle w:val="Referentiegegevens"/>
                    </w:pPr>
                    <w:r w:rsidRPr="00C21F56">
                      <w:t>6759827</w:t>
                    </w:r>
                  </w:p>
                  <w:p w14:paraId="2D9E093C" w14:textId="77777777" w:rsidR="00EC07DA" w:rsidRDefault="00EC07DA" w:rsidP="00EC07DA">
                    <w:pPr>
                      <w:rPr>
                        <w:lang w:val="nl-NL" w:eastAsia="nl-NL"/>
                      </w:rPr>
                    </w:pPr>
                  </w:p>
                  <w:p w14:paraId="4CDC31A1" w14:textId="27DFBCE4" w:rsidR="00EC07DA" w:rsidRDefault="00EC07DA" w:rsidP="00EC07DA">
                    <w:pPr>
                      <w:pStyle w:val="Referentiegegevensbold"/>
                    </w:pPr>
                    <w:r>
                      <w:t>Bijlagen</w:t>
                    </w:r>
                  </w:p>
                  <w:p w14:paraId="60E7BCF9" w14:textId="31D45523" w:rsidR="00EC07DA" w:rsidRDefault="00EC07DA" w:rsidP="00EC07DA">
                    <w:pPr>
                      <w:pStyle w:val="Referentiegegevensbold"/>
                    </w:pPr>
                    <w:r>
                      <w:t>3</w:t>
                    </w:r>
                  </w:p>
                  <w:p w14:paraId="635F7A67" w14:textId="77777777" w:rsidR="00EC07DA" w:rsidRPr="00EC07DA" w:rsidRDefault="00EC07DA" w:rsidP="00EC07DA">
                    <w:pPr>
                      <w:rPr>
                        <w:lang w:val="nl-NL" w:eastAsia="nl-NL"/>
                      </w:rPr>
                    </w:pPr>
                  </w:p>
                  <w:p w14:paraId="31A92FE1" w14:textId="113D19C1" w:rsidR="005D0EA6" w:rsidRDefault="005D0EA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BC93C9" wp14:editId="207E3B7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AFDAE1" w14:textId="77777777" w:rsidR="005D0EA6" w:rsidRDefault="00EC07DA">
                          <w:pPr>
                            <w:pStyle w:val="Referentiegegevens"/>
                          </w:pPr>
                          <w:r>
                            <w:t xml:space="preserve">Pagina </w:t>
                          </w:r>
                          <w:r>
                            <w:fldChar w:fldCharType="begin"/>
                          </w:r>
                          <w:r>
                            <w:instrText>PAGE</w:instrText>
                          </w:r>
                          <w:r>
                            <w:fldChar w:fldCharType="separate"/>
                          </w:r>
                          <w:r w:rsidR="005C424B">
                            <w:rPr>
                              <w:noProof/>
                            </w:rPr>
                            <w:t>1</w:t>
                          </w:r>
                          <w:r>
                            <w:fldChar w:fldCharType="end"/>
                          </w:r>
                          <w:r>
                            <w:t xml:space="preserve"> van </w:t>
                          </w:r>
                          <w:r>
                            <w:fldChar w:fldCharType="begin"/>
                          </w:r>
                          <w:r>
                            <w:instrText>NUMPAGES</w:instrText>
                          </w:r>
                          <w:r>
                            <w:fldChar w:fldCharType="separate"/>
                          </w:r>
                          <w:r w:rsidR="005C424B">
                            <w:rPr>
                              <w:noProof/>
                            </w:rPr>
                            <w:t>1</w:t>
                          </w:r>
                          <w:r>
                            <w:fldChar w:fldCharType="end"/>
                          </w:r>
                        </w:p>
                      </w:txbxContent>
                    </wps:txbx>
                    <wps:bodyPr vert="horz" wrap="square" lIns="0" tIns="0" rIns="0" bIns="0" anchor="t" anchorCtr="0"/>
                  </wps:wsp>
                </a:graphicData>
              </a:graphic>
            </wp:anchor>
          </w:drawing>
        </mc:Choice>
        <mc:Fallback>
          <w:pict>
            <v:shape w14:anchorId="1FBC93C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AFDAE1" w14:textId="77777777" w:rsidR="005D0EA6" w:rsidRDefault="00EC07DA">
                    <w:pPr>
                      <w:pStyle w:val="Referentiegegevens"/>
                    </w:pPr>
                    <w:r>
                      <w:t xml:space="preserve">Pagina </w:t>
                    </w:r>
                    <w:r>
                      <w:fldChar w:fldCharType="begin"/>
                    </w:r>
                    <w:r>
                      <w:instrText>PAGE</w:instrText>
                    </w:r>
                    <w:r>
                      <w:fldChar w:fldCharType="separate"/>
                    </w:r>
                    <w:r w:rsidR="005C424B">
                      <w:rPr>
                        <w:noProof/>
                      </w:rPr>
                      <w:t>1</w:t>
                    </w:r>
                    <w:r>
                      <w:fldChar w:fldCharType="end"/>
                    </w:r>
                    <w:r>
                      <w:t xml:space="preserve"> van </w:t>
                    </w:r>
                    <w:r>
                      <w:fldChar w:fldCharType="begin"/>
                    </w:r>
                    <w:r>
                      <w:instrText>NUMPAGES</w:instrText>
                    </w:r>
                    <w:r>
                      <w:fldChar w:fldCharType="separate"/>
                    </w:r>
                    <w:r w:rsidR="005C42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5BB4B73" wp14:editId="1D4A35C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EA84A6" w14:textId="77777777" w:rsidR="00764E55" w:rsidRDefault="00764E55"/>
                      </w:txbxContent>
                    </wps:txbx>
                    <wps:bodyPr vert="horz" wrap="square" lIns="0" tIns="0" rIns="0" bIns="0" anchor="t" anchorCtr="0"/>
                  </wps:wsp>
                </a:graphicData>
              </a:graphic>
            </wp:anchor>
          </w:drawing>
        </mc:Choice>
        <mc:Fallback>
          <w:pict>
            <v:shape w14:anchorId="25BB4B7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EA84A6" w14:textId="77777777" w:rsidR="00764E55" w:rsidRDefault="00764E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9A322"/>
    <w:multiLevelType w:val="multilevel"/>
    <w:tmpl w:val="53ADCE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0801757"/>
    <w:multiLevelType w:val="multilevel"/>
    <w:tmpl w:val="A838A2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B2A28F2"/>
    <w:multiLevelType w:val="multilevel"/>
    <w:tmpl w:val="C118AB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7995A7"/>
    <w:multiLevelType w:val="multilevel"/>
    <w:tmpl w:val="85FDEA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2CA9787"/>
    <w:multiLevelType w:val="multilevel"/>
    <w:tmpl w:val="642294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C666D9"/>
    <w:multiLevelType w:val="multilevel"/>
    <w:tmpl w:val="C555805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616109">
    <w:abstractNumId w:val="4"/>
  </w:num>
  <w:num w:numId="2" w16cid:durableId="1467509126">
    <w:abstractNumId w:val="2"/>
  </w:num>
  <w:num w:numId="3" w16cid:durableId="1024399183">
    <w:abstractNumId w:val="3"/>
  </w:num>
  <w:num w:numId="4" w16cid:durableId="611742019">
    <w:abstractNumId w:val="1"/>
  </w:num>
  <w:num w:numId="5" w16cid:durableId="497157841">
    <w:abstractNumId w:val="5"/>
  </w:num>
  <w:num w:numId="6" w16cid:durableId="47376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4B"/>
    <w:rsid w:val="001101F6"/>
    <w:rsid w:val="001119EC"/>
    <w:rsid w:val="001E5009"/>
    <w:rsid w:val="002244DB"/>
    <w:rsid w:val="0038233A"/>
    <w:rsid w:val="003C283A"/>
    <w:rsid w:val="00421D3D"/>
    <w:rsid w:val="004B4D2D"/>
    <w:rsid w:val="00532923"/>
    <w:rsid w:val="00594BB2"/>
    <w:rsid w:val="005C424B"/>
    <w:rsid w:val="005D0EA6"/>
    <w:rsid w:val="00614E0F"/>
    <w:rsid w:val="00635259"/>
    <w:rsid w:val="00764E55"/>
    <w:rsid w:val="008F5205"/>
    <w:rsid w:val="00955996"/>
    <w:rsid w:val="009900BE"/>
    <w:rsid w:val="009A31C0"/>
    <w:rsid w:val="00A73E8B"/>
    <w:rsid w:val="00AB7335"/>
    <w:rsid w:val="00AC1332"/>
    <w:rsid w:val="00D23013"/>
    <w:rsid w:val="00DE0287"/>
    <w:rsid w:val="00E279F5"/>
    <w:rsid w:val="00EC07DA"/>
    <w:rsid w:val="00EE1902"/>
    <w:rsid w:val="00F643B3"/>
    <w:rsid w:val="00F76715"/>
    <w:rsid w:val="00F86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36FA"/>
  <w15:docId w15:val="{75097718-C963-4F07-866D-0A2E08C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D2D"/>
    <w:pPr>
      <w:autoSpaceDN/>
      <w:spacing w:after="160" w:line="259" w:lineRule="auto"/>
      <w:textAlignment w:val="auto"/>
    </w:pPr>
    <w:rPr>
      <w:rFonts w:ascii="Verdana" w:eastAsiaTheme="minorHAnsi" w:hAnsi="Verdana" w:cstheme="minorBidi"/>
      <w:kern w:val="2"/>
      <w:sz w:val="18"/>
      <w:szCs w:val="22"/>
      <w:lang w:val="en-US" w:eastAsia="en-US"/>
      <w14:ligatures w14:val="standardContextual"/>
    </w:rPr>
  </w:style>
  <w:style w:type="paragraph" w:styleId="Kop1">
    <w:name w:val="heading 1"/>
    <w:basedOn w:val="Standaard"/>
    <w:next w:val="Standaard"/>
    <w:uiPriority w:val="1"/>
    <w:qFormat/>
    <w:pPr>
      <w:tabs>
        <w:tab w:val="left" w:pos="0"/>
      </w:tabs>
      <w:autoSpaceDN w:val="0"/>
      <w:spacing w:before="240" w:after="0" w:line="240" w:lineRule="atLeast"/>
      <w:textAlignment w:val="baseline"/>
      <w:outlineLvl w:val="0"/>
    </w:pPr>
    <w:rPr>
      <w:rFonts w:eastAsia="DejaVu Sans" w:cs="Lohit Hindi"/>
      <w:b/>
      <w:color w:val="000000"/>
      <w:kern w:val="0"/>
      <w:szCs w:val="18"/>
      <w:lang w:val="nl-NL" w:eastAsia="nl-NL"/>
      <w14:ligatures w14:val="none"/>
    </w:rPr>
  </w:style>
  <w:style w:type="paragraph" w:styleId="Kop2">
    <w:name w:val="heading 2"/>
    <w:basedOn w:val="Standaard"/>
    <w:next w:val="Standaard"/>
    <w:uiPriority w:val="2"/>
    <w:qFormat/>
    <w:pPr>
      <w:tabs>
        <w:tab w:val="left" w:pos="0"/>
      </w:tabs>
      <w:autoSpaceDN w:val="0"/>
      <w:spacing w:before="240" w:after="0" w:line="240" w:lineRule="exact"/>
      <w:textAlignment w:val="baseline"/>
      <w:outlineLvl w:val="1"/>
    </w:pPr>
    <w:rPr>
      <w:rFonts w:eastAsia="DejaVu Sans" w:cs="Lohit Hindi"/>
      <w:i/>
      <w:color w:val="000000"/>
      <w:kern w:val="0"/>
      <w:szCs w:val="18"/>
      <w:lang w:val="nl-NL" w:eastAsia="nl-NL"/>
      <w14:ligatures w14:val="none"/>
    </w:rPr>
  </w:style>
  <w:style w:type="paragraph" w:styleId="Kop3">
    <w:name w:val="heading 3"/>
    <w:basedOn w:val="Standaard"/>
    <w:next w:val="Standaard"/>
    <w:pPr>
      <w:tabs>
        <w:tab w:val="left" w:pos="0"/>
      </w:tabs>
      <w:autoSpaceDN w:val="0"/>
      <w:spacing w:before="240" w:after="0" w:line="240" w:lineRule="exact"/>
      <w:ind w:left="-1120"/>
      <w:textAlignment w:val="baseline"/>
      <w:outlineLvl w:val="2"/>
    </w:pPr>
    <w:rPr>
      <w:rFonts w:eastAsia="DejaVu Sans" w:cs="Lohit Hindi"/>
      <w:color w:val="000000"/>
      <w:kern w:val="0"/>
      <w:szCs w:val="18"/>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autoSpaceDN w:val="0"/>
      <w:spacing w:after="0" w:line="240" w:lineRule="atLeast"/>
      <w:textAlignment w:val="baseline"/>
    </w:pPr>
    <w:rPr>
      <w:rFonts w:eastAsia="DejaVu Sans" w:cs="Lohit Hindi"/>
      <w:b/>
      <w:color w:val="000000"/>
      <w:kern w:val="0"/>
      <w:szCs w:val="18"/>
      <w:lang w:val="nl-NL" w:eastAsia="nl-NL"/>
      <w14:ligatures w14:val="none"/>
    </w:rPr>
  </w:style>
  <w:style w:type="paragraph" w:customStyle="1" w:styleId="Agendapuntniveau1">
    <w:name w:val="Agendapunt niveau 1"/>
    <w:basedOn w:val="Standaard"/>
    <w:next w:val="Standaard"/>
    <w:pPr>
      <w:numPr>
        <w:ilvl w:val="1"/>
        <w:numId w:val="1"/>
      </w:numPr>
      <w:tabs>
        <w:tab w:val="num" w:pos="360"/>
      </w:tabs>
      <w:autoSpaceDN w:val="0"/>
      <w:spacing w:after="0" w:line="240" w:lineRule="atLeast"/>
      <w:ind w:left="0" w:firstLine="0"/>
      <w:textAlignment w:val="baseline"/>
    </w:pPr>
    <w:rPr>
      <w:rFonts w:eastAsia="DejaVu Sans" w:cs="Lohit Hindi"/>
      <w:b/>
      <w:color w:val="000000"/>
      <w:kern w:val="0"/>
      <w:szCs w:val="18"/>
      <w:lang w:val="nl-NL" w:eastAsia="nl-NL"/>
      <w14:ligatures w14:val="none"/>
    </w:rPr>
  </w:style>
  <w:style w:type="paragraph" w:customStyle="1" w:styleId="Artikelstreepje">
    <w:name w:val="Artikel streepje"/>
    <w:basedOn w:val="Standaard"/>
    <w:next w:val="Standaard"/>
    <w:pPr>
      <w:numPr>
        <w:ilvl w:val="3"/>
        <w:numId w:val="2"/>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Artikelstreepjeinspringen">
    <w:name w:val="Artikel streepje inspringen"/>
    <w:basedOn w:val="Standaard"/>
    <w:next w:val="Standaard"/>
    <w:pPr>
      <w:numPr>
        <w:ilvl w:val="4"/>
        <w:numId w:val="2"/>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Artikelnummer">
    <w:name w:val="Artikelnummer"/>
    <w:basedOn w:val="Standaard"/>
    <w:pPr>
      <w:numPr>
        <w:numId w:val="2"/>
      </w:numPr>
      <w:autoSpaceDN w:val="0"/>
      <w:spacing w:before="360" w:after="0" w:line="240" w:lineRule="atLeast"/>
      <w:textAlignment w:val="baseline"/>
    </w:pPr>
    <w:rPr>
      <w:rFonts w:eastAsia="DejaVu Sans" w:cs="Lohit Hindi"/>
      <w:b/>
      <w:color w:val="000000"/>
      <w:kern w:val="0"/>
      <w:szCs w:val="18"/>
      <w:lang w:val="nl-NL" w:eastAsia="nl-NL"/>
      <w14:ligatures w14:val="none"/>
    </w:rPr>
  </w:style>
  <w:style w:type="paragraph" w:customStyle="1" w:styleId="Comparitienummer">
    <w:name w:val="Comparitienummer"/>
    <w:basedOn w:val="Standaard"/>
    <w:next w:val="Standaard"/>
    <w:pPr>
      <w:numPr>
        <w:numId w:val="3"/>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E-handtekening">
    <w:name w:val="E-handtekening"/>
    <w:basedOn w:val="Standaard"/>
    <w:next w:val="Standaard"/>
    <w:pPr>
      <w:autoSpaceDN w:val="0"/>
      <w:spacing w:after="0" w:line="240" w:lineRule="atLeast"/>
      <w:textAlignment w:val="baseline"/>
    </w:pPr>
    <w:rPr>
      <w:rFonts w:eastAsia="DejaVu Sans" w:cs="Lohit Hindi"/>
      <w:color w:val="FFFFFF"/>
      <w:kern w:val="0"/>
      <w:sz w:val="2"/>
      <w:szCs w:val="2"/>
      <w:lang w:val="nl-NL" w:eastAsia="nl-NL"/>
      <w14:ligatures w14:val="none"/>
    </w:rPr>
  </w:style>
  <w:style w:type="numbering" w:customStyle="1" w:styleId="Genummerdelijst">
    <w:name w:val="Genummerde lijst"/>
    <w:pPr>
      <w:numPr>
        <w:numId w:val="4"/>
      </w:numPr>
    </w:pPr>
  </w:style>
  <w:style w:type="paragraph" w:styleId="Inhopg1">
    <w:name w:val="toc 1"/>
    <w:basedOn w:val="Standaard"/>
    <w:next w:val="Standaard"/>
    <w:pPr>
      <w:autoSpaceDN w:val="0"/>
      <w:spacing w:after="0" w:line="240" w:lineRule="exact"/>
      <w:textAlignment w:val="baseline"/>
    </w:pPr>
    <w:rPr>
      <w:rFonts w:eastAsia="DejaVu Sans" w:cs="Lohit Hindi"/>
      <w:color w:val="000000"/>
      <w:kern w:val="0"/>
      <w:szCs w:val="18"/>
      <w:lang w:val="nl-NL" w:eastAsia="nl-NL"/>
      <w14:ligatures w14:val="none"/>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after="0" w:line="240" w:lineRule="exact"/>
      <w:textAlignment w:val="baseline"/>
    </w:pPr>
    <w:rPr>
      <w:rFonts w:ascii="KIX Barcode" w:eastAsia="DejaVu Sans" w:hAnsi="KIX Barcode" w:cs="Lohit Hindi"/>
      <w:color w:val="000000"/>
      <w:kern w:val="0"/>
      <w:sz w:val="20"/>
      <w:szCs w:val="20"/>
      <w:lang w:val="nl-NL" w:eastAsia="nl-NL"/>
      <w14:ligatures w14:val="none"/>
    </w:rPr>
  </w:style>
  <w:style w:type="paragraph" w:customStyle="1" w:styleId="KoppenMinuut">
    <w:name w:val="Koppen Minuut"/>
    <w:basedOn w:val="Standaard"/>
    <w:next w:val="Standaard"/>
    <w:pPr>
      <w:autoSpaceDN w:val="0"/>
      <w:spacing w:after="0" w:line="240" w:lineRule="atLeast"/>
      <w:textAlignment w:val="baseline"/>
    </w:pPr>
    <w:rPr>
      <w:rFonts w:eastAsia="DejaVu Sans" w:cs="Lohit Hindi"/>
      <w:color w:val="000000"/>
      <w:kern w:val="0"/>
      <w:sz w:val="13"/>
      <w:szCs w:val="13"/>
      <w:lang w:val="nl-NL" w:eastAsia="nl-NL"/>
      <w14:ligatures w14:val="none"/>
    </w:rPr>
  </w:style>
  <w:style w:type="paragraph" w:customStyle="1" w:styleId="Lidnummer">
    <w:name w:val="Lidnummer"/>
    <w:basedOn w:val="Standaard"/>
    <w:pPr>
      <w:numPr>
        <w:ilvl w:val="1"/>
        <w:numId w:val="2"/>
      </w:numPr>
      <w:tabs>
        <w:tab w:val="left" w:pos="419"/>
      </w:tabs>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Lidnummerabc">
    <w:name w:val="Lidnummer abc"/>
    <w:basedOn w:val="Standaard"/>
    <w:pPr>
      <w:numPr>
        <w:ilvl w:val="2"/>
        <w:numId w:val="2"/>
      </w:numPr>
      <w:tabs>
        <w:tab w:val="left" w:pos="402"/>
      </w:tabs>
      <w:autoSpaceDN w:val="0"/>
      <w:spacing w:after="0" w:line="240" w:lineRule="atLeast"/>
      <w:textAlignment w:val="baseline"/>
    </w:pPr>
    <w:rPr>
      <w:rFonts w:eastAsia="DejaVu Sans" w:cs="Lohit Hindi"/>
      <w:color w:val="000000"/>
      <w:kern w:val="0"/>
      <w:szCs w:val="18"/>
      <w:lang w:val="nl-NL" w:eastAsia="nl-NL"/>
      <w14:ligatures w14:val="none"/>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2">
    <w:name w:val="Lijst niveau 2"/>
    <w:basedOn w:val="Standaard"/>
    <w:uiPriority w:val="4"/>
    <w:qFormat/>
    <w:pPr>
      <w:numPr>
        <w:ilvl w:val="1"/>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3">
    <w:name w:val="Lijst niveau 3"/>
    <w:basedOn w:val="Standaard"/>
    <w:uiPriority w:val="5"/>
    <w:qFormat/>
    <w:pPr>
      <w:numPr>
        <w:ilvl w:val="2"/>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after="0" w:line="320" w:lineRule="atLeast"/>
      <w:textAlignment w:val="baseline"/>
    </w:pPr>
    <w:rPr>
      <w:rFonts w:eastAsia="DejaVu Sans" w:cs="Lohit Hindi"/>
      <w:color w:val="000000"/>
      <w:kern w:val="0"/>
      <w:sz w:val="24"/>
      <w:szCs w:val="24"/>
      <w:lang w:val="nl-NL" w:eastAsia="nl-NL"/>
      <w14:ligatures w14:val="none"/>
    </w:rPr>
  </w:style>
  <w:style w:type="paragraph" w:customStyle="1" w:styleId="Pagina-eindeKop1">
    <w:name w:val="Pagina-einde Kop 1"/>
    <w:basedOn w:val="Standaard"/>
    <w:next w:val="Standaard"/>
    <w:pPr>
      <w:pageBreakBefore/>
      <w:autoSpaceDN w:val="0"/>
      <w:spacing w:after="0" w:line="240" w:lineRule="exact"/>
      <w:textAlignment w:val="baseline"/>
      <w:outlineLvl w:val="0"/>
    </w:pPr>
    <w:rPr>
      <w:rFonts w:eastAsia="DejaVu Sans" w:cs="Lohit Hindi"/>
      <w:b/>
      <w:color w:val="000000"/>
      <w:kern w:val="0"/>
      <w:szCs w:val="18"/>
      <w:lang w:val="nl-NL" w:eastAsia="nl-NL"/>
      <w14:ligatures w14:val="none"/>
    </w:rPr>
  </w:style>
  <w:style w:type="paragraph" w:customStyle="1" w:styleId="Referentiegegevens">
    <w:name w:val="Referentiegegevens"/>
    <w:basedOn w:val="Standaard"/>
    <w:next w:val="Standaard"/>
    <w:pPr>
      <w:autoSpaceDN w:val="0"/>
      <w:spacing w:after="0" w:line="180" w:lineRule="exact"/>
      <w:textAlignment w:val="baseline"/>
    </w:pPr>
    <w:rPr>
      <w:rFonts w:eastAsia="DejaVu Sans" w:cs="Lohit Hindi"/>
      <w:color w:val="000000"/>
      <w:kern w:val="0"/>
      <w:sz w:val="13"/>
      <w:szCs w:val="13"/>
      <w:lang w:val="nl-NL" w:eastAsia="nl-NL"/>
      <w14:ligatures w14:val="none"/>
    </w:rPr>
  </w:style>
  <w:style w:type="paragraph" w:customStyle="1" w:styleId="Referentiegegevensbold">
    <w:name w:val="Referentiegegevens bold"/>
    <w:basedOn w:val="Standaard"/>
    <w:next w:val="Standaard"/>
    <w:pPr>
      <w:autoSpaceDN w:val="0"/>
      <w:spacing w:after="0" w:line="180" w:lineRule="exact"/>
      <w:textAlignment w:val="baseline"/>
    </w:pPr>
    <w:rPr>
      <w:rFonts w:eastAsia="DejaVu Sans" w:cs="Lohit Hindi"/>
      <w:b/>
      <w:color w:val="000000"/>
      <w:kern w:val="0"/>
      <w:sz w:val="13"/>
      <w:szCs w:val="13"/>
      <w:lang w:val="nl-NL" w:eastAsia="nl-NL"/>
      <w14:ligatures w14:val="none"/>
    </w:rPr>
  </w:style>
  <w:style w:type="paragraph" w:customStyle="1" w:styleId="Referentiegegevenscursief">
    <w:name w:val="Referentiegegevens cursief"/>
    <w:basedOn w:val="Standaard"/>
    <w:next w:val="Standaard"/>
    <w:pPr>
      <w:autoSpaceDN w:val="0"/>
      <w:spacing w:after="0" w:line="180" w:lineRule="exact"/>
      <w:textAlignment w:val="baseline"/>
    </w:pPr>
    <w:rPr>
      <w:rFonts w:eastAsia="DejaVu Sans" w:cs="Lohit Hindi"/>
      <w:i/>
      <w:color w:val="000000"/>
      <w:kern w:val="0"/>
      <w:sz w:val="13"/>
      <w:szCs w:val="13"/>
      <w:lang w:val="nl-NL" w:eastAsia="nl-NL"/>
      <w14:ligatures w14:val="none"/>
    </w:rPr>
  </w:style>
  <w:style w:type="paragraph" w:customStyle="1" w:styleId="Referentiegegevensrechtsuitgelijnd">
    <w:name w:val="Referentiegegevens rechts uitgelijnd"/>
    <w:basedOn w:val="Standaard"/>
    <w:next w:val="Standaard"/>
    <w:pPr>
      <w:autoSpaceDN w:val="0"/>
      <w:spacing w:after="0" w:line="180" w:lineRule="exact"/>
      <w:jc w:val="right"/>
      <w:textAlignment w:val="baseline"/>
    </w:pPr>
    <w:rPr>
      <w:rFonts w:eastAsia="DejaVu Sans" w:cs="Lohit Hindi"/>
      <w:color w:val="000000"/>
      <w:kern w:val="0"/>
      <w:sz w:val="13"/>
      <w:szCs w:val="13"/>
      <w:lang w:val="nl-NL" w:eastAsia="nl-NL"/>
      <w14:ligatures w14:val="none"/>
    </w:rPr>
  </w:style>
  <w:style w:type="paragraph" w:customStyle="1" w:styleId="Rubricering">
    <w:name w:val="Rubricering"/>
    <w:basedOn w:val="Standaard"/>
    <w:next w:val="Standaard"/>
    <w:pPr>
      <w:autoSpaceDN w:val="0"/>
      <w:spacing w:after="0" w:line="180" w:lineRule="exact"/>
      <w:textAlignment w:val="baseline"/>
    </w:pPr>
    <w:rPr>
      <w:rFonts w:eastAsia="DejaVu Sans" w:cs="Lohit Hindi"/>
      <w:b/>
      <w:caps/>
      <w:color w:val="000000"/>
      <w:kern w:val="0"/>
      <w:sz w:val="13"/>
      <w:szCs w:val="13"/>
      <w:lang w:val="nl-NL" w:eastAsia="nl-NL"/>
      <w14:ligatures w14:val="none"/>
    </w:rPr>
  </w:style>
  <w:style w:type="paragraph" w:customStyle="1" w:styleId="Standaardcursief">
    <w:name w:val="Standaard cursief"/>
    <w:basedOn w:val="Standaard"/>
    <w:next w:val="Standaard"/>
    <w:qFormat/>
    <w:pPr>
      <w:autoSpaceDN w:val="0"/>
      <w:spacing w:after="0" w:line="240" w:lineRule="exact"/>
      <w:textAlignment w:val="baseline"/>
    </w:pPr>
    <w:rPr>
      <w:rFonts w:eastAsia="DejaVu Sans" w:cs="Lohit Hindi"/>
      <w:i/>
      <w:color w:val="000000"/>
      <w:kern w:val="0"/>
      <w:szCs w:val="18"/>
      <w:lang w:val="nl-NL" w:eastAsia="nl-NL"/>
      <w14:ligatures w14:val="none"/>
    </w:rPr>
  </w:style>
  <w:style w:type="paragraph" w:customStyle="1" w:styleId="StandaarddeDE">
    <w:name w:val="Standaard de_DE"/>
    <w:basedOn w:val="Standaard"/>
    <w:next w:val="Standaard"/>
    <w:pPr>
      <w:autoSpaceDN w:val="0"/>
      <w:spacing w:after="0" w:line="240" w:lineRule="atLeast"/>
      <w:textAlignment w:val="baseline"/>
    </w:pPr>
    <w:rPr>
      <w:rFonts w:eastAsia="DejaVu Sans" w:cs="Lohit Hindi"/>
      <w:color w:val="000000"/>
      <w:kern w:val="0"/>
      <w:szCs w:val="18"/>
      <w:lang w:val="de-DE" w:eastAsia="nl-NL"/>
      <w14:ligatures w14:val="none"/>
    </w:rPr>
  </w:style>
  <w:style w:type="paragraph" w:customStyle="1" w:styleId="StandaardenGB">
    <w:name w:val="Standaard en_GB"/>
    <w:basedOn w:val="Standaard"/>
    <w:next w:val="Standaard"/>
    <w:pPr>
      <w:autoSpaceDN w:val="0"/>
      <w:spacing w:after="0" w:line="240" w:lineRule="atLeast"/>
      <w:textAlignment w:val="baseline"/>
    </w:pPr>
    <w:rPr>
      <w:rFonts w:eastAsia="DejaVu Sans" w:cs="Lohit Hindi"/>
      <w:color w:val="000000"/>
      <w:kern w:val="0"/>
      <w:szCs w:val="18"/>
      <w:lang w:val="en-GB" w:eastAsia="nl-NL"/>
      <w14:ligatures w14:val="none"/>
    </w:rPr>
  </w:style>
  <w:style w:type="paragraph" w:customStyle="1" w:styleId="StandaardesES">
    <w:name w:val="Standaard es_ES"/>
    <w:basedOn w:val="Standaard"/>
    <w:next w:val="Standaard"/>
    <w:pPr>
      <w:autoSpaceDN w:val="0"/>
      <w:spacing w:after="0" w:line="240" w:lineRule="atLeast"/>
      <w:textAlignment w:val="baseline"/>
    </w:pPr>
    <w:rPr>
      <w:rFonts w:eastAsia="DejaVu Sans" w:cs="Lohit Hindi"/>
      <w:color w:val="000000"/>
      <w:kern w:val="0"/>
      <w:szCs w:val="18"/>
      <w:lang w:val="es-ES" w:eastAsia="nl-NL"/>
      <w14:ligatures w14:val="none"/>
    </w:rPr>
  </w:style>
  <w:style w:type="paragraph" w:customStyle="1" w:styleId="StandaardfrFR">
    <w:name w:val="Standaard fr_FR"/>
    <w:basedOn w:val="Standaard"/>
    <w:next w:val="Standaard"/>
    <w:pPr>
      <w:autoSpaceDN w:val="0"/>
      <w:spacing w:after="0" w:line="240" w:lineRule="atLeast"/>
      <w:textAlignment w:val="baseline"/>
    </w:pPr>
    <w:rPr>
      <w:rFonts w:eastAsia="DejaVu Sans" w:cs="Lohit Hindi"/>
      <w:color w:val="000000"/>
      <w:kern w:val="0"/>
      <w:szCs w:val="18"/>
      <w:lang w:val="fr-FR" w:eastAsia="nl-NL"/>
      <w14:ligatures w14:val="none"/>
    </w:rPr>
  </w:style>
  <w:style w:type="paragraph" w:customStyle="1" w:styleId="Standaardvet">
    <w:name w:val="Standaard vet"/>
    <w:basedOn w:val="Standaard"/>
    <w:next w:val="Standaard"/>
    <w:qFormat/>
    <w:pPr>
      <w:autoSpaceDN w:val="0"/>
      <w:spacing w:after="0" w:line="240" w:lineRule="exact"/>
      <w:textAlignment w:val="baseline"/>
    </w:pPr>
    <w:rPr>
      <w:rFonts w:eastAsia="DejaVu Sans" w:cs="Lohit Hindi"/>
      <w:b/>
      <w:color w:val="000000"/>
      <w:kern w:val="0"/>
      <w:szCs w:val="18"/>
      <w:lang w:val="nl-NL" w:eastAsia="nl-NL"/>
      <w14:ligatures w14:val="none"/>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after="0" w:line="320" w:lineRule="atLeast"/>
      <w:textAlignment w:val="baseline"/>
    </w:pPr>
    <w:rPr>
      <w:rFonts w:eastAsia="DejaVu Sans" w:cs="Lohit Hindi"/>
      <w:b/>
      <w:color w:val="000000"/>
      <w:kern w:val="0"/>
      <w:sz w:val="24"/>
      <w:szCs w:val="24"/>
      <w:lang w:val="nl-NL" w:eastAsia="nl-NL"/>
      <w14:ligatures w14:val="none"/>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after="0" w:line="90" w:lineRule="exact"/>
      <w:textAlignment w:val="baseline"/>
    </w:pPr>
    <w:rPr>
      <w:rFonts w:eastAsia="DejaVu Sans" w:cs="Lohit Hindi"/>
      <w:color w:val="000000"/>
      <w:kern w:val="0"/>
      <w:sz w:val="9"/>
      <w:szCs w:val="9"/>
      <w:lang w:val="nl-NL" w:eastAsia="nl-NL"/>
      <w14:ligatures w14:val="none"/>
    </w:rPr>
  </w:style>
  <w:style w:type="paragraph" w:customStyle="1" w:styleId="WitregelW1bodytekst">
    <w:name w:val="Witregel W1 (bodytekst)"/>
    <w:basedOn w:val="Standaard"/>
    <w:next w:val="Standaard"/>
    <w:p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WitregelW2">
    <w:name w:val="Witregel W2"/>
    <w:basedOn w:val="Standaard"/>
    <w:next w:val="Standaard"/>
    <w:pPr>
      <w:autoSpaceDN w:val="0"/>
      <w:spacing w:after="0" w:line="270" w:lineRule="exact"/>
      <w:textAlignment w:val="baseline"/>
    </w:pPr>
    <w:rPr>
      <w:rFonts w:eastAsia="DejaVu Sans" w:cs="Lohit Hindi"/>
      <w:color w:val="000000"/>
      <w:kern w:val="0"/>
      <w:sz w:val="27"/>
      <w:szCs w:val="27"/>
      <w:lang w:val="nl-NL" w:eastAsia="nl-NL"/>
      <w14:ligatures w14:val="none"/>
    </w:rPr>
  </w:style>
  <w:style w:type="paragraph" w:styleId="Koptekst">
    <w:name w:val="header"/>
    <w:basedOn w:val="Standaard"/>
    <w:link w:val="KoptekstChar"/>
    <w:uiPriority w:val="99"/>
    <w:unhideWhenUsed/>
    <w:rsid w:val="005C424B"/>
    <w:pPr>
      <w:tabs>
        <w:tab w:val="center" w:pos="4536"/>
        <w:tab w:val="right" w:pos="9072"/>
      </w:tabs>
      <w:autoSpaceDN w:val="0"/>
      <w:spacing w:after="0" w:line="240" w:lineRule="auto"/>
      <w:textAlignment w:val="baseline"/>
    </w:pPr>
    <w:rPr>
      <w:rFonts w:eastAsia="DejaVu Sans" w:cs="Lohit Hindi"/>
      <w:color w:val="000000"/>
      <w:kern w:val="0"/>
      <w:szCs w:val="18"/>
      <w:lang w:val="nl-NL" w:eastAsia="nl-NL"/>
      <w14:ligatures w14:val="none"/>
    </w:rPr>
  </w:style>
  <w:style w:type="character" w:customStyle="1" w:styleId="KoptekstChar">
    <w:name w:val="Koptekst Char"/>
    <w:basedOn w:val="Standaardalinea-lettertype"/>
    <w:link w:val="Koptekst"/>
    <w:uiPriority w:val="99"/>
    <w:rsid w:val="005C424B"/>
    <w:rPr>
      <w:rFonts w:ascii="Verdana" w:hAnsi="Verdana"/>
      <w:color w:val="000000"/>
      <w:sz w:val="18"/>
      <w:szCs w:val="18"/>
    </w:rPr>
  </w:style>
  <w:style w:type="character" w:styleId="Verwijzingopmerking">
    <w:name w:val="annotation reference"/>
    <w:basedOn w:val="Standaardalinea-lettertype"/>
    <w:uiPriority w:val="99"/>
    <w:semiHidden/>
    <w:unhideWhenUsed/>
    <w:rsid w:val="005C424B"/>
    <w:rPr>
      <w:sz w:val="16"/>
      <w:szCs w:val="16"/>
    </w:rPr>
  </w:style>
  <w:style w:type="paragraph" w:styleId="Tekstopmerking">
    <w:name w:val="annotation text"/>
    <w:basedOn w:val="Standaard"/>
    <w:link w:val="TekstopmerkingChar"/>
    <w:uiPriority w:val="99"/>
    <w:unhideWhenUsed/>
    <w:rsid w:val="005C424B"/>
    <w:pPr>
      <w:spacing w:line="240" w:lineRule="auto"/>
    </w:pPr>
    <w:rPr>
      <w:sz w:val="20"/>
      <w:szCs w:val="20"/>
    </w:rPr>
  </w:style>
  <w:style w:type="character" w:customStyle="1" w:styleId="TekstopmerkingChar">
    <w:name w:val="Tekst opmerking Char"/>
    <w:basedOn w:val="Standaardalinea-lettertype"/>
    <w:link w:val="Tekstopmerking"/>
    <w:uiPriority w:val="99"/>
    <w:rsid w:val="005C424B"/>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C424B"/>
    <w:rPr>
      <w:vertAlign w:val="superscript"/>
    </w:rPr>
  </w:style>
  <w:style w:type="paragraph" w:styleId="Voetnoottekst">
    <w:name w:val="footnote text"/>
    <w:basedOn w:val="Standaard"/>
    <w:link w:val="VoetnoottekstChar"/>
    <w:uiPriority w:val="99"/>
    <w:semiHidden/>
    <w:unhideWhenUsed/>
    <w:rsid w:val="005C42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424B"/>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A73E8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76715"/>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76715"/>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2806</ap:Words>
  <ap:Characters>15433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2025-09-24T21:04:00.0000000Z</dcterms:created>
  <dcterms:modified xsi:type="dcterms:W3CDTF">2025-09-24T21:04:00.0000000Z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september 2025</vt:lpwstr>
  </property>
  <property fmtid="{D5CDD505-2E9C-101B-9397-08002B2CF9AE}" pid="13" name="Opgesteld door, Naam">
    <vt:lpwstr>Lotte Chevalier</vt:lpwstr>
  </property>
  <property fmtid="{D5CDD505-2E9C-101B-9397-08002B2CF9AE}" pid="14" name="Opgesteld door, Telefoonnummer">
    <vt:lpwstr>0625534409</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