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91" w:rsidRDefault="00EA7A91" w14:paraId="3C7EC669" w14:textId="2877A5CA">
      <w:bookmarkStart w:name="_GoBack" w:id="0"/>
      <w:bookmarkEnd w:id="0"/>
      <w:r>
        <w:t>Geachte voorzitter,</w:t>
      </w:r>
    </w:p>
    <w:p w:rsidR="00EA7A91" w:rsidRDefault="00EA7A91" w14:paraId="03E0326E" w14:textId="77777777"/>
    <w:p w:rsidR="007D4E81" w:rsidP="001D76E5" w:rsidRDefault="0019033E" w14:paraId="4D0D069C" w14:textId="77777777">
      <w:r>
        <w:t xml:space="preserve">Op 10 juni 2025 </w:t>
      </w:r>
      <w:r w:rsidR="001C324A">
        <w:t xml:space="preserve">kwam het tussenverslag beschikbaar van de door de vaste Kamercommissie voor Infrastructuur en Waterstaat </w:t>
      </w:r>
      <w:r w:rsidRPr="00D73121" w:rsidR="00D73121">
        <w:t xml:space="preserve">(hierna </w:t>
      </w:r>
      <w:r w:rsidR="00D01EC8">
        <w:t>c</w:t>
      </w:r>
      <w:r w:rsidRPr="00D73121" w:rsidR="00D73121">
        <w:t>ommissie IenW)</w:t>
      </w:r>
      <w:r w:rsidR="00D73121">
        <w:t xml:space="preserve"> </w:t>
      </w:r>
      <w:r w:rsidR="001C324A">
        <w:t xml:space="preserve">aangewezen rapporteurs voor de voorgenomen herziening van de REACH-verordening over chemische stoffen. Het kabinet is van mening dat dit tussenverslag een nuttig overzicht geeft van de belangrijkste onderwerpen. </w:t>
      </w:r>
      <w:r w:rsidR="004568CF">
        <w:t xml:space="preserve">Op 18 </w:t>
      </w:r>
      <w:r w:rsidR="001C324A">
        <w:t>juni stuurde</w:t>
      </w:r>
      <w:r w:rsidR="004568CF">
        <w:t xml:space="preserve"> de voorzitter van </w:t>
      </w:r>
      <w:r w:rsidR="001C324A">
        <w:t xml:space="preserve">de commissie IenW </w:t>
      </w:r>
      <w:r w:rsidR="004568CF">
        <w:t xml:space="preserve">een brief aan de </w:t>
      </w:r>
      <w:r w:rsidR="00340458">
        <w:t>E</w:t>
      </w:r>
      <w:r w:rsidR="004568CF">
        <w:t>urocommissarissen Roswall en Séjourné over de</w:t>
      </w:r>
      <w:r w:rsidR="001C324A">
        <w:t xml:space="preserve"> voorlopige bevindingen</w:t>
      </w:r>
      <w:r w:rsidR="004568CF">
        <w:t>.</w:t>
      </w:r>
      <w:r w:rsidR="00EA7A91">
        <w:t xml:space="preserve"> </w:t>
      </w:r>
    </w:p>
    <w:p w:rsidR="001D76E5" w:rsidP="001D76E5" w:rsidRDefault="00EA7A91" w14:paraId="49425502" w14:textId="095E47A6">
      <w:r>
        <w:t xml:space="preserve">Het kabinet </w:t>
      </w:r>
      <w:r w:rsidR="004D5F0E">
        <w:t xml:space="preserve">deelt </w:t>
      </w:r>
      <w:r>
        <w:t xml:space="preserve">de waardering </w:t>
      </w:r>
      <w:r w:rsidR="008A054A">
        <w:t xml:space="preserve">van </w:t>
      </w:r>
      <w:r>
        <w:t>de commissie IenW voor de actieve dialoog</w:t>
      </w:r>
      <w:r w:rsidR="0075309F">
        <w:t xml:space="preserve"> </w:t>
      </w:r>
      <w:r w:rsidR="004D5F0E">
        <w:t xml:space="preserve">van </w:t>
      </w:r>
      <w:r>
        <w:t>de Europese Commissie over de REACH</w:t>
      </w:r>
      <w:r w:rsidR="00563AF8">
        <w:t>-</w:t>
      </w:r>
      <w:r>
        <w:t xml:space="preserve">herziening. Het kabinet hoopt </w:t>
      </w:r>
      <w:r w:rsidR="00EE285A">
        <w:t xml:space="preserve">samen </w:t>
      </w:r>
      <w:r>
        <w:t>met de commissie IenW dat dit de Europese Commissie in staat stelt een gebalanceerd voorstel te doen</w:t>
      </w:r>
      <w:r w:rsidR="004D041A">
        <w:t>.</w:t>
      </w:r>
      <w:r>
        <w:t xml:space="preserve"> </w:t>
      </w:r>
      <w:r w:rsidRPr="00462923" w:rsidR="004D041A">
        <w:t>D</w:t>
      </w:r>
      <w:r w:rsidRPr="00462923" w:rsidR="00AE2CFB">
        <w:t xml:space="preserve">it </w:t>
      </w:r>
      <w:r w:rsidR="007D4E81">
        <w:t xml:space="preserve">houdt in een </w:t>
      </w:r>
      <w:r w:rsidRPr="00462923" w:rsidR="00AE2CFB">
        <w:t>voorstel</w:t>
      </w:r>
      <w:r w:rsidRPr="00462923">
        <w:t xml:space="preserve"> </w:t>
      </w:r>
      <w:r w:rsidR="007D4E81">
        <w:t xml:space="preserve">dat </w:t>
      </w:r>
      <w:r w:rsidRPr="00462923">
        <w:t>de bescherming van mens en milieu verbeter</w:t>
      </w:r>
      <w:r w:rsidR="007D4E81">
        <w:t xml:space="preserve">t en </w:t>
      </w:r>
      <w:r w:rsidRPr="00462923" w:rsidR="004D041A">
        <w:t xml:space="preserve">de Europese chemische industrie </w:t>
      </w:r>
      <w:r w:rsidR="007D4E81">
        <w:t xml:space="preserve">stimuleert te </w:t>
      </w:r>
      <w:r w:rsidRPr="008672F3" w:rsidR="00462923">
        <w:t>investe</w:t>
      </w:r>
      <w:r w:rsidR="007D4E81">
        <w:t>ren</w:t>
      </w:r>
      <w:r w:rsidRPr="008672F3" w:rsidR="00462923">
        <w:t xml:space="preserve"> in</w:t>
      </w:r>
      <w:r w:rsidRPr="00462923" w:rsidR="004D041A">
        <w:t xml:space="preserve"> innovaties die de groene en digitale transities mogelijk ma</w:t>
      </w:r>
      <w:r w:rsidR="007D4E81">
        <w:t>ken</w:t>
      </w:r>
      <w:r w:rsidR="004D041A">
        <w:t xml:space="preserve">. Zo kan </w:t>
      </w:r>
      <w:r w:rsidR="00263871">
        <w:t xml:space="preserve">worden </w:t>
      </w:r>
      <w:r w:rsidR="004D041A">
        <w:t>voork</w:t>
      </w:r>
      <w:r w:rsidR="0075309F">
        <w:t>o</w:t>
      </w:r>
      <w:r w:rsidR="004D041A">
        <w:t xml:space="preserve">men dat Europa voor cruciale </w:t>
      </w:r>
      <w:r w:rsidR="007D4E81">
        <w:t>chemische stoffen en technologieën</w:t>
      </w:r>
      <w:r w:rsidR="004D041A">
        <w:t xml:space="preserve"> afhankelijk</w:t>
      </w:r>
      <w:r w:rsidR="007D4E81">
        <w:t xml:space="preserve"> wordt</w:t>
      </w:r>
      <w:r w:rsidR="004D041A">
        <w:t xml:space="preserve"> van andere landen</w:t>
      </w:r>
      <w:r w:rsidR="00462923">
        <w:t>.</w:t>
      </w:r>
      <w:r w:rsidR="00852BE3">
        <w:t xml:space="preserve"> Het kabinet reageert in deze brief op de onderwerpen die in de brief aan de eurocommissarissen worden genoemd.</w:t>
      </w:r>
    </w:p>
    <w:p w:rsidR="001D76E5" w:rsidP="001D76E5" w:rsidRDefault="001D76E5" w14:paraId="10C408B1" w14:textId="77777777"/>
    <w:p w:rsidR="000A0131" w:rsidP="001D76E5" w:rsidRDefault="001D76E5" w14:paraId="44343BAF" w14:textId="4303FB98">
      <w:r w:rsidRPr="004C2FCA">
        <w:rPr>
          <w:b/>
          <w:bCs/>
        </w:rPr>
        <w:t>Raakvlakken met andere wetgeving</w:t>
      </w:r>
      <w:r w:rsidR="000A0131">
        <w:t xml:space="preserve"> </w:t>
      </w:r>
    </w:p>
    <w:p w:rsidR="001D76E5" w:rsidP="001D76E5" w:rsidRDefault="007A3587" w14:paraId="4B8E3568" w14:textId="78072800">
      <w:r>
        <w:t>Er zijn belangrijke raakvlakken tussen de REACH-verordening en andere</w:t>
      </w:r>
      <w:r w:rsidR="00B86C1F">
        <w:t xml:space="preserve"> </w:t>
      </w:r>
      <w:r w:rsidR="00D73121">
        <w:t>beleidsinstrumenten</w:t>
      </w:r>
      <w:r>
        <w:t>.</w:t>
      </w:r>
      <w:r w:rsidRPr="00462923" w:rsidR="00462923">
        <w:t xml:space="preserve"> </w:t>
      </w:r>
      <w:r w:rsidR="00462923">
        <w:t xml:space="preserve">Het kabinet </w:t>
      </w:r>
      <w:r w:rsidR="004A7FE9">
        <w:t>herken</w:t>
      </w:r>
      <w:r w:rsidR="00462923">
        <w:t xml:space="preserve">t de oproep van </w:t>
      </w:r>
      <w:r w:rsidRPr="00263871" w:rsidR="00462923">
        <w:t>de commissie IenW</w:t>
      </w:r>
      <w:r w:rsidR="00462923">
        <w:t xml:space="preserve"> om breder te kijken dan </w:t>
      </w:r>
      <w:r w:rsidR="00916CBC">
        <w:t xml:space="preserve">naar </w:t>
      </w:r>
      <w:r w:rsidR="00462923">
        <w:t>de REACH-verordening in isolement.</w:t>
      </w:r>
      <w:r w:rsidR="000A0131">
        <w:t xml:space="preserve"> </w:t>
      </w:r>
      <w:r w:rsidR="001D76E5">
        <w:t xml:space="preserve">Zo is er bijvoorbeeld een sterke samenhang tussen de inzet in het kader van </w:t>
      </w:r>
      <w:r w:rsidRPr="0032733E" w:rsidR="001D76E5">
        <w:rPr>
          <w:i/>
          <w:iCs/>
        </w:rPr>
        <w:t>Advanced Materials for Industrial Leadership</w:t>
      </w:r>
      <w:r w:rsidR="0021380A">
        <w:rPr>
          <w:rStyle w:val="FootnoteReference"/>
        </w:rPr>
        <w:footnoteReference w:id="1"/>
      </w:r>
      <w:r w:rsidRPr="00C0165F" w:rsidR="00C0165F">
        <w:rPr>
          <w:vertAlign w:val="superscript"/>
        </w:rPr>
        <w:t>,</w:t>
      </w:r>
      <w:r w:rsidR="00C0165F">
        <w:rPr>
          <w:rStyle w:val="FootnoteReference"/>
        </w:rPr>
        <w:footnoteReference w:id="2"/>
      </w:r>
      <w:r w:rsidR="001D76E5">
        <w:t xml:space="preserve"> en het onderzoeken en beheersen van de risico’s van deze innovaties voor veiligheid en duurzaamheid.</w:t>
      </w:r>
      <w:r>
        <w:t xml:space="preserve"> Het is van belang dat definities </w:t>
      </w:r>
      <w:r w:rsidR="0021380A">
        <w:t>i</w:t>
      </w:r>
      <w:r>
        <w:t>n verschillende wetgevingen consistent zijn en dat procedures uitsluitend verschillen wanneer daar een goede inhoudelijke reden voor is</w:t>
      </w:r>
      <w:r w:rsidR="00411161">
        <w:t xml:space="preserve">. </w:t>
      </w:r>
      <w:r w:rsidR="001D76E5">
        <w:t xml:space="preserve">De uitwerking die gegeven wordt aan het uitgangspunt </w:t>
      </w:r>
      <w:r w:rsidRPr="00322190" w:rsidR="001D76E5">
        <w:rPr>
          <w:i/>
          <w:iCs/>
        </w:rPr>
        <w:t xml:space="preserve">one substance, one </w:t>
      </w:r>
      <w:r w:rsidRPr="00322190" w:rsidR="001D76E5">
        <w:rPr>
          <w:i/>
          <w:iCs/>
        </w:rPr>
        <w:lastRenderedPageBreak/>
        <w:t>assessment</w:t>
      </w:r>
      <w:r w:rsidR="001D76E5">
        <w:t xml:space="preserve"> helpt daarbij,</w:t>
      </w:r>
      <w:r w:rsidR="0021380A">
        <w:rPr>
          <w:rStyle w:val="FootnoteReference"/>
        </w:rPr>
        <w:footnoteReference w:id="3"/>
      </w:r>
      <w:r w:rsidR="001D76E5">
        <w:t xml:space="preserve"> </w:t>
      </w:r>
      <w:r w:rsidR="00661178">
        <w:t>inclusief</w:t>
      </w:r>
      <w:r w:rsidR="001D76E5">
        <w:t xml:space="preserve"> het bij ECHA in te richten </w:t>
      </w:r>
      <w:r w:rsidRPr="00322190" w:rsidR="001D76E5">
        <w:rPr>
          <w:i/>
          <w:iCs/>
        </w:rPr>
        <w:t>Common Data Platform</w:t>
      </w:r>
      <w:r w:rsidR="003C3088">
        <w:rPr>
          <w:rStyle w:val="FootnoteReference"/>
        </w:rPr>
        <w:footnoteReference w:id="4"/>
      </w:r>
      <w:r w:rsidR="001D76E5">
        <w:t xml:space="preserve"> en het in de voorgestelde </w:t>
      </w:r>
      <w:r w:rsidRPr="00322190" w:rsidR="001D76E5">
        <w:rPr>
          <w:i/>
          <w:iCs/>
        </w:rPr>
        <w:t>ECHA Basic Regulation</w:t>
      </w:r>
      <w:r w:rsidR="00411161">
        <w:rPr>
          <w:rStyle w:val="FootnoteReference"/>
        </w:rPr>
        <w:footnoteReference w:id="5"/>
      </w:r>
      <w:r w:rsidR="006738FA">
        <w:t xml:space="preserve"> </w:t>
      </w:r>
      <w:r w:rsidR="001D76E5">
        <w:t xml:space="preserve">opgenomen mechanisme om waar mogelijk verschillen in de beoordeling van chemische stoffen </w:t>
      </w:r>
      <w:r w:rsidR="00BB58AB">
        <w:t>voor</w:t>
      </w:r>
      <w:r w:rsidR="001D76E5">
        <w:t xml:space="preserve"> verschillende toepassingen weg te nemen.</w:t>
      </w:r>
      <w:r w:rsidR="00CF4BB8">
        <w:t xml:space="preserve"> Dit komt de samenhang, uitvoerbaarheid en rechtmatigheid van het beleid ten goede. </w:t>
      </w:r>
      <w:r w:rsidR="004A7FE9">
        <w:t xml:space="preserve">Deze voorstellen kunnen bijdragen aan het vereenvoudigen van de uitvoering. Het geeft sneller duidelijkheid aan het bedrijfsleven en meer zekerheid aan de burger. </w:t>
      </w:r>
      <w:r w:rsidR="00340458">
        <w:t xml:space="preserve"> </w:t>
      </w:r>
    </w:p>
    <w:p w:rsidR="001B2F33" w:rsidRDefault="001B2F33" w14:paraId="40E65372" w14:textId="77777777"/>
    <w:p w:rsidRPr="006B6BB7" w:rsidR="002F5BED" w:rsidP="00563AF8" w:rsidRDefault="002F5BED" w14:paraId="1C31ECDF" w14:textId="77777777">
      <w:pPr>
        <w:rPr>
          <w:b/>
          <w:bCs/>
          <w:i/>
          <w:iCs/>
        </w:rPr>
      </w:pPr>
      <w:r w:rsidRPr="006B6BB7">
        <w:rPr>
          <w:b/>
          <w:bCs/>
          <w:i/>
          <w:iCs/>
        </w:rPr>
        <w:t>Safe and Sustainable by Design</w:t>
      </w:r>
    </w:p>
    <w:p w:rsidR="0003642F" w:rsidP="001D76E5" w:rsidRDefault="00A15D5C" w14:paraId="009DE928" w14:textId="03DE4F15">
      <w:r>
        <w:t xml:space="preserve">De commissie IenW benadrukt het belang van </w:t>
      </w:r>
      <w:r>
        <w:rPr>
          <w:i/>
          <w:iCs/>
        </w:rPr>
        <w:t>Safe and Sustainable by Design</w:t>
      </w:r>
      <w:r>
        <w:t xml:space="preserve"> </w:t>
      </w:r>
      <w:r w:rsidR="004A7FE9">
        <w:t xml:space="preserve">(SSbD) </w:t>
      </w:r>
      <w:r>
        <w:t xml:space="preserve">en geeft aan dat een op innovatie gericht instrumentarium nodig is om SSbD te bevorderen. </w:t>
      </w:r>
      <w:r w:rsidRPr="006B6BB7" w:rsidR="00563AF8">
        <w:t xml:space="preserve">Deze aanpak is door de Europese Commissie </w:t>
      </w:r>
      <w:r w:rsidR="004A7FE9">
        <w:t>geïntroduceerd</w:t>
      </w:r>
      <w:r w:rsidRPr="006B6BB7" w:rsidR="00563AF8">
        <w:t xml:space="preserve"> i</w:t>
      </w:r>
      <w:r w:rsidRPr="006B6BB7" w:rsidR="00B35B79">
        <w:t xml:space="preserve">n </w:t>
      </w:r>
      <w:r w:rsidR="0019527E">
        <w:t xml:space="preserve">de </w:t>
      </w:r>
      <w:r w:rsidR="00603F38">
        <w:t>Europese strategie voor duurzame chemische stoffen (CSS)</w:t>
      </w:r>
      <w:r w:rsidRPr="006B6BB7" w:rsidR="004C1E19">
        <w:rPr>
          <w:rStyle w:val="FootnoteReference"/>
        </w:rPr>
        <w:footnoteReference w:id="6"/>
      </w:r>
      <w:r w:rsidR="004A7FE9">
        <w:t xml:space="preserve"> mede op initiatief van Nederland.</w:t>
      </w:r>
      <w:r w:rsidRPr="006B6BB7" w:rsidR="00563AF8">
        <w:t xml:space="preserve"> </w:t>
      </w:r>
      <w:r w:rsidR="00150B9B">
        <w:t xml:space="preserve">Bedrijven hebben </w:t>
      </w:r>
      <w:r w:rsidR="00056688">
        <w:t xml:space="preserve">echter </w:t>
      </w:r>
      <w:r w:rsidR="00150B9B">
        <w:t>behoefte aan ondersteuning om SSbD in praktijk te brengen</w:t>
      </w:r>
      <w:r w:rsidR="0071017B">
        <w:t>, zo</w:t>
      </w:r>
      <w:r w:rsidR="00592248">
        <w:t xml:space="preserve"> blijkt uit </w:t>
      </w:r>
      <w:r w:rsidR="00807657">
        <w:t>een essaybundel die op initiatief van mijn ministerie tot stand is gekomen.</w:t>
      </w:r>
      <w:r w:rsidR="00FB473B">
        <w:rPr>
          <w:rStyle w:val="FootnoteReference"/>
        </w:rPr>
        <w:footnoteReference w:id="7"/>
      </w:r>
      <w:r w:rsidR="00807657">
        <w:t xml:space="preserve"> </w:t>
      </w:r>
      <w:r w:rsidR="00150B9B">
        <w:t>Op verzoek van het Europees Parlement</w:t>
      </w:r>
      <w:r w:rsidR="00FD12AD">
        <w:t xml:space="preserve"> is </w:t>
      </w:r>
      <w:r w:rsidR="00150B9B">
        <w:t>de Europese Commissie een pilot gestart om te testen hoe</w:t>
      </w:r>
      <w:r w:rsidRPr="00150B9B" w:rsidR="00150B9B">
        <w:t xml:space="preserve"> een netwerk van substitutiecentra</w:t>
      </w:r>
      <w:r w:rsidR="00150B9B">
        <w:t xml:space="preserve"> </w:t>
      </w:r>
      <w:r w:rsidRPr="00150B9B" w:rsidR="00150B9B">
        <w:t>bedrijven</w:t>
      </w:r>
      <w:r w:rsidR="00150B9B">
        <w:t xml:space="preserve"> zo goed mogelijk k</w:t>
      </w:r>
      <w:r w:rsidR="00592248">
        <w:t>a</w:t>
      </w:r>
      <w:r w:rsidR="00150B9B">
        <w:t>n</w:t>
      </w:r>
      <w:r w:rsidRPr="00150B9B" w:rsidR="00150B9B">
        <w:t xml:space="preserve"> ondersteunen</w:t>
      </w:r>
      <w:r w:rsidR="00056688">
        <w:t>.</w:t>
      </w:r>
      <w:r w:rsidR="00FB473B">
        <w:rPr>
          <w:rStyle w:val="FootnoteReference"/>
        </w:rPr>
        <w:footnoteReference w:id="8"/>
      </w:r>
      <w:r w:rsidR="00B86C1F">
        <w:t xml:space="preserve"> </w:t>
      </w:r>
      <w:r w:rsidR="00056688">
        <w:t xml:space="preserve">Het kabinet denkt </w:t>
      </w:r>
      <w:r w:rsidR="00B86C1F">
        <w:t xml:space="preserve">hierbij </w:t>
      </w:r>
      <w:r w:rsidR="00056688">
        <w:t xml:space="preserve">aan </w:t>
      </w:r>
      <w:r w:rsidR="00436077">
        <w:t>kennis over de eigenschappen van chemische stoffen en niet-chemische alternatieven, risico-beoordelingsmethodes, samenwerking in de keten, relevante regelgeving, financieringsopties en een overzicht van de beschikbare expert</w:t>
      </w:r>
      <w:r w:rsidR="00592248">
        <w:t>s</w:t>
      </w:r>
      <w:r w:rsidR="00436077">
        <w:t xml:space="preserve">. </w:t>
      </w:r>
      <w:bookmarkStart w:name="_Hlk207795054" w:id="1"/>
      <w:r w:rsidR="00BB58AB">
        <w:t>De oprichting van e</w:t>
      </w:r>
      <w:r w:rsidRPr="00146CCC" w:rsidR="00BB58AB">
        <w:t xml:space="preserve">en expertisecentrum </w:t>
      </w:r>
      <w:r w:rsidRPr="00146CCC" w:rsidR="00BB58AB">
        <w:rPr>
          <w:i/>
          <w:iCs/>
        </w:rPr>
        <w:t>Safe and Sustainable by Design</w:t>
      </w:r>
      <w:r w:rsidRPr="00146CCC" w:rsidR="00BB58AB">
        <w:t xml:space="preserve"> </w:t>
      </w:r>
      <w:r w:rsidRPr="003E2A2D" w:rsidR="00BB58AB">
        <w:t>is opgenomen</w:t>
      </w:r>
      <w:r w:rsidRPr="00146CCC" w:rsidR="00BB58AB">
        <w:t xml:space="preserve"> </w:t>
      </w:r>
      <w:r w:rsidR="00BB58AB">
        <w:t xml:space="preserve">als </w:t>
      </w:r>
      <w:r w:rsidRPr="003E2A2D" w:rsidR="00BB58AB">
        <w:t xml:space="preserve">mijlpaal in de Routekaart van </w:t>
      </w:r>
      <w:r w:rsidRPr="00146CCC" w:rsidR="00077227">
        <w:t>het Nationaal Programma Verduurzaming Industrie</w:t>
      </w:r>
      <w:r w:rsidRPr="00146CCC" w:rsidR="002D79A3">
        <w:t xml:space="preserve"> (actie CI18)</w:t>
      </w:r>
      <w:r w:rsidR="002D79A3">
        <w:t>,</w:t>
      </w:r>
      <w:r w:rsidRPr="00146CCC" w:rsidR="00077227">
        <w:t xml:space="preserve"> </w:t>
      </w:r>
      <w:r w:rsidR="002D79A3">
        <w:t>en</w:t>
      </w:r>
      <w:r w:rsidR="00BB58AB">
        <w:t xml:space="preserve"> </w:t>
      </w:r>
      <w:r w:rsidRPr="00146CCC" w:rsidR="00077227">
        <w:t>voorzien voor het vierde kwartaal van 2027.</w:t>
      </w:r>
      <w:bookmarkEnd w:id="1"/>
      <w:r w:rsidRPr="00146CCC" w:rsidR="00F91E83">
        <w:rPr>
          <w:rStyle w:val="FootnoteReference"/>
        </w:rPr>
        <w:footnoteReference w:id="9"/>
      </w:r>
      <w:r w:rsidR="003C2AF1">
        <w:t xml:space="preserve"> </w:t>
      </w:r>
    </w:p>
    <w:p w:rsidR="005A0173" w:rsidRDefault="005A0173" w14:paraId="0229E65F" w14:textId="77777777"/>
    <w:p w:rsidR="00F25D4D" w:rsidP="00F25D4D" w:rsidRDefault="005A0173" w14:paraId="4CB236C0" w14:textId="5B9E98C7">
      <w:r w:rsidRPr="005A0173">
        <w:rPr>
          <w:b/>
          <w:bCs/>
        </w:rPr>
        <w:t>Versnellen van de besluitvorming</w:t>
      </w:r>
    </w:p>
    <w:p w:rsidRPr="00F25D4D" w:rsidR="00F25D4D" w:rsidP="008672F3" w:rsidRDefault="00340458" w14:paraId="1CBD1254" w14:textId="00BC1293">
      <w:r w:rsidRPr="00340458">
        <w:t xml:space="preserve">Het kabinet </w:t>
      </w:r>
      <w:r w:rsidR="00BE0A11">
        <w:t>deelt</w:t>
      </w:r>
      <w:r>
        <w:t xml:space="preserve"> de</w:t>
      </w:r>
      <w:r w:rsidR="00BE0A11">
        <w:t xml:space="preserve"> mening van de</w:t>
      </w:r>
      <w:r>
        <w:t xml:space="preserve"> commissie IenW</w:t>
      </w:r>
      <w:r w:rsidRPr="00340458">
        <w:t xml:space="preserve"> dat de autorisatie- en restrictieprocedures geoptimaliseerd </w:t>
      </w:r>
      <w:r>
        <w:t>dienen te worden</w:t>
      </w:r>
      <w:r w:rsidR="0030318F">
        <w:t xml:space="preserve">, mede om </w:t>
      </w:r>
      <w:r w:rsidR="00460A51">
        <w:t>bedrijven tijdig duidelijkheid te kunnen geven</w:t>
      </w:r>
      <w:r w:rsidRPr="00340458">
        <w:t xml:space="preserve">. </w:t>
      </w:r>
      <w:r w:rsidR="004A7FE9">
        <w:t>Ook dit kan bijdragen aan een verdere vereenvoudig</w:t>
      </w:r>
      <w:r w:rsidR="00FC15B2">
        <w:t>ing</w:t>
      </w:r>
      <w:r w:rsidR="004A7FE9">
        <w:t xml:space="preserve"> van de uitvoering. </w:t>
      </w:r>
      <w:r w:rsidR="00BE0A11">
        <w:t xml:space="preserve">Er zou systematisch </w:t>
      </w:r>
      <w:r w:rsidR="00A63F24">
        <w:t xml:space="preserve">bij de </w:t>
      </w:r>
      <w:r w:rsidR="00BE0A11">
        <w:t>beoordeling of er</w:t>
      </w:r>
      <w:r w:rsidR="00F24DFD">
        <w:t xml:space="preserve"> voor een bepaalde stof</w:t>
      </w:r>
      <w:r w:rsidR="00BE0A11">
        <w:t xml:space="preserve"> risicobeheersmaatregelen nodig zijn</w:t>
      </w:r>
      <w:r w:rsidR="00F24DFD">
        <w:t>,</w:t>
      </w:r>
      <w:r w:rsidR="00F25D4D">
        <w:t xml:space="preserve"> </w:t>
      </w:r>
      <w:r w:rsidR="00BE0A11">
        <w:t xml:space="preserve">moeten worden gewogen </w:t>
      </w:r>
      <w:r w:rsidR="00A63F24">
        <w:t>welke</w:t>
      </w:r>
      <w:r w:rsidR="00F25D4D">
        <w:t xml:space="preserve"> instrumenten en maatregelen</w:t>
      </w:r>
      <w:r w:rsidR="00A63F24">
        <w:t xml:space="preserve"> het meest geschikt zijn om de risico’s te beheersen</w:t>
      </w:r>
      <w:r w:rsidR="00EE18CB">
        <w:t>. H</w:t>
      </w:r>
      <w:r w:rsidR="0090039C">
        <w:t xml:space="preserve">ierbij </w:t>
      </w:r>
      <w:r w:rsidR="00EE18CB">
        <w:t>moet</w:t>
      </w:r>
      <w:r w:rsidR="0090039C">
        <w:t xml:space="preserve"> ook naar </w:t>
      </w:r>
      <w:r w:rsidR="006B6BB7">
        <w:t xml:space="preserve">maatregelen </w:t>
      </w:r>
      <w:r w:rsidR="00FC15B2">
        <w:t>zoals</w:t>
      </w:r>
      <w:r w:rsidR="006B6BB7">
        <w:t xml:space="preserve"> wetgeving </w:t>
      </w:r>
      <w:r w:rsidR="00EE18CB">
        <w:t>worden</w:t>
      </w:r>
      <w:r w:rsidR="006B6BB7">
        <w:t xml:space="preserve"> </w:t>
      </w:r>
      <w:r w:rsidR="00EE18CB">
        <w:t>ge</w:t>
      </w:r>
      <w:r w:rsidR="006B6BB7">
        <w:t>k</w:t>
      </w:r>
      <w:r w:rsidR="00EE18CB">
        <w:t>e</w:t>
      </w:r>
      <w:r w:rsidR="006B6BB7">
        <w:t xml:space="preserve">ken, </w:t>
      </w:r>
      <w:r w:rsidR="0075309F">
        <w:t>onder andere</w:t>
      </w:r>
      <w:r w:rsidR="00FC15B2">
        <w:t xml:space="preserve"> </w:t>
      </w:r>
      <w:r w:rsidR="006B6BB7">
        <w:t>de arbeidsomstandighedenwetgeving, of productspec</w:t>
      </w:r>
      <w:r w:rsidR="00EE18CB">
        <w:t>i</w:t>
      </w:r>
      <w:r w:rsidR="006B6BB7">
        <w:t>fieke wetgeving zoals de Biocidenverordening</w:t>
      </w:r>
      <w:r w:rsidR="00F25D4D">
        <w:t xml:space="preserve">. </w:t>
      </w:r>
    </w:p>
    <w:p w:rsidRPr="00F25D4D" w:rsidR="00AE2FDA" w:rsidRDefault="00AE2FDA" w14:paraId="35AB4782" w14:textId="77777777">
      <w:pPr>
        <w:pStyle w:val="WitregelW1bodytekst"/>
      </w:pPr>
    </w:p>
    <w:p w:rsidRPr="008B7111" w:rsidR="008B7111" w:rsidP="00146CCC" w:rsidRDefault="00ED245A" w14:paraId="3BFE06F0" w14:textId="3AC54FD6">
      <w:pPr>
        <w:pStyle w:val="WitregelW1bodytekst"/>
      </w:pPr>
      <w:r>
        <w:t>Het kabinet is voorstander van het</w:t>
      </w:r>
      <w:r w:rsidR="00146CCC">
        <w:t xml:space="preserve"> in samenhang beoordelen van eigenschappen van groepen van stoffen met vergelijkbare structuur of toepassing (zoals bisfenolen of brandvertragers).</w:t>
      </w:r>
      <w:r>
        <w:t xml:space="preserve"> Dit </w:t>
      </w:r>
      <w:r w:rsidR="00AE2FDA">
        <w:t xml:space="preserve">voorkomt dat bedrijven </w:t>
      </w:r>
      <w:r w:rsidR="00BE0A11">
        <w:t>investeren in alternatieve stoffen</w:t>
      </w:r>
      <w:r w:rsidR="00AE2FDA">
        <w:t xml:space="preserve"> </w:t>
      </w:r>
      <w:r w:rsidR="00BE0A11">
        <w:t xml:space="preserve">waarvan </w:t>
      </w:r>
      <w:r w:rsidR="00AE2FDA">
        <w:t xml:space="preserve">later </w:t>
      </w:r>
      <w:r w:rsidR="00BE0A11">
        <w:t xml:space="preserve">blijkt dat deze vergelijkbare </w:t>
      </w:r>
      <w:r w:rsidR="00AE2FDA">
        <w:t>risico</w:t>
      </w:r>
      <w:r w:rsidR="00BE0A11">
        <w:t>’</w:t>
      </w:r>
      <w:r w:rsidR="00AE2FDA">
        <w:t xml:space="preserve">s </w:t>
      </w:r>
      <w:r w:rsidR="00BE0A11">
        <w:t xml:space="preserve">hebben als de oorspronkelijke stof. Want als die </w:t>
      </w:r>
      <w:r w:rsidR="00316DAC">
        <w:t xml:space="preserve">vervangende stof </w:t>
      </w:r>
      <w:r w:rsidR="00BE0A11">
        <w:t>vervolgens ook wordt verboden moet een</w:t>
      </w:r>
      <w:r w:rsidR="00316DAC">
        <w:t xml:space="preserve"> betrokken</w:t>
      </w:r>
      <w:r w:rsidR="00BE0A11">
        <w:t xml:space="preserve"> bedrijf </w:t>
      </w:r>
      <w:r w:rsidR="0071017B">
        <w:t>opnieuw</w:t>
      </w:r>
      <w:r w:rsidR="00AE2FDA">
        <w:t xml:space="preserve"> </w:t>
      </w:r>
      <w:r w:rsidR="00BE0A11">
        <w:t xml:space="preserve">op zoek naar een alternatief en opnieuw </w:t>
      </w:r>
      <w:r w:rsidR="00AE2FDA">
        <w:t xml:space="preserve">hun proces </w:t>
      </w:r>
      <w:r w:rsidR="00452C03">
        <w:t>aanpassen</w:t>
      </w:r>
      <w:r w:rsidR="00AE2FDA">
        <w:t xml:space="preserve">. Ook leidt </w:t>
      </w:r>
      <w:r w:rsidR="00EE18CB">
        <w:t>di</w:t>
      </w:r>
      <w:r w:rsidR="00AE2FDA">
        <w:t>t mogelijk tot een snellere verbetering van het beschermingsniveau.</w:t>
      </w:r>
      <w:r w:rsidR="00A400BC">
        <w:t xml:space="preserve"> </w:t>
      </w:r>
      <w:r w:rsidR="001F7776">
        <w:t xml:space="preserve">Van belang is dat de voorwaarden waaraan de groepsaanpak moet voldoen en </w:t>
      </w:r>
      <w:r w:rsidR="00BE0A11">
        <w:t xml:space="preserve">de wijze waarop </w:t>
      </w:r>
      <w:r w:rsidR="001F7776">
        <w:t xml:space="preserve">stoffen in samenhang worden beoordeeld, duidelijk </w:t>
      </w:r>
      <w:r w:rsidR="00561F1A">
        <w:t>zijn</w:t>
      </w:r>
      <w:r w:rsidR="001F7776">
        <w:t xml:space="preserve"> voor de beoordelaar en de industrie, zodat </w:t>
      </w:r>
      <w:r w:rsidR="00561F1A">
        <w:t xml:space="preserve">het </w:t>
      </w:r>
      <w:r w:rsidR="001F7776">
        <w:t xml:space="preserve">voor eenieder </w:t>
      </w:r>
      <w:r w:rsidR="00561F1A">
        <w:t>helder en voorspelbaar</w:t>
      </w:r>
      <w:r w:rsidR="001F7776">
        <w:t xml:space="preserve"> is welke stoffen onder eenzelfde groep </w:t>
      </w:r>
      <w:r w:rsidR="00561F1A">
        <w:t xml:space="preserve">kunnen </w:t>
      </w:r>
      <w:r w:rsidR="001F7776">
        <w:t xml:space="preserve">vallen. </w:t>
      </w:r>
      <w:r w:rsidRPr="001D5B41" w:rsidR="00A15D5C">
        <w:t>Daarbij is het van belang dat de groepsaanpak niet onnodig beperkend werkt voor bedrijven bij de ontwikkeling van veiligere alternatieven en dat de gevolgen voor de administratieve lasten voor bedrijven zorgvuldig worden meegewogen.</w:t>
      </w:r>
    </w:p>
    <w:p w:rsidR="00A400BC" w:rsidP="00A400BC" w:rsidRDefault="00A400BC" w14:paraId="73521021" w14:textId="77777777"/>
    <w:p w:rsidRPr="00A400BC" w:rsidR="00A400BC" w:rsidP="001C324A" w:rsidRDefault="007D4A5E" w14:paraId="6D7A1867" w14:textId="6603B3C2">
      <w:r>
        <w:t>D</w:t>
      </w:r>
      <w:r w:rsidR="00A400BC">
        <w:t xml:space="preserve">e Tweede Kamer </w:t>
      </w:r>
      <w:r>
        <w:t>heeft</w:t>
      </w:r>
      <w:r w:rsidR="00A400BC">
        <w:t xml:space="preserve"> gevraagd </w:t>
      </w:r>
      <w:r>
        <w:t>de</w:t>
      </w:r>
      <w:r w:rsidR="00A400BC">
        <w:t xml:space="preserve"> risico’s van blootstelling aan verschillende stoffen</w:t>
      </w:r>
      <w:r>
        <w:t xml:space="preserve"> mee te nemen</w:t>
      </w:r>
      <w:r w:rsidR="00A400BC">
        <w:t xml:space="preserve">. </w:t>
      </w:r>
      <w:r w:rsidR="00435C5A">
        <w:t>D</w:t>
      </w:r>
      <w:r w:rsidR="00C26C60">
        <w:t>e</w:t>
      </w:r>
      <w:r w:rsidR="00A400BC">
        <w:t xml:space="preserve"> </w:t>
      </w:r>
      <w:r w:rsidR="00C26C60">
        <w:t xml:space="preserve">beoordeling van de </w:t>
      </w:r>
      <w:r w:rsidR="00A400BC">
        <w:t>risico</w:t>
      </w:r>
      <w:r w:rsidR="00C26C60">
        <w:t>’s van alle stoffen individueel</w:t>
      </w:r>
      <w:r w:rsidR="00A400BC">
        <w:t xml:space="preserve"> kan leiden tot een onderschatting van de effecten van blootstelling. </w:t>
      </w:r>
      <w:r w:rsidR="002B63E0">
        <w:t xml:space="preserve">Door de introductie van een extra risicofactor kan hier rekening mee worden gehouden. De inzet van het kabinet is te komen tot een risicofactor die proportioneel is. </w:t>
      </w:r>
      <w:r w:rsidR="00DE761F">
        <w:t xml:space="preserve">Het kabinet wacht voor verdere invulling het voorstel van de Europese Commissie af. </w:t>
      </w:r>
    </w:p>
    <w:p w:rsidRPr="00AE2FDA" w:rsidR="00AE2FDA" w:rsidP="00AE2FDA" w:rsidRDefault="00AE2FDA" w14:paraId="03DFBF15" w14:textId="77777777"/>
    <w:p w:rsidR="00C81BC3" w:rsidRDefault="00146CCC" w14:paraId="6AF5A20E" w14:textId="392B38A4">
      <w:pPr>
        <w:pStyle w:val="WitregelW1bodytekst"/>
      </w:pPr>
      <w:r>
        <w:t>De</w:t>
      </w:r>
      <w:r w:rsidRPr="00EC5122">
        <w:t xml:space="preserve"> </w:t>
      </w:r>
      <w:r w:rsidR="0021380A">
        <w:t>generieke benadering van risicomanagement (GRA)</w:t>
      </w:r>
      <w:r>
        <w:t>, opgenomen in artikel 68(2) van REACH, bevat de mogelijkheid om maatregelen te nemen zonder een volledige risicobeoordeling voor alle stoffen en toepassingen uit te voeren, met name ter bescherming van kwetsbare groepen.</w:t>
      </w:r>
      <w:r w:rsidR="003F0F27">
        <w:t xml:space="preserve"> </w:t>
      </w:r>
      <w:r>
        <w:t>T</w:t>
      </w:r>
      <w:r w:rsidRPr="00EC5122" w:rsidR="00EC5122">
        <w:t xml:space="preserve">ot nu toe </w:t>
      </w:r>
      <w:r>
        <w:t xml:space="preserve">is de GRA </w:t>
      </w:r>
      <w:r w:rsidRPr="00EC5122" w:rsidR="00EC5122">
        <w:t xml:space="preserve">alleen </w:t>
      </w:r>
      <w:r w:rsidRPr="00340458" w:rsidR="00EC5122">
        <w:t xml:space="preserve">toegepast op </w:t>
      </w:r>
      <w:r w:rsidR="00340458">
        <w:t>kankerverwekkende, mutagene en reprotoxische stoffen</w:t>
      </w:r>
      <w:r w:rsidRPr="00EC5122" w:rsidR="00EC5122">
        <w:t xml:space="preserve"> in consumentenproducten. De </w:t>
      </w:r>
      <w:r w:rsidR="00EE18CB">
        <w:t>Europese S</w:t>
      </w:r>
      <w:r w:rsidR="006B6BB7">
        <w:t>trategie voor duurzame chemische stoffen</w:t>
      </w:r>
      <w:r w:rsidRPr="00EC5122" w:rsidR="006B6BB7">
        <w:t xml:space="preserve"> </w:t>
      </w:r>
      <w:r w:rsidRPr="00EC5122" w:rsidR="00322190">
        <w:t>kondig</w:t>
      </w:r>
      <w:r w:rsidRPr="00EC5122" w:rsidR="00EC5122">
        <w:t xml:space="preserve">t een stapsgewijze uitbreiding </w:t>
      </w:r>
      <w:r w:rsidR="0021380A">
        <w:t xml:space="preserve">aan </w:t>
      </w:r>
      <w:r w:rsidRPr="00EC5122" w:rsidR="00EC5122">
        <w:t>van de</w:t>
      </w:r>
      <w:r w:rsidR="0021380A">
        <w:t>ze</w:t>
      </w:r>
      <w:r w:rsidRPr="00EC5122" w:rsidR="00EC5122">
        <w:t xml:space="preserve"> </w:t>
      </w:r>
      <w:r w:rsidR="006B6BB7">
        <w:t>generieke benadering van risicomanagement</w:t>
      </w:r>
      <w:r w:rsidRPr="00EC5122" w:rsidR="006B6BB7">
        <w:t xml:space="preserve"> </w:t>
      </w:r>
      <w:r w:rsidRPr="00EC5122" w:rsidR="00EC5122">
        <w:t>naar andere gevarenklassen en andere kwetsbare groepen.</w:t>
      </w:r>
      <w:r w:rsidR="000E6642">
        <w:t xml:space="preserve"> </w:t>
      </w:r>
      <w:r w:rsidR="00435C5A">
        <w:t xml:space="preserve">Het verdient de voorkeur om </w:t>
      </w:r>
      <w:r w:rsidR="000E6642">
        <w:t xml:space="preserve">de </w:t>
      </w:r>
      <w:r w:rsidR="006B6BB7">
        <w:t xml:space="preserve">generieke benadering van risicomanagement </w:t>
      </w:r>
      <w:r w:rsidR="00435C5A">
        <w:t>daarbuiten alleen toe te passen op initiatief van</w:t>
      </w:r>
      <w:r w:rsidR="00340458">
        <w:t xml:space="preserve"> </w:t>
      </w:r>
      <w:r w:rsidR="000E6642">
        <w:t xml:space="preserve">de Europese Commissie. </w:t>
      </w:r>
      <w:r w:rsidR="00812708">
        <w:t xml:space="preserve">Het kabinet vindt het van belang dat </w:t>
      </w:r>
      <w:r w:rsidR="00DE761F">
        <w:t xml:space="preserve">de Europese Commissie relevante voorstellen onderbouwt door aan te geven wat </w:t>
      </w:r>
      <w:r w:rsidR="00812708">
        <w:t xml:space="preserve">de effectiviteit en proportionaliteit van de maatregel </w:t>
      </w:r>
      <w:r w:rsidR="00DE761F">
        <w:t xml:space="preserve">is met betrekking tot </w:t>
      </w:r>
      <w:r w:rsidR="00812708">
        <w:t>het</w:t>
      </w:r>
      <w:r w:rsidR="00DE761F">
        <w:t xml:space="preserve"> beperken van het</w:t>
      </w:r>
      <w:r w:rsidR="00812708">
        <w:t xml:space="preserve"> risico voor mens of milieu </w:t>
      </w:r>
      <w:r w:rsidR="00DE761F">
        <w:t>en de sociaaleconomische gevolgen</w:t>
      </w:r>
      <w:r w:rsidR="00435C5A">
        <w:t>. Zo wordt een gelijk speelveld bevorderd</w:t>
      </w:r>
      <w:r w:rsidR="00DE761F">
        <w:t xml:space="preserve">. </w:t>
      </w:r>
      <w:r w:rsidR="00812708">
        <w:t>Het kabinet is</w:t>
      </w:r>
      <w:r w:rsidR="00561F1A">
        <w:t xml:space="preserve"> daarom voorstander van duidelijke voorwaarden waaraan de generieke benadering van risicomanagement moet voldoen, voordat de Europese Commissie </w:t>
      </w:r>
      <w:r w:rsidR="0020351A">
        <w:t>de generieke benadering kan inroepen</w:t>
      </w:r>
      <w:r w:rsidR="00AA7FA0">
        <w:t>.</w:t>
      </w:r>
    </w:p>
    <w:p w:rsidRPr="00267DD9" w:rsidR="00267DD9" w:rsidP="00267DD9" w:rsidRDefault="00267DD9" w14:paraId="2C67AF5E" w14:textId="77777777"/>
    <w:p w:rsidR="00D866A4" w:rsidP="00720265" w:rsidRDefault="005A0173" w14:paraId="250725E2" w14:textId="0B67A9E7">
      <w:r w:rsidRPr="005A0173">
        <w:rPr>
          <w:b/>
          <w:bCs/>
        </w:rPr>
        <w:t>Identificatie van gevaareigenschappen</w:t>
      </w:r>
      <w:r w:rsidRPr="00C962E2" w:rsidR="00F73A14">
        <w:rPr>
          <w:b/>
          <w:bCs/>
        </w:rPr>
        <w:t xml:space="preserve"> en validatie van testmethoden</w:t>
      </w:r>
      <w:r w:rsidR="00BC5164">
        <w:rPr>
          <w:b/>
          <w:bCs/>
        </w:rPr>
        <w:br/>
      </w:r>
      <w:r w:rsidR="001D76E5">
        <w:t xml:space="preserve">Op initiatief van Nederland </w:t>
      </w:r>
      <w:r w:rsidR="00160587">
        <w:t>heeft</w:t>
      </w:r>
      <w:r w:rsidR="00BC61DE">
        <w:t xml:space="preserve"> </w:t>
      </w:r>
      <w:r w:rsidR="001D76E5">
        <w:t xml:space="preserve">de Milieuraad </w:t>
      </w:r>
      <w:r w:rsidR="001F1049">
        <w:t xml:space="preserve">bevestigd </w:t>
      </w:r>
      <w:r w:rsidR="000C7FFB">
        <w:t>dat er</w:t>
      </w:r>
      <w:r w:rsidRPr="00933BC3" w:rsidR="001D76E5">
        <w:t xml:space="preserve"> deugdelijke testmethoden </w:t>
      </w:r>
      <w:r w:rsidR="000C7FFB">
        <w:t xml:space="preserve">nodig zijn </w:t>
      </w:r>
      <w:r w:rsidRPr="00933BC3" w:rsidR="001D76E5">
        <w:t xml:space="preserve">om </w:t>
      </w:r>
      <w:r w:rsidR="001D76E5">
        <w:t>d</w:t>
      </w:r>
      <w:r w:rsidRPr="00933BC3" w:rsidR="001D76E5">
        <w:t xml:space="preserve">e gevolgen van blootstelling aan chemische stoffen te identificeren </w:t>
      </w:r>
      <w:r w:rsidR="001D76E5">
        <w:t xml:space="preserve">en </w:t>
      </w:r>
      <w:r w:rsidR="00435C5A">
        <w:t>tegelijkertijd</w:t>
      </w:r>
      <w:r w:rsidR="00BC61DE">
        <w:t xml:space="preserve"> </w:t>
      </w:r>
      <w:r w:rsidRPr="00933BC3" w:rsidR="001D76E5">
        <w:t xml:space="preserve">dierproeven zoveel mogelijk </w:t>
      </w:r>
      <w:r w:rsidR="000C7FFB">
        <w:t>worden</w:t>
      </w:r>
      <w:r w:rsidRPr="00933BC3" w:rsidR="001D76E5">
        <w:t xml:space="preserve"> verm</w:t>
      </w:r>
      <w:r w:rsidR="000C7FFB">
        <w:t>e</w:t>
      </w:r>
      <w:r w:rsidRPr="00933BC3" w:rsidR="001D76E5">
        <w:t>den</w:t>
      </w:r>
      <w:r w:rsidR="001D76E5">
        <w:t xml:space="preserve">. </w:t>
      </w:r>
      <w:r w:rsidR="000C7FFB">
        <w:t>Ook is d</w:t>
      </w:r>
      <w:r w:rsidRPr="00933BC3" w:rsidR="001D76E5">
        <w:t xml:space="preserve">e </w:t>
      </w:r>
      <w:r w:rsidR="001D76E5">
        <w:t xml:space="preserve">Europese </w:t>
      </w:r>
      <w:r w:rsidRPr="00933BC3" w:rsidR="001D76E5">
        <w:t xml:space="preserve">Commissie </w:t>
      </w:r>
      <w:r w:rsidR="001D76E5">
        <w:t xml:space="preserve">gevraagd </w:t>
      </w:r>
      <w:r w:rsidR="002D79A3">
        <w:t xml:space="preserve">om </w:t>
      </w:r>
      <w:r w:rsidRPr="00933BC3" w:rsidR="001D76E5">
        <w:t xml:space="preserve">een Europese strategie voor </w:t>
      </w:r>
      <w:r w:rsidR="002D79A3">
        <w:t xml:space="preserve">ontwikkeling </w:t>
      </w:r>
      <w:r w:rsidRPr="00933BC3" w:rsidR="001D76E5">
        <w:t xml:space="preserve">en validatie </w:t>
      </w:r>
      <w:r w:rsidR="002D79A3">
        <w:t xml:space="preserve">van </w:t>
      </w:r>
      <w:r w:rsidRPr="00933BC3" w:rsidR="002D79A3">
        <w:t>testmethoden</w:t>
      </w:r>
      <w:r w:rsidR="001D76E5">
        <w:t>.</w:t>
      </w:r>
      <w:r w:rsidR="000C7FFB">
        <w:rPr>
          <w:rStyle w:val="FootnoteReference"/>
        </w:rPr>
        <w:footnoteReference w:id="10"/>
      </w:r>
      <w:r w:rsidRPr="00933BC3" w:rsidR="001D76E5">
        <w:t xml:space="preserve"> </w:t>
      </w:r>
      <w:r w:rsidR="00435C5A">
        <w:t xml:space="preserve">Met nieuwe gevalideerde testmethodes wordt het mogelijk om sneller, eenvoudiger en goedkoper de risico’s van stoffen vast te stellen. Dit geeft sneller duidelijkheid voor het bedrijfsleven en meer zekerheid voor de burger tegen minder administratieve lasten. </w:t>
      </w:r>
      <w:r w:rsidR="000C7FFB">
        <w:t xml:space="preserve">De Europese Commissie gaat hiermee aan de slag. </w:t>
      </w:r>
      <w:r w:rsidR="00F73A14">
        <w:t>Nederland ondersteunt hierin actief.</w:t>
      </w:r>
    </w:p>
    <w:p w:rsidR="00D866A4" w:rsidP="00720265" w:rsidRDefault="00D866A4" w14:paraId="5C0FF071" w14:textId="77777777"/>
    <w:p w:rsidR="006F678D" w:rsidP="006F678D" w:rsidRDefault="00EC77E0" w14:paraId="7D03F8DA" w14:textId="3C9D9ECA">
      <w:r>
        <w:t xml:space="preserve">Mijn departement heeft ook </w:t>
      </w:r>
      <w:r w:rsidR="00065F2C">
        <w:t xml:space="preserve">financieel </w:t>
      </w:r>
      <w:r>
        <w:t>bijgedragen aan het PEPPER-platform</w:t>
      </w:r>
      <w:r w:rsidR="000A7607">
        <w:t>,</w:t>
      </w:r>
      <w:r w:rsidR="00F021DB">
        <w:rPr>
          <w:rStyle w:val="FootnoteReference"/>
        </w:rPr>
        <w:footnoteReference w:id="11"/>
      </w:r>
      <w:r w:rsidRPr="00160587" w:rsidR="00160587">
        <w:t xml:space="preserve"> </w:t>
      </w:r>
      <w:r w:rsidR="00160587">
        <w:t xml:space="preserve">een Frans initiatief dat gericht is </w:t>
      </w:r>
      <w:r w:rsidR="00F83FAB">
        <w:t xml:space="preserve">op validatie van </w:t>
      </w:r>
      <w:r w:rsidR="00160587">
        <w:t xml:space="preserve">methodes </w:t>
      </w:r>
      <w:r w:rsidR="00F83FAB">
        <w:t>om</w:t>
      </w:r>
      <w:r w:rsidR="00065F2C">
        <w:t xml:space="preserve"> op hormoonverstoring </w:t>
      </w:r>
      <w:r w:rsidR="00F83FAB">
        <w:t>te</w:t>
      </w:r>
      <w:r w:rsidR="00065F2C">
        <w:t xml:space="preserve"> test</w:t>
      </w:r>
      <w:r w:rsidR="00160587">
        <w:t>en.</w:t>
      </w:r>
      <w:r w:rsidR="00160587">
        <w:rPr>
          <w:rStyle w:val="FootnoteReference"/>
        </w:rPr>
        <w:footnoteReference w:id="12"/>
      </w:r>
      <w:r>
        <w:t xml:space="preserve"> </w:t>
      </w:r>
      <w:r w:rsidRPr="008672F3" w:rsidR="006F678D">
        <w:t xml:space="preserve">Het RIVM verzorgt de Nederlandse inbreng in het OECD Testrichtlijnenprogramma en </w:t>
      </w:r>
      <w:r w:rsidR="00065F2C">
        <w:t>verrich</w:t>
      </w:r>
      <w:r w:rsidRPr="008672F3" w:rsidR="006F678D">
        <w:t xml:space="preserve">t daar </w:t>
      </w:r>
      <w:r w:rsidR="00065F2C">
        <w:t>veel werk</w:t>
      </w:r>
      <w:r w:rsidRPr="008672F3" w:rsidR="006F678D">
        <w:t xml:space="preserve"> om tot internationaal geharmoniseerde testrichtlijnen te komen. De Nederlandse inzet is nadrukkelijk gericht op het terugdringen van dierproeven</w:t>
      </w:r>
      <w:r w:rsidRPr="00FF2747" w:rsidR="000A7607">
        <w:t>.</w:t>
      </w:r>
      <w:r w:rsidRPr="008672F3" w:rsidR="006F678D">
        <w:rPr>
          <w:rStyle w:val="FootnoteReference"/>
        </w:rPr>
        <w:footnoteReference w:id="13"/>
      </w:r>
    </w:p>
    <w:p w:rsidRPr="001C324A" w:rsidR="00C962E2" w:rsidP="00C962E2" w:rsidRDefault="00C962E2" w14:paraId="7B8B67F5" w14:textId="77777777"/>
    <w:p w:rsidR="005A0173" w:rsidP="00C962E2" w:rsidRDefault="00C962E2" w14:paraId="3DB8CB4F" w14:textId="0D5AE614">
      <w:r w:rsidRPr="00C962E2">
        <w:rPr>
          <w:b/>
          <w:bCs/>
        </w:rPr>
        <w:t>Alternatieven voor dierproeven</w:t>
      </w:r>
      <w:r w:rsidRPr="003C2AF1" w:rsidR="00F73A14">
        <w:rPr>
          <w:i/>
          <w:iCs/>
        </w:rPr>
        <w:t xml:space="preserve"> </w:t>
      </w:r>
      <w:r w:rsidRPr="003C2AF1">
        <w:rPr>
          <w:i/>
          <w:iCs/>
        </w:rPr>
        <w:br/>
      </w:r>
      <w:r>
        <w:t xml:space="preserve">In reactie op een Europees burgerinitiatief </w:t>
      </w:r>
      <w:r w:rsidR="00F83FAB">
        <w:t>stel</w:t>
      </w:r>
      <w:r>
        <w:t xml:space="preserve">t de Europese Commissie de </w:t>
      </w:r>
      <w:r w:rsidRPr="00C962E2">
        <w:rPr>
          <w:i/>
          <w:iCs/>
        </w:rPr>
        <w:t>Roadmap Towards Phasing Out Animal Testing for Chemical Safety Assessments</w:t>
      </w:r>
      <w:r w:rsidR="00F83FAB">
        <w:rPr>
          <w:i/>
          <w:iCs/>
        </w:rPr>
        <w:t xml:space="preserve"> </w:t>
      </w:r>
      <w:r w:rsidR="00F83FAB">
        <w:t>op</w:t>
      </w:r>
      <w:r w:rsidRPr="00C962E2">
        <w:t>.</w:t>
      </w:r>
      <w:r w:rsidR="00570A57">
        <w:rPr>
          <w:rStyle w:val="FootnoteReference"/>
        </w:rPr>
        <w:footnoteReference w:id="14"/>
      </w:r>
      <w:r>
        <w:t xml:space="preserve"> </w:t>
      </w:r>
      <w:r w:rsidR="00FE021B">
        <w:t>Dit is een omvangrijk stappenplan voor de uitfasering van dierproeven bij wettelijk voorgeschreven chemische veiligheidstests. Hieronder valt ook de validatie en toelating van proefdiervrije methodes</w:t>
      </w:r>
      <w:r w:rsidR="001930C9">
        <w:t xml:space="preserve">. </w:t>
      </w:r>
      <w:r>
        <w:t xml:space="preserve">Vanuit onder meer het interdepartementale programma Transitie Proefdiervrije Innovatie </w:t>
      </w:r>
      <w:r w:rsidR="001930C9">
        <w:t xml:space="preserve">(TPI) </w:t>
      </w:r>
      <w:r>
        <w:t>word</w:t>
      </w:r>
      <w:r w:rsidR="00570A57">
        <w:t>t</w:t>
      </w:r>
      <w:r>
        <w:t xml:space="preserve"> </w:t>
      </w:r>
      <w:r w:rsidR="00FE021B">
        <w:t>actief meegedacht met de Europese Commissie</w:t>
      </w:r>
      <w:r w:rsidR="00D32A50">
        <w:t xml:space="preserve"> en gepleit voor een aanpak die breder kijkt dan de technische uitdaging alleen</w:t>
      </w:r>
      <w:r w:rsidR="00FE021B">
        <w:t xml:space="preserve">. </w:t>
      </w:r>
      <w:r w:rsidR="001930C9">
        <w:t xml:space="preserve">Daarbij </w:t>
      </w:r>
      <w:r w:rsidR="00570A57">
        <w:t>deel</w:t>
      </w:r>
      <w:r w:rsidR="001930C9">
        <w:t>t de TPI de Nederlandse ervaring</w:t>
      </w:r>
      <w:r w:rsidR="00570A57">
        <w:t>en</w:t>
      </w:r>
      <w:r w:rsidR="001930C9">
        <w:t xml:space="preserve"> met </w:t>
      </w:r>
      <w:r w:rsidR="00570A57">
        <w:t xml:space="preserve">de </w:t>
      </w:r>
      <w:r w:rsidR="001930C9">
        <w:t>samenwerk</w:t>
      </w:r>
      <w:r w:rsidR="00570A57">
        <w:t>ing</w:t>
      </w:r>
      <w:r w:rsidR="001930C9">
        <w:t xml:space="preserve"> </w:t>
      </w:r>
      <w:r w:rsidR="00570A57">
        <w:t>tussen ontwikkelaars van methodes, opdrachtgevers van testen, testlaboratoria, maatschappelijke organisaties, beleidsmakers, experts die de wettelijke toetsing van chemische stoffen uitvoeren en andere gebruikers. Het kabinet verwacht dat di</w:t>
      </w:r>
      <w:r w:rsidR="000A7607">
        <w:t>t</w:t>
      </w:r>
      <w:r w:rsidR="00570A57">
        <w:t xml:space="preserve"> de uitvoerbaarheid </w:t>
      </w:r>
      <w:r w:rsidR="00F83FAB">
        <w:t>e</w:t>
      </w:r>
      <w:r w:rsidR="00570A57">
        <w:t xml:space="preserve">n het draagvlak voor de </w:t>
      </w:r>
      <w:r w:rsidRPr="00570A57" w:rsidR="00570A57">
        <w:rPr>
          <w:i/>
          <w:iCs/>
        </w:rPr>
        <w:t>Roadmap</w:t>
      </w:r>
      <w:r w:rsidR="00570A57">
        <w:t xml:space="preserve"> vergroot.</w:t>
      </w:r>
    </w:p>
    <w:p w:rsidR="009E4D35" w:rsidP="00C962E2" w:rsidRDefault="009E4D35" w14:paraId="563496C2" w14:textId="77777777"/>
    <w:p w:rsidRPr="001C324A" w:rsidR="009E4D35" w:rsidP="009E4D35" w:rsidRDefault="009E4D35" w14:paraId="54ADB73F" w14:textId="1A8D627D">
      <w:r>
        <w:t xml:space="preserve">Het kabinet draagt ook bij aan de validatie, acceptatie en implementatie van proefdiervrije methodes op </w:t>
      </w:r>
      <w:r w:rsidR="00680D9F">
        <w:t>diverse</w:t>
      </w:r>
      <w:r>
        <w:t xml:space="preserve"> manieren. De Nationale Wetenschapsagend</w:t>
      </w:r>
      <w:r w:rsidR="00680D9F">
        <w:t>a</w:t>
      </w:r>
      <w:r>
        <w:t xml:space="preserve"> draagt M€ 10 bij aan</w:t>
      </w:r>
      <w:r w:rsidRPr="00F73A14">
        <w:t xml:space="preserve"> Het </w:t>
      </w:r>
      <w:r w:rsidRPr="00960726">
        <w:rPr>
          <w:i/>
          <w:iCs/>
        </w:rPr>
        <w:t>Virtual Human Platform for Safety Assessment</w:t>
      </w:r>
      <w:r w:rsidRPr="00F73A14">
        <w:t xml:space="preserve"> (VHP4Safety</w:t>
      </w:r>
      <w:r w:rsidR="00D85BA7">
        <w:t>)</w:t>
      </w:r>
      <w:r w:rsidR="00F83BFF">
        <w:t>,</w:t>
      </w:r>
      <w:r>
        <w:rPr>
          <w:rStyle w:val="FootnoteReference"/>
        </w:rPr>
        <w:footnoteReference w:id="15"/>
      </w:r>
      <w:r>
        <w:t xml:space="preserve"> </w:t>
      </w:r>
      <w:r w:rsidR="00F83BFF">
        <w:t>waarin wordt gewerkt aan</w:t>
      </w:r>
      <w:r>
        <w:t xml:space="preserve"> een blauwdruk van een veiligheidsbeoordeling zonder tussenkomst van dierproeven, waar zowel industrie als autoriteiten gebruik van kunnen maken.</w:t>
      </w:r>
      <w:r w:rsidR="00D85BA7">
        <w:t xml:space="preserve"> Daarnaast zal in het kader van de Nationale Wetenschapsagenda volgend jaar een tweede ronde van start gaan waarvoor M€ 3,6 beschikbaar wordt gesteld. </w:t>
      </w:r>
      <w:r>
        <w:t xml:space="preserve">ZonMw </w:t>
      </w:r>
      <w:r w:rsidR="00D85BA7">
        <w:t xml:space="preserve">zet </w:t>
      </w:r>
      <w:r>
        <w:t xml:space="preserve">in opdracht van het kabinet de subsidieoproep ValNAM in samenwerking met Duitsland uit, waar met een </w:t>
      </w:r>
      <w:r w:rsidR="003F0F27">
        <w:t>gezamenlijk</w:t>
      </w:r>
      <w:r>
        <w:t xml:space="preserve"> budget van M€ 7,5 validatieprojecten uitgezet gaan worden. Duitse en Nederlandse consortia werken hierbij samen aan validatie van proefdiervrije methodes in een regulatoire context</w:t>
      </w:r>
      <w:r w:rsidR="003F0F27">
        <w:t>.</w:t>
      </w:r>
      <w:r>
        <w:rPr>
          <w:rStyle w:val="FootnoteReference"/>
        </w:rPr>
        <w:footnoteReference w:id="16"/>
      </w:r>
      <w:r>
        <w:t xml:space="preserve"> </w:t>
      </w:r>
      <w:r w:rsidR="00D85BA7">
        <w:t xml:space="preserve">Vanuit het Groeifonds is tot en met 2034 in totaal M€ 124,5 (deels voorwaardelijk) toegekend aan het Centrum voor Proefdiervrije biomedische Translatie. Op dit moment lopen er </w:t>
      </w:r>
      <w:r w:rsidRPr="0038279B" w:rsidR="00D85BA7">
        <w:t xml:space="preserve">drie </w:t>
      </w:r>
      <w:r w:rsidR="00D85BA7">
        <w:t>vanuit de Nationale Wetenschapsagenda gefinancierde projecten</w:t>
      </w:r>
      <w:r w:rsidRPr="0038279B" w:rsidR="00D85BA7">
        <w:t xml:space="preserve"> </w:t>
      </w:r>
      <w:r w:rsidR="00D85BA7">
        <w:t xml:space="preserve">gericht op </w:t>
      </w:r>
      <w:r w:rsidRPr="00267DD9" w:rsidR="00D85BA7">
        <w:t>acceptatie en implementatie van bestaande proefdiervrije m</w:t>
      </w:r>
      <w:r w:rsidR="00D85BA7">
        <w:t>ethodes</w:t>
      </w:r>
      <w:r w:rsidRPr="00267DD9" w:rsidR="00D85BA7">
        <w:t xml:space="preserve"> </w:t>
      </w:r>
      <w:r w:rsidR="00D85BA7">
        <w:t>voor</w:t>
      </w:r>
      <w:r w:rsidRPr="00267DD9" w:rsidR="00D85BA7">
        <w:t xml:space="preserve"> de beoordeling van de veiligheid van stoffen voor de mens</w:t>
      </w:r>
      <w:r w:rsidR="00D85BA7">
        <w:t>.</w:t>
      </w:r>
      <w:r w:rsidR="00D85BA7">
        <w:rPr>
          <w:rStyle w:val="FootnoteReference"/>
        </w:rPr>
        <w:footnoteReference w:id="17"/>
      </w:r>
    </w:p>
    <w:p w:rsidR="001D76E5" w:rsidP="001D76E5" w:rsidRDefault="001D76E5" w14:paraId="5F4A53ED" w14:textId="77777777"/>
    <w:p w:rsidRPr="005A0173" w:rsidR="001D76E5" w:rsidP="001D76E5" w:rsidRDefault="001D76E5" w14:paraId="418290ED" w14:textId="77777777">
      <w:pPr>
        <w:rPr>
          <w:b/>
          <w:bCs/>
        </w:rPr>
      </w:pPr>
      <w:r w:rsidRPr="005A0173">
        <w:rPr>
          <w:b/>
          <w:bCs/>
        </w:rPr>
        <w:t>Handhaving en naleving</w:t>
      </w:r>
    </w:p>
    <w:p w:rsidR="00B228A7" w:rsidP="001D76E5" w:rsidRDefault="001D76E5" w14:paraId="33C7EA31" w14:textId="60CD8B70">
      <w:r>
        <w:t xml:space="preserve">Handhaafbaarheid, uitvoerbaarheid en fraudebestendigheid zijn al jaren belangrijke criteria waaraan in Nederland beleid wordt getoetst. </w:t>
      </w:r>
      <w:r w:rsidR="00ED58A5">
        <w:t>T</w:t>
      </w:r>
      <w:r>
        <w:t xml:space="preserve">oezicht en handhaving </w:t>
      </w:r>
      <w:r w:rsidR="00ED58A5">
        <w:t xml:space="preserve">zijn </w:t>
      </w:r>
      <w:r>
        <w:t xml:space="preserve">in principe nationale aangelegenheden. </w:t>
      </w:r>
      <w:r w:rsidR="00ED58A5">
        <w:t xml:space="preserve">De rol van Europa hierbij is het </w:t>
      </w:r>
      <w:r w:rsidRPr="00ED58A5" w:rsidR="00ED58A5">
        <w:t xml:space="preserve">bevorderen van de uitwisseling van kennis en ervaringen, harmonisatie van de handhaving, stellingname </w:t>
      </w:r>
      <w:r w:rsidR="00ED58A5">
        <w:t xml:space="preserve">over </w:t>
      </w:r>
      <w:r w:rsidRPr="00ED58A5" w:rsidR="00ED58A5">
        <w:t xml:space="preserve">casuïstiek, eenduidige interpretatie </w:t>
      </w:r>
      <w:r w:rsidR="00ED58A5">
        <w:t xml:space="preserve">van de </w:t>
      </w:r>
      <w:r w:rsidRPr="00ED58A5" w:rsidR="00ED58A5">
        <w:t>regelgeving, EU</w:t>
      </w:r>
      <w:r w:rsidR="00ED58A5">
        <w:t>-</w:t>
      </w:r>
      <w:r w:rsidRPr="00ED58A5" w:rsidR="00ED58A5">
        <w:t>inspectieprojecten, communicatie resultaten, aanbevelingen en verbeterpunten. Daarbij wordt gewerkt aan het eenduidig</w:t>
      </w:r>
      <w:r w:rsidR="00ED58A5">
        <w:t xml:space="preserve"> </w:t>
      </w:r>
      <w:r w:rsidRPr="00ED58A5" w:rsidR="00ED58A5">
        <w:t>gezamenlijk invulling geven aan de handhaafbaarheidstoetsen voor REACH zoals in het proces van nieuwe restricties,</w:t>
      </w:r>
      <w:r w:rsidR="00ED58A5">
        <w:t xml:space="preserve"> ondersteund door netwerken en dataplatforms. Dit alles komt de naleving van de regelgeving ten goede. De subsidiariteit leidt ook tot verschillen in de nationale implementatie die resulteren in een ongelijk speelveld.</w:t>
      </w:r>
      <w:r w:rsidR="00ED58A5">
        <w:rPr>
          <w:rStyle w:val="FootnoteReference"/>
        </w:rPr>
        <w:footnoteReference w:id="18"/>
      </w:r>
      <w:r w:rsidR="00ED58A5">
        <w:t xml:space="preserve"> </w:t>
      </w:r>
      <w:r w:rsidRPr="0009781B" w:rsidR="00ED58A5">
        <w:t xml:space="preserve">Het </w:t>
      </w:r>
      <w:r w:rsidR="00ED58A5">
        <w:t>is wenselijk die verschillen te beperken en het uitvoeren van</w:t>
      </w:r>
      <w:r w:rsidRPr="0009781B" w:rsidR="00ED58A5">
        <w:t xml:space="preserve"> </w:t>
      </w:r>
      <w:r w:rsidR="00ED58A5">
        <w:t>audit</w:t>
      </w:r>
      <w:r w:rsidRPr="0009781B" w:rsidR="00ED58A5">
        <w:t xml:space="preserve">s van de wijze waarop toezicht en handhaving in de </w:t>
      </w:r>
      <w:r w:rsidR="00ED58A5">
        <w:t>l</w:t>
      </w:r>
      <w:r w:rsidRPr="0009781B" w:rsidR="00ED58A5">
        <w:t xml:space="preserve">idstaten worden </w:t>
      </w:r>
      <w:r w:rsidR="00ED58A5">
        <w:t xml:space="preserve">geïmplementeerd en </w:t>
      </w:r>
      <w:r w:rsidRPr="0009781B" w:rsidR="00ED58A5">
        <w:t>uitgevoerd</w:t>
      </w:r>
      <w:r w:rsidR="00ED58A5">
        <w:t xml:space="preserve"> kan hierbij behulpzaam zijn</w:t>
      </w:r>
      <w:r w:rsidR="00ED58A5">
        <w:rPr>
          <w:rStyle w:val="FootnoteReference"/>
        </w:rPr>
        <w:footnoteReference w:id="19"/>
      </w:r>
      <w:r w:rsidR="00ED58A5">
        <w:t xml:space="preserve"> maar mogelijk zijn er ook alternatieven. Het doel is dat de handhaving in de EU beter en meer geharmoniseerd wordt bij zo weinig mogelijk aanvullende administratieve verplichtingen. Het is belangrijk dat de samenwerking op het gebied van toezicht en handhaving van de veiligheid van producten van buiten Europa die worden aangeschaft worden geïntensiveerd.</w:t>
      </w:r>
    </w:p>
    <w:p w:rsidR="001D6D81" w:rsidP="00C962E2" w:rsidRDefault="001D6D81" w14:paraId="11D8D4EA" w14:textId="77777777"/>
    <w:p w:rsidR="001D6D81" w:rsidP="00C962E2" w:rsidRDefault="001D6D81" w14:paraId="584B1816" w14:textId="10306B4A">
      <w:r w:rsidRPr="00191B66">
        <w:rPr>
          <w:b/>
          <w:bCs/>
        </w:rPr>
        <w:t>Tot slot</w:t>
      </w:r>
      <w:r>
        <w:br/>
        <w:t xml:space="preserve">De Europese Commissie heeft </w:t>
      </w:r>
      <w:r w:rsidR="00191B66">
        <w:t xml:space="preserve">recent </w:t>
      </w:r>
      <w:r w:rsidR="00F368A5">
        <w:t>meerdere</w:t>
      </w:r>
      <w:r w:rsidR="00191B66">
        <w:t xml:space="preserve"> </w:t>
      </w:r>
      <w:r w:rsidRPr="00960726" w:rsidR="00191B66">
        <w:rPr>
          <w:i/>
          <w:iCs/>
        </w:rPr>
        <w:t>calls for evidence</w:t>
      </w:r>
      <w:r w:rsidRPr="0009781B" w:rsidR="00191B66">
        <w:t>,</w:t>
      </w:r>
      <w:r w:rsidR="00A970DE">
        <w:rPr>
          <w:rStyle w:val="FootnoteReference"/>
        </w:rPr>
        <w:footnoteReference w:id="20"/>
      </w:r>
      <w:r w:rsidRPr="0009781B" w:rsidR="00191B66">
        <w:t xml:space="preserve"> </w:t>
      </w:r>
      <w:r w:rsidRPr="00960726" w:rsidR="00191B66">
        <w:rPr>
          <w:i/>
          <w:iCs/>
        </w:rPr>
        <w:t>public consultations</w:t>
      </w:r>
      <w:r w:rsidRPr="0009781B" w:rsidR="00191B66">
        <w:t>,</w:t>
      </w:r>
      <w:r w:rsidR="00E03DEC">
        <w:rPr>
          <w:rStyle w:val="FootnoteReference"/>
        </w:rPr>
        <w:footnoteReference w:id="21"/>
      </w:r>
      <w:r w:rsidR="00191B66">
        <w:t xml:space="preserve"> mededelingen en wetgevingsvoorstellen uitgebracht die relevant zijn voor het beleid gericht op de veiligheid van stoffen. Het kabinet zal </w:t>
      </w:r>
      <w:r w:rsidR="00BC5164">
        <w:t xml:space="preserve">zoals gebruikelijk </w:t>
      </w:r>
      <w:r w:rsidR="00191B66">
        <w:t>de voorgenomen reacties en appreciatie</w:t>
      </w:r>
      <w:r w:rsidR="00BC5164">
        <w:t>s</w:t>
      </w:r>
      <w:r w:rsidR="00191B66">
        <w:t xml:space="preserve"> met het Parlement delen, onder meer via BNC-fiches. Aangezien een proces van zorgvuldige interdepartementale afstemming voorafgaat aan het vaststellen van deze fiches kan het kabinet hierop in deze brief niet vooruitlopen. In de rest van 2025 verwacht ik nog veel meer </w:t>
      </w:r>
      <w:r w:rsidR="00ED245A">
        <w:t xml:space="preserve">relevante </w:t>
      </w:r>
      <w:r w:rsidR="00191B66">
        <w:t>vragen, ideeën en voorstellen van de Europese Commissie</w:t>
      </w:r>
      <w:r w:rsidR="00BC5164">
        <w:t>.</w:t>
      </w:r>
    </w:p>
    <w:p w:rsidR="00BC5164" w:rsidP="00C962E2" w:rsidRDefault="00BC5164" w14:paraId="5C86D984" w14:textId="77777777"/>
    <w:p w:rsidRPr="00BC5164" w:rsidR="00BC5164" w:rsidP="00C962E2" w:rsidRDefault="00BC5164" w14:paraId="6CB8909C" w14:textId="3B262BD2">
      <w:r w:rsidRPr="00BC5164">
        <w:t xml:space="preserve">Het kabinet stelt het op prijs dat </w:t>
      </w:r>
      <w:r>
        <w:t xml:space="preserve">de commissie IenW </w:t>
      </w:r>
      <w:r w:rsidR="000D6F76">
        <w:t>de inzichten met betrekking tot de REACH-herziening met de Europese Commissie heeft gedeeld, en hoopt dat de</w:t>
      </w:r>
      <w:r w:rsidR="00294EE8">
        <w:t>ze</w:t>
      </w:r>
      <w:r w:rsidR="000D6F76">
        <w:t xml:space="preserve"> zich daar terdege rekenschap van geeft. De reactie laat zien dat </w:t>
      </w:r>
      <w:r w:rsidR="00E4784E">
        <w:t xml:space="preserve">de </w:t>
      </w:r>
      <w:r w:rsidR="000D6F76">
        <w:t xml:space="preserve">Tweede Kamer en </w:t>
      </w:r>
      <w:r w:rsidR="00E4784E">
        <w:t xml:space="preserve">het </w:t>
      </w:r>
      <w:r w:rsidR="000D6F76">
        <w:t xml:space="preserve">kabinet het op de hoofdlijnen van het stoffenbeleid eens zijn. </w:t>
      </w:r>
      <w:r w:rsidR="00916CBC">
        <w:t xml:space="preserve">REACH levert, maar het moet sneller en beter. </w:t>
      </w:r>
      <w:r w:rsidR="000D6F76">
        <w:t>Ik zie toekomstige gedachtewisselingen met de Kamer over de verder vormgeving van het stoffenbeleid met veel plezier tegemoet.</w:t>
      </w:r>
    </w:p>
    <w:p w:rsidR="00C81BC3" w:rsidRDefault="00787000" w14:paraId="6C56F3F6" w14:textId="77777777">
      <w:pPr>
        <w:pStyle w:val="Slotzin"/>
      </w:pPr>
      <w:r>
        <w:t>Hoogachtend,</w:t>
      </w:r>
    </w:p>
    <w:p w:rsidR="00C81BC3" w:rsidRDefault="00787000" w14:paraId="5EDA0E64" w14:textId="77777777">
      <w:pPr>
        <w:pStyle w:val="OndertekeningArea1"/>
      </w:pPr>
      <w:r>
        <w:t>DE STAATSSECRETARIS VAN INFRASTRUCTUUR EN WATERSTAAT - OPENBAAR VERVOER EN MILIEU,</w:t>
      </w:r>
    </w:p>
    <w:p w:rsidR="00C81BC3" w:rsidRDefault="00C81BC3" w14:paraId="6E66ED10" w14:textId="77777777"/>
    <w:p w:rsidR="00C81BC3" w:rsidRDefault="00C81BC3" w14:paraId="7DA17DBD" w14:textId="77777777"/>
    <w:p w:rsidR="00C81BC3" w:rsidRDefault="00787000" w14:paraId="7A5A36E1" w14:textId="77777777">
      <w:r>
        <w:t>A.A. (Thierry) Aartsen</w:t>
      </w:r>
    </w:p>
    <w:sectPr w:rsidR="00C81BC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8150" w14:textId="77777777" w:rsidR="00031800" w:rsidRDefault="00031800">
      <w:pPr>
        <w:spacing w:line="240" w:lineRule="auto"/>
      </w:pPr>
      <w:r>
        <w:separator/>
      </w:r>
    </w:p>
  </w:endnote>
  <w:endnote w:type="continuationSeparator" w:id="0">
    <w:p w14:paraId="3D444713" w14:textId="77777777" w:rsidR="00031800" w:rsidRDefault="00031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2EE8" w14:textId="2F771939" w:rsidR="00F21834" w:rsidRDefault="00F21834">
    <w:pPr>
      <w:pStyle w:val="Footer"/>
    </w:pPr>
    <w:r>
      <w:rPr>
        <w:noProof/>
        <w:lang w:val="en-GB" w:eastAsia="en-GB"/>
      </w:rPr>
      <mc:AlternateContent>
        <mc:Choice Requires="wps">
          <w:drawing>
            <wp:anchor distT="0" distB="0" distL="0" distR="0" simplePos="0" relativeHeight="251665920" behindDoc="0" locked="0" layoutInCell="1" allowOverlap="1" wp14:anchorId="070F6CD0" wp14:editId="6F875B4A">
              <wp:simplePos x="635" y="635"/>
              <wp:positionH relativeFrom="page">
                <wp:align>left</wp:align>
              </wp:positionH>
              <wp:positionV relativeFrom="page">
                <wp:align>bottom</wp:align>
              </wp:positionV>
              <wp:extent cx="986155" cy="345440"/>
              <wp:effectExtent l="0" t="0" r="4445" b="0"/>
              <wp:wrapNone/>
              <wp:docPr id="788903402"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26B8F1" w14:textId="4E91B936" w:rsidR="00F21834" w:rsidRPr="00F21834" w:rsidRDefault="00F21834" w:rsidP="00F21834">
                          <w:pPr>
                            <w:rPr>
                              <w:rFonts w:ascii="Calibri" w:eastAsia="Calibri" w:hAnsi="Calibri" w:cs="Calibri"/>
                              <w:noProof/>
                              <w:sz w:val="20"/>
                              <w:szCs w:val="20"/>
                            </w:rPr>
                          </w:pPr>
                          <w:r w:rsidRPr="00F2183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F6CD0"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6Z32EegIAALoEAAAOAAAA&#10;AAAAAAAAAAAAAC4CAABkcnMvZTJvRG9jLnhtbFBLAQItABQABgAIAAAAIQBHzAyJ2gAAAAQBAAAP&#10;AAAAAAAAAAAAAAAAANQEAABkcnMvZG93bnJldi54bWxQSwUGAAAAAAQABADzAAAA2wUAAAAA&#10;" filled="f" stroked="f">
              <v:textbox style="mso-fit-shape-to-text:t" inset="20pt,0,0,15pt">
                <w:txbxContent>
                  <w:p w14:paraId="1E26B8F1" w14:textId="4E91B936" w:rsidR="00F21834" w:rsidRPr="00F21834" w:rsidRDefault="00F21834" w:rsidP="00F21834">
                    <w:pPr>
                      <w:rPr>
                        <w:rFonts w:ascii="Calibri" w:eastAsia="Calibri" w:hAnsi="Calibri" w:cs="Calibri"/>
                        <w:noProof/>
                        <w:sz w:val="20"/>
                        <w:szCs w:val="20"/>
                      </w:rPr>
                    </w:pPr>
                    <w:r w:rsidRPr="00F2183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9CF9" w14:textId="77777777" w:rsidR="00556FA0" w:rsidRDefault="00556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2ABB" w14:textId="275A9926" w:rsidR="00F21834" w:rsidRDefault="00F21834">
    <w:pPr>
      <w:pStyle w:val="Footer"/>
    </w:pPr>
    <w:r>
      <w:rPr>
        <w:noProof/>
        <w:lang w:val="en-GB" w:eastAsia="en-GB"/>
      </w:rPr>
      <mc:AlternateContent>
        <mc:Choice Requires="wps">
          <w:drawing>
            <wp:anchor distT="0" distB="0" distL="0" distR="0" simplePos="0" relativeHeight="251664896" behindDoc="0" locked="0" layoutInCell="1" allowOverlap="1" wp14:anchorId="59B21C12" wp14:editId="396B1823">
              <wp:simplePos x="635" y="635"/>
              <wp:positionH relativeFrom="page">
                <wp:align>left</wp:align>
              </wp:positionH>
              <wp:positionV relativeFrom="page">
                <wp:align>bottom</wp:align>
              </wp:positionV>
              <wp:extent cx="986155" cy="345440"/>
              <wp:effectExtent l="0" t="0" r="4445" b="0"/>
              <wp:wrapNone/>
              <wp:docPr id="650502470"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AF8AA75" w14:textId="50B006E5" w:rsidR="00F21834" w:rsidRPr="00F21834" w:rsidRDefault="00F21834" w:rsidP="00F21834">
                          <w:pPr>
                            <w:rPr>
                              <w:rFonts w:ascii="Calibri" w:eastAsia="Calibri" w:hAnsi="Calibri" w:cs="Calibri"/>
                              <w:noProof/>
                              <w:sz w:val="20"/>
                              <w:szCs w:val="20"/>
                            </w:rPr>
                          </w:pPr>
                          <w:r w:rsidRPr="00F2183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B21C12"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CIF5zF5AgAAuwQAAA4AAAAA&#10;AAAAAAAAAAAALgIAAGRycy9lMm9Eb2MueG1sUEsBAi0AFAAGAAgAAAAhAEfMDInaAAAABAEAAA8A&#10;AAAAAAAAAAAAAAAA0wQAAGRycy9kb3ducmV2LnhtbFBLBQYAAAAABAAEAPMAAADaBQAAAAA=&#10;" filled="f" stroked="f">
              <v:textbox style="mso-fit-shape-to-text:t" inset="20pt,0,0,15pt">
                <w:txbxContent>
                  <w:p w14:paraId="1AF8AA75" w14:textId="50B006E5" w:rsidR="00F21834" w:rsidRPr="00F21834" w:rsidRDefault="00F21834" w:rsidP="00F21834">
                    <w:pPr>
                      <w:rPr>
                        <w:rFonts w:ascii="Calibri" w:eastAsia="Calibri" w:hAnsi="Calibri" w:cs="Calibri"/>
                        <w:noProof/>
                        <w:sz w:val="20"/>
                        <w:szCs w:val="20"/>
                      </w:rPr>
                    </w:pPr>
                    <w:r w:rsidRPr="00F21834">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81331" w14:textId="77777777" w:rsidR="00031800" w:rsidRDefault="00031800">
      <w:pPr>
        <w:spacing w:line="240" w:lineRule="auto"/>
      </w:pPr>
      <w:r>
        <w:separator/>
      </w:r>
    </w:p>
  </w:footnote>
  <w:footnote w:type="continuationSeparator" w:id="0">
    <w:p w14:paraId="035424B4" w14:textId="77777777" w:rsidR="00031800" w:rsidRDefault="00031800">
      <w:pPr>
        <w:spacing w:line="240" w:lineRule="auto"/>
      </w:pPr>
      <w:r>
        <w:continuationSeparator/>
      </w:r>
    </w:p>
  </w:footnote>
  <w:footnote w:id="1">
    <w:p w14:paraId="35BF42BD" w14:textId="77777777" w:rsidR="0021380A" w:rsidRPr="00C31ED0" w:rsidRDefault="0021380A" w:rsidP="0021380A">
      <w:pPr>
        <w:pStyle w:val="FootnoteText"/>
        <w:rPr>
          <w:sz w:val="16"/>
          <w:szCs w:val="16"/>
          <w:lang w:val="en-US"/>
        </w:rPr>
      </w:pPr>
      <w:r w:rsidRPr="00C31ED0">
        <w:rPr>
          <w:rStyle w:val="FootnoteReference"/>
          <w:sz w:val="16"/>
          <w:szCs w:val="16"/>
        </w:rPr>
        <w:footnoteRef/>
      </w:r>
      <w:r w:rsidRPr="00C31ED0">
        <w:rPr>
          <w:sz w:val="16"/>
          <w:szCs w:val="16"/>
          <w:lang w:val="en-US"/>
        </w:rPr>
        <w:t xml:space="preserve"> Europese Commissie, Mededeling </w:t>
      </w:r>
      <w:r w:rsidRPr="00322190">
        <w:rPr>
          <w:i/>
          <w:iCs/>
          <w:sz w:val="16"/>
          <w:szCs w:val="16"/>
          <w:lang w:val="en-US"/>
        </w:rPr>
        <w:t>Advanced Materials for Industrial Leadership</w:t>
      </w:r>
      <w:r w:rsidRPr="00C31ED0">
        <w:rPr>
          <w:sz w:val="16"/>
          <w:szCs w:val="16"/>
          <w:lang w:val="en-US"/>
        </w:rPr>
        <w:t xml:space="preserve"> (2024), https://research-and-innovation.ec.europa.eu/document/download/0fcf06ea-c242-44a6-b2cb-daed39584996_en?filename=com_2024_98_1_en_act_part1.pdf</w:t>
      </w:r>
    </w:p>
  </w:footnote>
  <w:footnote w:id="2">
    <w:p w14:paraId="014B2898" w14:textId="20387D82" w:rsidR="00C0165F" w:rsidRDefault="00C0165F">
      <w:pPr>
        <w:pStyle w:val="FootnoteText"/>
      </w:pPr>
      <w:r w:rsidRPr="00C0165F">
        <w:rPr>
          <w:rStyle w:val="FootnoteReference"/>
          <w:sz w:val="16"/>
          <w:szCs w:val="16"/>
        </w:rPr>
        <w:footnoteRef/>
      </w:r>
      <w:r>
        <w:t xml:space="preserve"> </w:t>
      </w:r>
      <w:r w:rsidRPr="00C0165F">
        <w:rPr>
          <w:sz w:val="16"/>
          <w:szCs w:val="16"/>
        </w:rPr>
        <w:t>Ook de Advanced Materials Act is hierbij relevant, die informeel is aangekondigd</w:t>
      </w:r>
    </w:p>
  </w:footnote>
  <w:footnote w:id="3">
    <w:p w14:paraId="135252BE" w14:textId="77777777" w:rsidR="0021380A" w:rsidRPr="00C31ED0" w:rsidRDefault="0021380A" w:rsidP="0021380A">
      <w:pPr>
        <w:pStyle w:val="FootnoteText"/>
        <w:rPr>
          <w:sz w:val="16"/>
          <w:szCs w:val="16"/>
        </w:rPr>
      </w:pPr>
      <w:r w:rsidRPr="00C31ED0">
        <w:rPr>
          <w:rStyle w:val="FootnoteReference"/>
          <w:sz w:val="16"/>
          <w:szCs w:val="16"/>
        </w:rPr>
        <w:footnoteRef/>
      </w:r>
      <w:r w:rsidRPr="00C31ED0">
        <w:rPr>
          <w:sz w:val="16"/>
          <w:szCs w:val="16"/>
        </w:rPr>
        <w:t xml:space="preserve"> BNC-fiche Verordening en richtlijn herverdeling taken en bevorderen samenwerking EU-agentschappen aangaande chemische stoffen, vergaderjaar 2023–2024, 22 112, nr. 3881</w:t>
      </w:r>
    </w:p>
  </w:footnote>
  <w:footnote w:id="4">
    <w:p w14:paraId="75014DE8" w14:textId="77777777" w:rsidR="003C3088" w:rsidRPr="00C31ED0" w:rsidRDefault="003C3088" w:rsidP="003C3088">
      <w:pPr>
        <w:pStyle w:val="FootnoteText"/>
        <w:rPr>
          <w:sz w:val="16"/>
          <w:szCs w:val="16"/>
        </w:rPr>
      </w:pPr>
      <w:r w:rsidRPr="00C31ED0">
        <w:rPr>
          <w:rStyle w:val="FootnoteReference"/>
          <w:sz w:val="16"/>
          <w:szCs w:val="16"/>
        </w:rPr>
        <w:footnoteRef/>
      </w:r>
      <w:r w:rsidRPr="00C31ED0">
        <w:rPr>
          <w:sz w:val="16"/>
          <w:szCs w:val="16"/>
        </w:rPr>
        <w:t xml:space="preserve"> BNC-fiche Verordening gemeenschappelijk databestand chemische stoffen, Tweede Kamer, vergaderjaar 2023–2024, 22 112, nr. 3880 </w:t>
      </w:r>
    </w:p>
  </w:footnote>
  <w:footnote w:id="5">
    <w:p w14:paraId="4FA68EAA" w14:textId="42BA4601" w:rsidR="00411161" w:rsidRPr="00C31ED0" w:rsidRDefault="00411161">
      <w:pPr>
        <w:pStyle w:val="FootnoteText"/>
        <w:rPr>
          <w:sz w:val="16"/>
          <w:szCs w:val="16"/>
        </w:rPr>
      </w:pPr>
      <w:r w:rsidRPr="00C31ED0">
        <w:rPr>
          <w:rStyle w:val="FootnoteReference"/>
          <w:sz w:val="16"/>
          <w:szCs w:val="16"/>
        </w:rPr>
        <w:footnoteRef/>
      </w:r>
      <w:r w:rsidRPr="00C31ED0">
        <w:rPr>
          <w:sz w:val="16"/>
          <w:szCs w:val="16"/>
        </w:rPr>
        <w:t xml:space="preserve"> </w:t>
      </w:r>
      <w:r w:rsidR="003C3088" w:rsidRPr="00C31ED0">
        <w:rPr>
          <w:sz w:val="16"/>
          <w:szCs w:val="16"/>
        </w:rPr>
        <w:t>Voorstel Verordening Europees Agentschap voor chemische stoffen, 2025/0207</w:t>
      </w:r>
    </w:p>
  </w:footnote>
  <w:footnote w:id="6">
    <w:p w14:paraId="4BB028CF" w14:textId="1877A9E0" w:rsidR="004C1E19" w:rsidRPr="00C31ED0" w:rsidRDefault="004C1E19" w:rsidP="004C1E19">
      <w:pPr>
        <w:pStyle w:val="FootnoteText"/>
        <w:rPr>
          <w:sz w:val="16"/>
          <w:szCs w:val="16"/>
        </w:rPr>
      </w:pPr>
      <w:r w:rsidRPr="00C31ED0">
        <w:rPr>
          <w:rStyle w:val="FootnoteReference"/>
          <w:sz w:val="16"/>
          <w:szCs w:val="16"/>
        </w:rPr>
        <w:footnoteRef/>
      </w:r>
      <w:r w:rsidRPr="00C31ED0">
        <w:rPr>
          <w:sz w:val="16"/>
          <w:szCs w:val="16"/>
        </w:rPr>
        <w:t xml:space="preserve"> Europese Commissie, Strategie voor duurzame chemische stoffen, COM (2020) 667</w:t>
      </w:r>
    </w:p>
  </w:footnote>
  <w:footnote w:id="7">
    <w:p w14:paraId="58970520" w14:textId="77777777" w:rsidR="00FB473B" w:rsidRPr="00807657" w:rsidRDefault="00FB473B" w:rsidP="00FB473B">
      <w:pPr>
        <w:pStyle w:val="FootnoteText"/>
        <w:rPr>
          <w:sz w:val="18"/>
          <w:szCs w:val="18"/>
          <w:lang w:val="en-US"/>
        </w:rPr>
      </w:pPr>
      <w:r w:rsidRPr="00C31ED0">
        <w:rPr>
          <w:rStyle w:val="FootnoteReference"/>
          <w:sz w:val="16"/>
          <w:szCs w:val="16"/>
        </w:rPr>
        <w:footnoteRef/>
      </w:r>
      <w:r w:rsidRPr="00C31ED0">
        <w:rPr>
          <w:sz w:val="16"/>
          <w:szCs w:val="16"/>
          <w:lang w:val="en-US"/>
        </w:rPr>
        <w:t xml:space="preserve"> Redesigning Chemical Innovation (2024), https://www.government.nl/documents/reports/2024/09/30/redesigning-chemical-innovation---essays-on-safe-and-sustainable-by-design</w:t>
      </w:r>
    </w:p>
  </w:footnote>
  <w:footnote w:id="8">
    <w:p w14:paraId="0CFBC66C" w14:textId="77777777" w:rsidR="00FB473B" w:rsidRPr="00C31ED0" w:rsidRDefault="00FB473B" w:rsidP="00FB473B">
      <w:pPr>
        <w:pStyle w:val="FootnoteText"/>
        <w:rPr>
          <w:sz w:val="16"/>
          <w:szCs w:val="16"/>
          <w:lang w:val="en-US"/>
        </w:rPr>
      </w:pPr>
      <w:r w:rsidRPr="00C31ED0">
        <w:rPr>
          <w:rStyle w:val="FootnoteReference"/>
          <w:sz w:val="16"/>
          <w:szCs w:val="16"/>
        </w:rPr>
        <w:footnoteRef/>
      </w:r>
      <w:r w:rsidRPr="00C31ED0">
        <w:rPr>
          <w:sz w:val="16"/>
          <w:szCs w:val="16"/>
          <w:lang w:val="en-US"/>
        </w:rPr>
        <w:t xml:space="preserve"> WSP, Shaping the future of EU substitution centres for hazardous chemicals, https://www.wsp.com/en-gb/projects/shaping-the-future-of-eu-substitution-centres-for-hazardous-chemicals</w:t>
      </w:r>
    </w:p>
  </w:footnote>
  <w:footnote w:id="9">
    <w:p w14:paraId="0409F22B" w14:textId="4009012E" w:rsidR="00F91E83" w:rsidRPr="00C26C60" w:rsidRDefault="00F91E83">
      <w:pPr>
        <w:pStyle w:val="FootnoteText"/>
        <w:rPr>
          <w:sz w:val="16"/>
          <w:szCs w:val="16"/>
        </w:rPr>
      </w:pPr>
      <w:r w:rsidRPr="00C26C60">
        <w:rPr>
          <w:rStyle w:val="FootnoteReference"/>
          <w:sz w:val="16"/>
          <w:szCs w:val="16"/>
        </w:rPr>
        <w:footnoteRef/>
      </w:r>
      <w:r w:rsidRPr="00C26C60">
        <w:rPr>
          <w:sz w:val="16"/>
          <w:szCs w:val="16"/>
        </w:rPr>
        <w:t xml:space="preserve"> </w:t>
      </w:r>
      <w:r w:rsidR="00C31ED0" w:rsidRPr="00C26C60">
        <w:rPr>
          <w:sz w:val="16"/>
          <w:szCs w:val="16"/>
        </w:rPr>
        <w:t>NPVI-routekaart</w:t>
      </w:r>
      <w:r w:rsidRPr="00C26C60">
        <w:rPr>
          <w:sz w:val="16"/>
          <w:szCs w:val="16"/>
        </w:rPr>
        <w:t>, https://www.verduurzamingindustrie.nl/hulp-bij-verduurzaming/routekaart+npvi/2780705.aspx</w:t>
      </w:r>
    </w:p>
  </w:footnote>
  <w:footnote w:id="10">
    <w:p w14:paraId="4B5A9099" w14:textId="036BE23E" w:rsidR="000C7FFB" w:rsidRPr="00C26C60" w:rsidRDefault="000C7FFB" w:rsidP="000C7FFB">
      <w:pPr>
        <w:pStyle w:val="FootnoteText"/>
        <w:rPr>
          <w:sz w:val="16"/>
          <w:szCs w:val="16"/>
        </w:rPr>
      </w:pPr>
      <w:r w:rsidRPr="00C26C60">
        <w:rPr>
          <w:rStyle w:val="FootnoteReference"/>
          <w:sz w:val="16"/>
          <w:szCs w:val="16"/>
        </w:rPr>
        <w:footnoteRef/>
      </w:r>
      <w:r w:rsidRPr="00C26C60">
        <w:rPr>
          <w:sz w:val="16"/>
          <w:szCs w:val="16"/>
        </w:rPr>
        <w:t xml:space="preserve"> Conclusies van de Milieuraad naar aanleiding van de Mid-term Review van het 8e Milieuactieprogramma (17 juni 2024), 11326/24</w:t>
      </w:r>
    </w:p>
  </w:footnote>
  <w:footnote w:id="11">
    <w:p w14:paraId="3652DE2E" w14:textId="20961096" w:rsidR="00F021DB" w:rsidRPr="001D2C20" w:rsidRDefault="00F021DB">
      <w:pPr>
        <w:pStyle w:val="FootnoteText"/>
        <w:rPr>
          <w:sz w:val="16"/>
          <w:szCs w:val="16"/>
        </w:rPr>
      </w:pPr>
      <w:r w:rsidRPr="00C26C60">
        <w:rPr>
          <w:rStyle w:val="FootnoteReference"/>
          <w:sz w:val="16"/>
          <w:szCs w:val="16"/>
        </w:rPr>
        <w:footnoteRef/>
      </w:r>
      <w:r w:rsidRPr="001D2C20">
        <w:rPr>
          <w:sz w:val="16"/>
          <w:szCs w:val="16"/>
        </w:rPr>
        <w:t xml:space="preserve"> https://ed-pepper.eu/en/</w:t>
      </w:r>
    </w:p>
  </w:footnote>
  <w:footnote w:id="12">
    <w:p w14:paraId="56E1CD62" w14:textId="77777777" w:rsidR="00160587" w:rsidRPr="008672F3" w:rsidRDefault="00160587" w:rsidP="00160587">
      <w:pPr>
        <w:pStyle w:val="FootnoteText"/>
        <w:rPr>
          <w:sz w:val="16"/>
          <w:szCs w:val="16"/>
          <w:lang w:val="en-US"/>
        </w:rPr>
      </w:pPr>
      <w:r w:rsidRPr="008672F3">
        <w:rPr>
          <w:rStyle w:val="FootnoteReference"/>
          <w:sz w:val="16"/>
          <w:szCs w:val="16"/>
        </w:rPr>
        <w:footnoteRef/>
      </w:r>
      <w:r w:rsidRPr="008672F3">
        <w:rPr>
          <w:sz w:val="16"/>
          <w:szCs w:val="16"/>
          <w:lang w:val="en-US"/>
        </w:rPr>
        <w:t xml:space="preserve"> Public-private platform for the validation of endocrine disruptors characterization methods, https://ed-pepper.eu/en/</w:t>
      </w:r>
    </w:p>
  </w:footnote>
  <w:footnote w:id="13">
    <w:p w14:paraId="5E7946C0" w14:textId="77777777" w:rsidR="006F678D" w:rsidRPr="00065F2C" w:rsidRDefault="006F678D" w:rsidP="006F678D">
      <w:pPr>
        <w:pStyle w:val="FootnoteText"/>
        <w:rPr>
          <w:sz w:val="16"/>
          <w:szCs w:val="16"/>
          <w:lang w:val="en-US"/>
        </w:rPr>
      </w:pPr>
      <w:r w:rsidRPr="00065F2C">
        <w:rPr>
          <w:rStyle w:val="FootnoteReference"/>
          <w:sz w:val="16"/>
          <w:szCs w:val="16"/>
        </w:rPr>
        <w:footnoteRef/>
      </w:r>
      <w:r w:rsidRPr="00065F2C">
        <w:rPr>
          <w:sz w:val="16"/>
          <w:szCs w:val="16"/>
          <w:lang w:val="en-US"/>
        </w:rPr>
        <w:t xml:space="preserve"> https://malta-initiative.org/</w:t>
      </w:r>
    </w:p>
  </w:footnote>
  <w:footnote w:id="14">
    <w:p w14:paraId="7278BA9E" w14:textId="3F289820" w:rsidR="00570A57" w:rsidRPr="00570A57" w:rsidRDefault="00570A57">
      <w:pPr>
        <w:pStyle w:val="FootnoteText"/>
        <w:rPr>
          <w:sz w:val="18"/>
          <w:szCs w:val="18"/>
          <w:lang w:val="en-US"/>
        </w:rPr>
      </w:pPr>
      <w:r w:rsidRPr="00065F2C">
        <w:rPr>
          <w:rStyle w:val="FootnoteReference"/>
          <w:sz w:val="16"/>
          <w:szCs w:val="16"/>
        </w:rPr>
        <w:footnoteRef/>
      </w:r>
      <w:r w:rsidRPr="00065F2C">
        <w:rPr>
          <w:sz w:val="16"/>
          <w:szCs w:val="16"/>
          <w:lang w:val="en-US"/>
        </w:rPr>
        <w:t xml:space="preserve"> Communication from the Commission on the European Citizens’ Initiative (ECI) ‘Save cruelty-free cosmetics – Commit to a Europe without animal testing’ (2023)</w:t>
      </w:r>
    </w:p>
  </w:footnote>
  <w:footnote w:id="15">
    <w:p w14:paraId="7F99DB93" w14:textId="77777777" w:rsidR="009E4D35" w:rsidRPr="00960726" w:rsidRDefault="009E4D35" w:rsidP="009E4D35">
      <w:pPr>
        <w:pStyle w:val="FootnoteText"/>
        <w:rPr>
          <w:sz w:val="16"/>
          <w:szCs w:val="16"/>
          <w:lang w:val="en-US"/>
        </w:rPr>
      </w:pPr>
      <w:r w:rsidRPr="00960726">
        <w:rPr>
          <w:rStyle w:val="FootnoteReference"/>
          <w:sz w:val="16"/>
          <w:szCs w:val="16"/>
        </w:rPr>
        <w:footnoteRef/>
      </w:r>
      <w:r w:rsidRPr="00960726">
        <w:rPr>
          <w:sz w:val="16"/>
          <w:szCs w:val="16"/>
          <w:lang w:val="en-US"/>
        </w:rPr>
        <w:t xml:space="preserve"> https://www.nwo.nl/en/projects/nwa129219272</w:t>
      </w:r>
    </w:p>
  </w:footnote>
  <w:footnote w:id="16">
    <w:p w14:paraId="275BD1A4" w14:textId="77777777" w:rsidR="009E4D35" w:rsidRPr="00A970DE" w:rsidRDefault="009E4D35" w:rsidP="009E4D35">
      <w:pPr>
        <w:pStyle w:val="FootnoteText"/>
        <w:rPr>
          <w:sz w:val="16"/>
          <w:szCs w:val="16"/>
          <w:lang w:val="en-US"/>
        </w:rPr>
      </w:pPr>
      <w:r w:rsidRPr="00A970DE">
        <w:rPr>
          <w:rStyle w:val="FootnoteReference"/>
          <w:sz w:val="16"/>
          <w:szCs w:val="16"/>
        </w:rPr>
        <w:footnoteRef/>
      </w:r>
      <w:r w:rsidRPr="00A970DE">
        <w:rPr>
          <w:sz w:val="16"/>
          <w:szCs w:val="16"/>
          <w:lang w:val="en-US"/>
        </w:rPr>
        <w:t xml:space="preserve"> https://www.zonmw.nl/nl/subsidie/valnam-validating-and-implementing-new-approach-methodologies-regulatory-context</w:t>
      </w:r>
    </w:p>
  </w:footnote>
  <w:footnote w:id="17">
    <w:p w14:paraId="00C88EE1" w14:textId="77777777" w:rsidR="00D85BA7" w:rsidRPr="00960726" w:rsidRDefault="00D85BA7" w:rsidP="00D85BA7">
      <w:pPr>
        <w:pStyle w:val="FootnoteText"/>
        <w:rPr>
          <w:sz w:val="16"/>
          <w:szCs w:val="16"/>
          <w:lang w:val="en-US"/>
        </w:rPr>
      </w:pPr>
      <w:r w:rsidRPr="00960726">
        <w:rPr>
          <w:rStyle w:val="FootnoteReference"/>
          <w:sz w:val="16"/>
          <w:szCs w:val="16"/>
        </w:rPr>
        <w:footnoteRef/>
      </w:r>
      <w:r w:rsidRPr="00960726">
        <w:rPr>
          <w:sz w:val="16"/>
          <w:szCs w:val="16"/>
          <w:lang w:val="en-US"/>
        </w:rPr>
        <w:t xml:space="preserve"> https://www.nwo.nl/onderzoeksprogrammas/nationale-wetenschapsagenda/thematische-programmering/proefdiervrije-modellen-acceptatie-en-implementatie</w:t>
      </w:r>
    </w:p>
  </w:footnote>
  <w:footnote w:id="18">
    <w:p w14:paraId="3AE80BBE" w14:textId="77777777" w:rsidR="00ED58A5" w:rsidRPr="005614BC" w:rsidRDefault="00ED58A5" w:rsidP="00ED58A5">
      <w:pPr>
        <w:pStyle w:val="FootnoteText"/>
        <w:rPr>
          <w:sz w:val="16"/>
          <w:szCs w:val="16"/>
          <w:lang w:val="en-US"/>
        </w:rPr>
      </w:pPr>
      <w:r w:rsidRPr="005614BC">
        <w:rPr>
          <w:rStyle w:val="FootnoteReference"/>
          <w:sz w:val="16"/>
          <w:szCs w:val="16"/>
        </w:rPr>
        <w:footnoteRef/>
      </w:r>
      <w:r w:rsidRPr="005614BC">
        <w:rPr>
          <w:sz w:val="16"/>
          <w:szCs w:val="16"/>
          <w:lang w:val="en-US"/>
        </w:rPr>
        <w:t xml:space="preserve"> Environmental Implementation Review – Staff Working Document</w:t>
      </w:r>
      <w:r>
        <w:rPr>
          <w:sz w:val="16"/>
          <w:szCs w:val="16"/>
          <w:lang w:val="en-US"/>
        </w:rPr>
        <w:t>,</w:t>
      </w:r>
      <w:r w:rsidRPr="005614BC">
        <w:rPr>
          <w:sz w:val="16"/>
          <w:szCs w:val="16"/>
          <w:lang w:val="en-US"/>
        </w:rPr>
        <w:t xml:space="preserve"> https://environment.ec.europa.eu/publications/environmental-implementation-review-2022_en</w:t>
      </w:r>
    </w:p>
  </w:footnote>
  <w:footnote w:id="19">
    <w:p w14:paraId="73173B28" w14:textId="77777777" w:rsidR="00ED58A5" w:rsidRPr="005614BC" w:rsidRDefault="00ED58A5" w:rsidP="00ED58A5">
      <w:pPr>
        <w:pStyle w:val="FootnoteText"/>
        <w:rPr>
          <w:sz w:val="16"/>
          <w:szCs w:val="16"/>
          <w:lang w:val="en-US"/>
        </w:rPr>
      </w:pPr>
      <w:r w:rsidRPr="005614BC">
        <w:rPr>
          <w:rStyle w:val="FootnoteReference"/>
          <w:sz w:val="16"/>
          <w:szCs w:val="16"/>
        </w:rPr>
        <w:footnoteRef/>
      </w:r>
      <w:r w:rsidRPr="005614BC">
        <w:rPr>
          <w:sz w:val="16"/>
          <w:szCs w:val="16"/>
          <w:lang w:val="en-US"/>
        </w:rPr>
        <w:t xml:space="preserve"> Study on the establishment of a European audit capacity to ensure compliance and effective national control and enforcement of the REACH regulation and on the extension of that capacity and of those standards to CLP, POPs and PIC regulations (2022)</w:t>
      </w:r>
      <w:r>
        <w:rPr>
          <w:sz w:val="16"/>
          <w:szCs w:val="16"/>
          <w:lang w:val="en-US"/>
        </w:rPr>
        <w:t xml:space="preserve">, </w:t>
      </w:r>
      <w:r w:rsidRPr="005614BC">
        <w:rPr>
          <w:sz w:val="16"/>
          <w:szCs w:val="16"/>
          <w:lang w:val="en-US"/>
        </w:rPr>
        <w:t>https://op.europa.eu/en/publication-detail/-/publication/09940f4b-ed1f-11ec-a534-01aa75ed71a1/language-en</w:t>
      </w:r>
    </w:p>
  </w:footnote>
  <w:footnote w:id="20">
    <w:p w14:paraId="47B8F43B" w14:textId="5CD320EA" w:rsidR="00A970DE" w:rsidRPr="00A970DE" w:rsidRDefault="00A970DE">
      <w:pPr>
        <w:pStyle w:val="FootnoteText"/>
        <w:rPr>
          <w:sz w:val="16"/>
          <w:szCs w:val="16"/>
        </w:rPr>
      </w:pPr>
      <w:r w:rsidRPr="00A970DE">
        <w:rPr>
          <w:rStyle w:val="FootnoteReference"/>
          <w:sz w:val="16"/>
          <w:szCs w:val="16"/>
        </w:rPr>
        <w:footnoteRef/>
      </w:r>
      <w:r w:rsidRPr="00A970DE">
        <w:rPr>
          <w:sz w:val="16"/>
          <w:szCs w:val="16"/>
        </w:rPr>
        <w:t xml:space="preserve"> Een </w:t>
      </w:r>
      <w:r w:rsidRPr="00A970DE">
        <w:rPr>
          <w:i/>
          <w:iCs/>
          <w:sz w:val="16"/>
          <w:szCs w:val="16"/>
        </w:rPr>
        <w:t>call for evidence</w:t>
      </w:r>
      <w:r w:rsidRPr="00A970DE">
        <w:rPr>
          <w:sz w:val="16"/>
          <w:szCs w:val="16"/>
        </w:rPr>
        <w:t xml:space="preserve"> is een openba</w:t>
      </w:r>
      <w:r>
        <w:rPr>
          <w:sz w:val="16"/>
          <w:szCs w:val="16"/>
        </w:rPr>
        <w:t>a</w:t>
      </w:r>
      <w:r w:rsidRPr="00A970DE">
        <w:rPr>
          <w:sz w:val="16"/>
          <w:szCs w:val="16"/>
        </w:rPr>
        <w:t xml:space="preserve">r </w:t>
      </w:r>
      <w:r>
        <w:rPr>
          <w:sz w:val="16"/>
          <w:szCs w:val="16"/>
        </w:rPr>
        <w:t xml:space="preserve">verzoek van </w:t>
      </w:r>
      <w:r w:rsidRPr="00A970DE">
        <w:rPr>
          <w:sz w:val="16"/>
          <w:szCs w:val="16"/>
        </w:rPr>
        <w:t xml:space="preserve">de Europese Commissie </w:t>
      </w:r>
      <w:r>
        <w:rPr>
          <w:sz w:val="16"/>
          <w:szCs w:val="16"/>
        </w:rPr>
        <w:t>aan</w:t>
      </w:r>
      <w:r w:rsidRPr="00A970DE">
        <w:rPr>
          <w:sz w:val="16"/>
          <w:szCs w:val="16"/>
        </w:rPr>
        <w:t xml:space="preserve"> alle belanghebbenden om feedback en empirisch bewijs over de voordelen, onbedoelde effecten, consistentie en samenhang van een </w:t>
      </w:r>
      <w:r>
        <w:rPr>
          <w:sz w:val="16"/>
          <w:szCs w:val="16"/>
        </w:rPr>
        <w:t>mogelijk toekomstig beleids</w:t>
      </w:r>
      <w:r w:rsidRPr="00A970DE">
        <w:rPr>
          <w:sz w:val="16"/>
          <w:szCs w:val="16"/>
        </w:rPr>
        <w:t>voorstel</w:t>
      </w:r>
    </w:p>
  </w:footnote>
  <w:footnote w:id="21">
    <w:p w14:paraId="03BB4B08" w14:textId="2AA29A49" w:rsidR="00E03DEC" w:rsidRPr="00E03DEC" w:rsidRDefault="00E03DEC">
      <w:pPr>
        <w:pStyle w:val="FootnoteText"/>
        <w:rPr>
          <w:sz w:val="16"/>
          <w:szCs w:val="16"/>
        </w:rPr>
      </w:pPr>
      <w:r w:rsidRPr="00E03DEC">
        <w:rPr>
          <w:rStyle w:val="FootnoteReference"/>
          <w:sz w:val="16"/>
          <w:szCs w:val="16"/>
        </w:rPr>
        <w:footnoteRef/>
      </w:r>
      <w:r w:rsidRPr="00E03DEC">
        <w:rPr>
          <w:sz w:val="16"/>
          <w:szCs w:val="16"/>
        </w:rPr>
        <w:t xml:space="preserve"> Een </w:t>
      </w:r>
      <w:r w:rsidRPr="00E03DEC">
        <w:rPr>
          <w:i/>
          <w:iCs/>
          <w:sz w:val="16"/>
          <w:szCs w:val="16"/>
        </w:rPr>
        <w:t>public consultation</w:t>
      </w:r>
      <w:r w:rsidRPr="00E03DEC">
        <w:rPr>
          <w:sz w:val="16"/>
          <w:szCs w:val="16"/>
        </w:rPr>
        <w:t xml:space="preserve"> is een formeler proces waarbij vragenlijsten worden gebruikt om gedetailleerde standpunten over specifieke beleidsopties, maatregelen en mogelijke gevolgen te verzamelen van een breder scala aan belanghebbenden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D154" w14:textId="77777777" w:rsidR="00556FA0" w:rsidRDefault="00556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17C0" w14:textId="77777777" w:rsidR="00C81BC3" w:rsidRDefault="00787000">
    <w:r>
      <w:rPr>
        <w:noProof/>
        <w:lang w:val="en-GB" w:eastAsia="en-GB"/>
      </w:rPr>
      <mc:AlternateContent>
        <mc:Choice Requires="wps">
          <w:drawing>
            <wp:anchor distT="0" distB="0" distL="0" distR="0" simplePos="0" relativeHeight="251651584" behindDoc="0" locked="1" layoutInCell="1" allowOverlap="1" wp14:anchorId="308F8FD7" wp14:editId="0E8DEF9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99528B5" w14:textId="77777777" w:rsidR="00C81BC3" w:rsidRDefault="00787000">
                          <w:pPr>
                            <w:pStyle w:val="AfzendgegevensKop0"/>
                          </w:pPr>
                          <w:r>
                            <w:t>Ministerie van Infrastructuur en Waterstaat</w:t>
                          </w:r>
                        </w:p>
                        <w:p w14:paraId="44AF5181" w14:textId="77777777" w:rsidR="00693623" w:rsidRDefault="00693623" w:rsidP="00693623"/>
                        <w:p w14:paraId="493159FD" w14:textId="77777777" w:rsidR="00693623" w:rsidRPr="00693623" w:rsidRDefault="00693623" w:rsidP="00693623">
                          <w:pPr>
                            <w:spacing w:line="276" w:lineRule="auto"/>
                            <w:rPr>
                              <w:b/>
                              <w:bCs/>
                              <w:sz w:val="13"/>
                              <w:szCs w:val="13"/>
                            </w:rPr>
                          </w:pPr>
                          <w:r w:rsidRPr="00693623">
                            <w:rPr>
                              <w:b/>
                              <w:bCs/>
                              <w:sz w:val="13"/>
                              <w:szCs w:val="13"/>
                            </w:rPr>
                            <w:t>Kenmerk</w:t>
                          </w:r>
                        </w:p>
                        <w:p w14:paraId="05562471" w14:textId="77777777" w:rsidR="00693623" w:rsidRPr="00693623" w:rsidRDefault="00693623" w:rsidP="00693623">
                          <w:pPr>
                            <w:spacing w:line="276" w:lineRule="auto"/>
                            <w:rPr>
                              <w:sz w:val="13"/>
                              <w:szCs w:val="13"/>
                            </w:rPr>
                          </w:pPr>
                          <w:r w:rsidRPr="00693623">
                            <w:rPr>
                              <w:sz w:val="13"/>
                              <w:szCs w:val="13"/>
                            </w:rPr>
                            <w:t>IENW/BSK-2025/238780</w:t>
                          </w:r>
                        </w:p>
                        <w:p w14:paraId="055FD9C0" w14:textId="77777777" w:rsidR="00693623" w:rsidRPr="00693623" w:rsidRDefault="00693623" w:rsidP="00693623"/>
                      </w:txbxContent>
                    </wps:txbx>
                    <wps:bodyPr vert="horz" wrap="square" lIns="0" tIns="0" rIns="0" bIns="0" anchor="t" anchorCtr="0"/>
                  </wps:wsp>
                </a:graphicData>
              </a:graphic>
            </wp:anchor>
          </w:drawing>
        </mc:Choice>
        <mc:Fallback>
          <w:pict>
            <v:shapetype w14:anchorId="308F8FD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99528B5" w14:textId="77777777" w:rsidR="00C81BC3" w:rsidRDefault="00787000">
                    <w:pPr>
                      <w:pStyle w:val="AfzendgegevensKop0"/>
                    </w:pPr>
                    <w:r>
                      <w:t>Ministerie van Infrastructuur en Waterstaat</w:t>
                    </w:r>
                  </w:p>
                  <w:p w14:paraId="44AF5181" w14:textId="77777777" w:rsidR="00693623" w:rsidRDefault="00693623" w:rsidP="00693623"/>
                  <w:p w14:paraId="493159FD" w14:textId="77777777" w:rsidR="00693623" w:rsidRPr="00693623" w:rsidRDefault="00693623" w:rsidP="00693623">
                    <w:pPr>
                      <w:spacing w:line="276" w:lineRule="auto"/>
                      <w:rPr>
                        <w:b/>
                        <w:bCs/>
                        <w:sz w:val="13"/>
                        <w:szCs w:val="13"/>
                      </w:rPr>
                    </w:pPr>
                    <w:r w:rsidRPr="00693623">
                      <w:rPr>
                        <w:b/>
                        <w:bCs/>
                        <w:sz w:val="13"/>
                        <w:szCs w:val="13"/>
                      </w:rPr>
                      <w:t>Kenmerk</w:t>
                    </w:r>
                  </w:p>
                  <w:p w14:paraId="05562471" w14:textId="77777777" w:rsidR="00693623" w:rsidRPr="00693623" w:rsidRDefault="00693623" w:rsidP="00693623">
                    <w:pPr>
                      <w:spacing w:line="276" w:lineRule="auto"/>
                      <w:rPr>
                        <w:sz w:val="13"/>
                        <w:szCs w:val="13"/>
                      </w:rPr>
                    </w:pPr>
                    <w:r w:rsidRPr="00693623">
                      <w:rPr>
                        <w:sz w:val="13"/>
                        <w:szCs w:val="13"/>
                      </w:rPr>
                      <w:t>IENW/BSK-2025/238780</w:t>
                    </w:r>
                  </w:p>
                  <w:p w14:paraId="055FD9C0" w14:textId="77777777" w:rsidR="00693623" w:rsidRPr="00693623" w:rsidRDefault="00693623" w:rsidP="0069362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62D4E71" wp14:editId="4327360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4DF063" w14:textId="32EEA2E3" w:rsidR="00C81BC3" w:rsidRDefault="00787000">
                          <w:pPr>
                            <w:pStyle w:val="Referentiegegevens"/>
                          </w:pPr>
                          <w:r>
                            <w:t xml:space="preserve">Pagina </w:t>
                          </w:r>
                          <w:r>
                            <w:fldChar w:fldCharType="begin"/>
                          </w:r>
                          <w:r>
                            <w:instrText>PAGE</w:instrText>
                          </w:r>
                          <w:r>
                            <w:fldChar w:fldCharType="separate"/>
                          </w:r>
                          <w:r w:rsidR="003E5C37">
                            <w:rPr>
                              <w:noProof/>
                            </w:rPr>
                            <w:t>2</w:t>
                          </w:r>
                          <w:r>
                            <w:fldChar w:fldCharType="end"/>
                          </w:r>
                          <w:r>
                            <w:t xml:space="preserve"> van </w:t>
                          </w:r>
                          <w:r>
                            <w:fldChar w:fldCharType="begin"/>
                          </w:r>
                          <w:r>
                            <w:instrText>NUMPAGES</w:instrText>
                          </w:r>
                          <w:r>
                            <w:fldChar w:fldCharType="separate"/>
                          </w:r>
                          <w:r w:rsidR="004568CF">
                            <w:rPr>
                              <w:noProof/>
                            </w:rPr>
                            <w:t>1</w:t>
                          </w:r>
                          <w:r>
                            <w:fldChar w:fldCharType="end"/>
                          </w:r>
                        </w:p>
                      </w:txbxContent>
                    </wps:txbx>
                    <wps:bodyPr vert="horz" wrap="square" lIns="0" tIns="0" rIns="0" bIns="0" anchor="t" anchorCtr="0"/>
                  </wps:wsp>
                </a:graphicData>
              </a:graphic>
            </wp:anchor>
          </w:drawing>
        </mc:Choice>
        <mc:Fallback>
          <w:pict>
            <v:shape w14:anchorId="762D4E7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4DF063" w14:textId="32EEA2E3" w:rsidR="00C81BC3" w:rsidRDefault="00787000">
                    <w:pPr>
                      <w:pStyle w:val="Referentiegegevens"/>
                    </w:pPr>
                    <w:r>
                      <w:t xml:space="preserve">Pagina </w:t>
                    </w:r>
                    <w:r>
                      <w:fldChar w:fldCharType="begin"/>
                    </w:r>
                    <w:r>
                      <w:instrText>PAGE</w:instrText>
                    </w:r>
                    <w:r>
                      <w:fldChar w:fldCharType="separate"/>
                    </w:r>
                    <w:r w:rsidR="003E5C37">
                      <w:rPr>
                        <w:noProof/>
                      </w:rPr>
                      <w:t>2</w:t>
                    </w:r>
                    <w:r>
                      <w:fldChar w:fldCharType="end"/>
                    </w:r>
                    <w:r>
                      <w:t xml:space="preserve"> van </w:t>
                    </w:r>
                    <w:r>
                      <w:fldChar w:fldCharType="begin"/>
                    </w:r>
                    <w:r>
                      <w:instrText>NUMPAGES</w:instrText>
                    </w:r>
                    <w:r>
                      <w:fldChar w:fldCharType="separate"/>
                    </w:r>
                    <w:r w:rsidR="004568C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2511A8A" wp14:editId="0C73F21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C07A8D" w14:textId="77777777" w:rsidR="00787000" w:rsidRDefault="00787000"/>
                      </w:txbxContent>
                    </wps:txbx>
                    <wps:bodyPr vert="horz" wrap="square" lIns="0" tIns="0" rIns="0" bIns="0" anchor="t" anchorCtr="0"/>
                  </wps:wsp>
                </a:graphicData>
              </a:graphic>
            </wp:anchor>
          </w:drawing>
        </mc:Choice>
        <mc:Fallback>
          <w:pict>
            <v:shape w14:anchorId="52511A8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3C07A8D" w14:textId="77777777" w:rsidR="00787000" w:rsidRDefault="007870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71BC4B5" wp14:editId="5F5637D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96E1A1" w14:textId="77777777" w:rsidR="00787000" w:rsidRDefault="00787000"/>
                      </w:txbxContent>
                    </wps:txbx>
                    <wps:bodyPr vert="horz" wrap="square" lIns="0" tIns="0" rIns="0" bIns="0" anchor="t" anchorCtr="0"/>
                  </wps:wsp>
                </a:graphicData>
              </a:graphic>
            </wp:anchor>
          </w:drawing>
        </mc:Choice>
        <mc:Fallback>
          <w:pict>
            <v:shape w14:anchorId="571BC4B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F96E1A1" w14:textId="77777777" w:rsidR="00787000" w:rsidRDefault="0078700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91F3" w14:textId="77777777" w:rsidR="00C81BC3" w:rsidRDefault="0078700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9A9C02D" wp14:editId="503E3C3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1E2FDE" w14:textId="77777777" w:rsidR="00787000" w:rsidRDefault="00787000"/>
                      </w:txbxContent>
                    </wps:txbx>
                    <wps:bodyPr vert="horz" wrap="square" lIns="0" tIns="0" rIns="0" bIns="0" anchor="t" anchorCtr="0"/>
                  </wps:wsp>
                </a:graphicData>
              </a:graphic>
            </wp:anchor>
          </w:drawing>
        </mc:Choice>
        <mc:Fallback>
          <w:pict>
            <v:shapetype w14:anchorId="09A9C02D"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041E2FDE" w14:textId="77777777" w:rsidR="00787000" w:rsidRDefault="007870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99CB58" wp14:editId="6D1AF15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31BC5E" w14:textId="35AAEA71" w:rsidR="00C81BC3" w:rsidRDefault="00787000">
                          <w:pPr>
                            <w:pStyle w:val="Referentiegegevens"/>
                          </w:pPr>
                          <w:r>
                            <w:t xml:space="preserve">Pagina </w:t>
                          </w:r>
                          <w:r>
                            <w:fldChar w:fldCharType="begin"/>
                          </w:r>
                          <w:r>
                            <w:instrText>PAGE</w:instrText>
                          </w:r>
                          <w:r>
                            <w:fldChar w:fldCharType="separate"/>
                          </w:r>
                          <w:r w:rsidR="00703413">
                            <w:rPr>
                              <w:noProof/>
                            </w:rPr>
                            <w:t>1</w:t>
                          </w:r>
                          <w:r>
                            <w:fldChar w:fldCharType="end"/>
                          </w:r>
                          <w:r>
                            <w:t xml:space="preserve"> van </w:t>
                          </w:r>
                          <w:r>
                            <w:fldChar w:fldCharType="begin"/>
                          </w:r>
                          <w:r>
                            <w:instrText>NUMPAGES</w:instrText>
                          </w:r>
                          <w:r>
                            <w:fldChar w:fldCharType="separate"/>
                          </w:r>
                          <w:r w:rsidR="00703413">
                            <w:rPr>
                              <w:noProof/>
                            </w:rPr>
                            <w:t>1</w:t>
                          </w:r>
                          <w:r>
                            <w:fldChar w:fldCharType="end"/>
                          </w:r>
                        </w:p>
                      </w:txbxContent>
                    </wps:txbx>
                    <wps:bodyPr vert="horz" wrap="square" lIns="0" tIns="0" rIns="0" bIns="0" anchor="t" anchorCtr="0"/>
                  </wps:wsp>
                </a:graphicData>
              </a:graphic>
            </wp:anchor>
          </w:drawing>
        </mc:Choice>
        <mc:Fallback>
          <w:pict>
            <v:shape w14:anchorId="7E99CB58"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6031BC5E" w14:textId="35AAEA71" w:rsidR="00C81BC3" w:rsidRDefault="00787000">
                    <w:pPr>
                      <w:pStyle w:val="Referentiegegevens"/>
                    </w:pPr>
                    <w:r>
                      <w:t xml:space="preserve">Pagina </w:t>
                    </w:r>
                    <w:r>
                      <w:fldChar w:fldCharType="begin"/>
                    </w:r>
                    <w:r>
                      <w:instrText>PAGE</w:instrText>
                    </w:r>
                    <w:r>
                      <w:fldChar w:fldCharType="separate"/>
                    </w:r>
                    <w:r w:rsidR="00703413">
                      <w:rPr>
                        <w:noProof/>
                      </w:rPr>
                      <w:t>1</w:t>
                    </w:r>
                    <w:r>
                      <w:fldChar w:fldCharType="end"/>
                    </w:r>
                    <w:r>
                      <w:t xml:space="preserve"> van </w:t>
                    </w:r>
                    <w:r>
                      <w:fldChar w:fldCharType="begin"/>
                    </w:r>
                    <w:r>
                      <w:instrText>NUMPAGES</w:instrText>
                    </w:r>
                    <w:r>
                      <w:fldChar w:fldCharType="separate"/>
                    </w:r>
                    <w:r w:rsidR="0070341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DA998E8" wp14:editId="2E5BD15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EBC0F0" w14:textId="77777777" w:rsidR="00C81BC3" w:rsidRDefault="00787000">
                          <w:pPr>
                            <w:pStyle w:val="AfzendgegevensKop0"/>
                          </w:pPr>
                          <w:r>
                            <w:t>Ministerie van Infrastructuur en Waterstaat</w:t>
                          </w:r>
                        </w:p>
                        <w:p w14:paraId="6455A04F" w14:textId="77777777" w:rsidR="00C81BC3" w:rsidRDefault="00C81BC3">
                          <w:pPr>
                            <w:pStyle w:val="WitregelW1"/>
                          </w:pPr>
                        </w:p>
                        <w:p w14:paraId="43F3F0E8" w14:textId="77777777" w:rsidR="00C81BC3" w:rsidRDefault="00787000">
                          <w:pPr>
                            <w:pStyle w:val="Afzendgegevens"/>
                          </w:pPr>
                          <w:r>
                            <w:t>Rijnstraat 8</w:t>
                          </w:r>
                        </w:p>
                        <w:p w14:paraId="006DD7F1" w14:textId="21970104" w:rsidR="00C81BC3" w:rsidRPr="004568CF" w:rsidRDefault="00787000">
                          <w:pPr>
                            <w:pStyle w:val="Afzendgegevens"/>
                            <w:rPr>
                              <w:lang w:val="de-DE"/>
                            </w:rPr>
                          </w:pPr>
                          <w:r w:rsidRPr="004568CF">
                            <w:rPr>
                              <w:lang w:val="de-DE"/>
                            </w:rPr>
                            <w:t xml:space="preserve">2515 </w:t>
                          </w:r>
                          <w:r w:rsidR="00693623" w:rsidRPr="004568CF">
                            <w:rPr>
                              <w:lang w:val="de-DE"/>
                            </w:rPr>
                            <w:t>XP Den</w:t>
                          </w:r>
                          <w:r w:rsidRPr="004568CF">
                            <w:rPr>
                              <w:lang w:val="de-DE"/>
                            </w:rPr>
                            <w:t xml:space="preserve"> Haag</w:t>
                          </w:r>
                        </w:p>
                        <w:p w14:paraId="1101DBFF" w14:textId="77777777" w:rsidR="00C81BC3" w:rsidRPr="004568CF" w:rsidRDefault="00787000">
                          <w:pPr>
                            <w:pStyle w:val="Afzendgegevens"/>
                            <w:rPr>
                              <w:lang w:val="de-DE"/>
                            </w:rPr>
                          </w:pPr>
                          <w:r w:rsidRPr="004568CF">
                            <w:rPr>
                              <w:lang w:val="de-DE"/>
                            </w:rPr>
                            <w:t>Postbus 20901</w:t>
                          </w:r>
                        </w:p>
                        <w:p w14:paraId="0F6175E5" w14:textId="77777777" w:rsidR="00C81BC3" w:rsidRPr="004568CF" w:rsidRDefault="00787000">
                          <w:pPr>
                            <w:pStyle w:val="Afzendgegevens"/>
                            <w:rPr>
                              <w:lang w:val="de-DE"/>
                            </w:rPr>
                          </w:pPr>
                          <w:r w:rsidRPr="004568CF">
                            <w:rPr>
                              <w:lang w:val="de-DE"/>
                            </w:rPr>
                            <w:t>2500 EX Den Haag</w:t>
                          </w:r>
                        </w:p>
                        <w:p w14:paraId="28F49045" w14:textId="77777777" w:rsidR="00C81BC3" w:rsidRPr="004568CF" w:rsidRDefault="00C81BC3">
                          <w:pPr>
                            <w:pStyle w:val="WitregelW1"/>
                            <w:rPr>
                              <w:lang w:val="de-DE"/>
                            </w:rPr>
                          </w:pPr>
                        </w:p>
                        <w:p w14:paraId="494F807E" w14:textId="77777777" w:rsidR="00C81BC3" w:rsidRPr="004568CF" w:rsidRDefault="00787000">
                          <w:pPr>
                            <w:pStyle w:val="Afzendgegevens"/>
                            <w:rPr>
                              <w:lang w:val="de-DE"/>
                            </w:rPr>
                          </w:pPr>
                          <w:r w:rsidRPr="004568CF">
                            <w:rPr>
                              <w:lang w:val="de-DE"/>
                            </w:rPr>
                            <w:t>T   070-456 0000</w:t>
                          </w:r>
                        </w:p>
                        <w:p w14:paraId="0A0146AB" w14:textId="77777777" w:rsidR="00C81BC3" w:rsidRDefault="00787000">
                          <w:pPr>
                            <w:pStyle w:val="Afzendgegevens"/>
                          </w:pPr>
                          <w:r>
                            <w:t>F   070-456 1111</w:t>
                          </w:r>
                        </w:p>
                        <w:p w14:paraId="4319F007" w14:textId="77777777" w:rsidR="00693623" w:rsidRDefault="00693623" w:rsidP="00693623"/>
                        <w:p w14:paraId="62E555C6" w14:textId="0D43573D" w:rsidR="00693623" w:rsidRPr="00693623" w:rsidRDefault="00693623" w:rsidP="00693623">
                          <w:pPr>
                            <w:spacing w:line="276" w:lineRule="auto"/>
                            <w:rPr>
                              <w:b/>
                              <w:bCs/>
                              <w:sz w:val="13"/>
                              <w:szCs w:val="13"/>
                            </w:rPr>
                          </w:pPr>
                          <w:r w:rsidRPr="00693623">
                            <w:rPr>
                              <w:b/>
                              <w:bCs/>
                              <w:sz w:val="13"/>
                              <w:szCs w:val="13"/>
                            </w:rPr>
                            <w:t>Kenmerk</w:t>
                          </w:r>
                        </w:p>
                        <w:p w14:paraId="3ADEFFF7" w14:textId="00A62919" w:rsidR="00693623" w:rsidRPr="00693623" w:rsidRDefault="00693623" w:rsidP="00693623">
                          <w:pPr>
                            <w:spacing w:line="276" w:lineRule="auto"/>
                            <w:rPr>
                              <w:sz w:val="13"/>
                              <w:szCs w:val="13"/>
                            </w:rPr>
                          </w:pPr>
                          <w:r w:rsidRPr="00693623">
                            <w:rPr>
                              <w:sz w:val="13"/>
                              <w:szCs w:val="13"/>
                            </w:rPr>
                            <w:t>IENW/BSK-2025/238780</w:t>
                          </w:r>
                        </w:p>
                        <w:p w14:paraId="7CFA4EA4" w14:textId="77777777" w:rsidR="00693623" w:rsidRPr="00693623" w:rsidRDefault="00693623" w:rsidP="00693623">
                          <w:pPr>
                            <w:spacing w:line="276" w:lineRule="auto"/>
                            <w:rPr>
                              <w:sz w:val="13"/>
                              <w:szCs w:val="13"/>
                            </w:rPr>
                          </w:pPr>
                        </w:p>
                        <w:p w14:paraId="2ADA22BB" w14:textId="6D94CF4C" w:rsidR="00693623" w:rsidRPr="00693623" w:rsidRDefault="00693623" w:rsidP="00693623">
                          <w:pPr>
                            <w:spacing w:line="276" w:lineRule="auto"/>
                            <w:rPr>
                              <w:b/>
                              <w:bCs/>
                              <w:sz w:val="13"/>
                              <w:szCs w:val="13"/>
                            </w:rPr>
                          </w:pPr>
                          <w:r w:rsidRPr="00693623">
                            <w:rPr>
                              <w:b/>
                              <w:bCs/>
                              <w:sz w:val="13"/>
                              <w:szCs w:val="13"/>
                            </w:rPr>
                            <w:t>Bijlage(n)</w:t>
                          </w:r>
                        </w:p>
                        <w:p w14:paraId="69AB5800" w14:textId="715E5431" w:rsidR="00693623" w:rsidRPr="00693623" w:rsidRDefault="00A675EB" w:rsidP="00693623">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3DA998E8"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79EBC0F0" w14:textId="77777777" w:rsidR="00C81BC3" w:rsidRDefault="00787000">
                    <w:pPr>
                      <w:pStyle w:val="AfzendgegevensKop0"/>
                    </w:pPr>
                    <w:r>
                      <w:t>Ministerie van Infrastructuur en Waterstaat</w:t>
                    </w:r>
                  </w:p>
                  <w:p w14:paraId="6455A04F" w14:textId="77777777" w:rsidR="00C81BC3" w:rsidRDefault="00C81BC3">
                    <w:pPr>
                      <w:pStyle w:val="WitregelW1"/>
                    </w:pPr>
                  </w:p>
                  <w:p w14:paraId="43F3F0E8" w14:textId="77777777" w:rsidR="00C81BC3" w:rsidRDefault="00787000">
                    <w:pPr>
                      <w:pStyle w:val="Afzendgegevens"/>
                    </w:pPr>
                    <w:r>
                      <w:t>Rijnstraat 8</w:t>
                    </w:r>
                  </w:p>
                  <w:p w14:paraId="006DD7F1" w14:textId="21970104" w:rsidR="00C81BC3" w:rsidRPr="004568CF" w:rsidRDefault="00787000">
                    <w:pPr>
                      <w:pStyle w:val="Afzendgegevens"/>
                      <w:rPr>
                        <w:lang w:val="de-DE"/>
                      </w:rPr>
                    </w:pPr>
                    <w:r w:rsidRPr="004568CF">
                      <w:rPr>
                        <w:lang w:val="de-DE"/>
                      </w:rPr>
                      <w:t xml:space="preserve">2515 </w:t>
                    </w:r>
                    <w:r w:rsidR="00693623" w:rsidRPr="004568CF">
                      <w:rPr>
                        <w:lang w:val="de-DE"/>
                      </w:rPr>
                      <w:t>XP Den</w:t>
                    </w:r>
                    <w:r w:rsidRPr="004568CF">
                      <w:rPr>
                        <w:lang w:val="de-DE"/>
                      </w:rPr>
                      <w:t xml:space="preserve"> Haag</w:t>
                    </w:r>
                  </w:p>
                  <w:p w14:paraId="1101DBFF" w14:textId="77777777" w:rsidR="00C81BC3" w:rsidRPr="004568CF" w:rsidRDefault="00787000">
                    <w:pPr>
                      <w:pStyle w:val="Afzendgegevens"/>
                      <w:rPr>
                        <w:lang w:val="de-DE"/>
                      </w:rPr>
                    </w:pPr>
                    <w:r w:rsidRPr="004568CF">
                      <w:rPr>
                        <w:lang w:val="de-DE"/>
                      </w:rPr>
                      <w:t>Postbus 20901</w:t>
                    </w:r>
                  </w:p>
                  <w:p w14:paraId="0F6175E5" w14:textId="77777777" w:rsidR="00C81BC3" w:rsidRPr="004568CF" w:rsidRDefault="00787000">
                    <w:pPr>
                      <w:pStyle w:val="Afzendgegevens"/>
                      <w:rPr>
                        <w:lang w:val="de-DE"/>
                      </w:rPr>
                    </w:pPr>
                    <w:r w:rsidRPr="004568CF">
                      <w:rPr>
                        <w:lang w:val="de-DE"/>
                      </w:rPr>
                      <w:t>2500 EX Den Haag</w:t>
                    </w:r>
                  </w:p>
                  <w:p w14:paraId="28F49045" w14:textId="77777777" w:rsidR="00C81BC3" w:rsidRPr="004568CF" w:rsidRDefault="00C81BC3">
                    <w:pPr>
                      <w:pStyle w:val="WitregelW1"/>
                      <w:rPr>
                        <w:lang w:val="de-DE"/>
                      </w:rPr>
                    </w:pPr>
                  </w:p>
                  <w:p w14:paraId="494F807E" w14:textId="77777777" w:rsidR="00C81BC3" w:rsidRPr="004568CF" w:rsidRDefault="00787000">
                    <w:pPr>
                      <w:pStyle w:val="Afzendgegevens"/>
                      <w:rPr>
                        <w:lang w:val="de-DE"/>
                      </w:rPr>
                    </w:pPr>
                    <w:r w:rsidRPr="004568CF">
                      <w:rPr>
                        <w:lang w:val="de-DE"/>
                      </w:rPr>
                      <w:t>T   070-456 0000</w:t>
                    </w:r>
                  </w:p>
                  <w:p w14:paraId="0A0146AB" w14:textId="77777777" w:rsidR="00C81BC3" w:rsidRDefault="00787000">
                    <w:pPr>
                      <w:pStyle w:val="Afzendgegevens"/>
                    </w:pPr>
                    <w:r>
                      <w:t>F   070-456 1111</w:t>
                    </w:r>
                  </w:p>
                  <w:p w14:paraId="4319F007" w14:textId="77777777" w:rsidR="00693623" w:rsidRDefault="00693623" w:rsidP="00693623"/>
                  <w:p w14:paraId="62E555C6" w14:textId="0D43573D" w:rsidR="00693623" w:rsidRPr="00693623" w:rsidRDefault="00693623" w:rsidP="00693623">
                    <w:pPr>
                      <w:spacing w:line="276" w:lineRule="auto"/>
                      <w:rPr>
                        <w:b/>
                        <w:bCs/>
                        <w:sz w:val="13"/>
                        <w:szCs w:val="13"/>
                      </w:rPr>
                    </w:pPr>
                    <w:r w:rsidRPr="00693623">
                      <w:rPr>
                        <w:b/>
                        <w:bCs/>
                        <w:sz w:val="13"/>
                        <w:szCs w:val="13"/>
                      </w:rPr>
                      <w:t>Kenmerk</w:t>
                    </w:r>
                  </w:p>
                  <w:p w14:paraId="3ADEFFF7" w14:textId="00A62919" w:rsidR="00693623" w:rsidRPr="00693623" w:rsidRDefault="00693623" w:rsidP="00693623">
                    <w:pPr>
                      <w:spacing w:line="276" w:lineRule="auto"/>
                      <w:rPr>
                        <w:sz w:val="13"/>
                        <w:szCs w:val="13"/>
                      </w:rPr>
                    </w:pPr>
                    <w:r w:rsidRPr="00693623">
                      <w:rPr>
                        <w:sz w:val="13"/>
                        <w:szCs w:val="13"/>
                      </w:rPr>
                      <w:t>IENW/BSK-2025/238780</w:t>
                    </w:r>
                  </w:p>
                  <w:p w14:paraId="7CFA4EA4" w14:textId="77777777" w:rsidR="00693623" w:rsidRPr="00693623" w:rsidRDefault="00693623" w:rsidP="00693623">
                    <w:pPr>
                      <w:spacing w:line="276" w:lineRule="auto"/>
                      <w:rPr>
                        <w:sz w:val="13"/>
                        <w:szCs w:val="13"/>
                      </w:rPr>
                    </w:pPr>
                  </w:p>
                  <w:p w14:paraId="2ADA22BB" w14:textId="6D94CF4C" w:rsidR="00693623" w:rsidRPr="00693623" w:rsidRDefault="00693623" w:rsidP="00693623">
                    <w:pPr>
                      <w:spacing w:line="276" w:lineRule="auto"/>
                      <w:rPr>
                        <w:b/>
                        <w:bCs/>
                        <w:sz w:val="13"/>
                        <w:szCs w:val="13"/>
                      </w:rPr>
                    </w:pPr>
                    <w:r w:rsidRPr="00693623">
                      <w:rPr>
                        <w:b/>
                        <w:bCs/>
                        <w:sz w:val="13"/>
                        <w:szCs w:val="13"/>
                      </w:rPr>
                      <w:t>Bijlage(n)</w:t>
                    </w:r>
                  </w:p>
                  <w:p w14:paraId="69AB5800" w14:textId="715E5431" w:rsidR="00693623" w:rsidRPr="00693623" w:rsidRDefault="00A675EB" w:rsidP="00693623">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37A3D37" wp14:editId="538B153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85B6F4" w14:textId="77777777" w:rsidR="00C81BC3" w:rsidRDefault="00787000">
                          <w:pPr>
                            <w:spacing w:line="240" w:lineRule="auto"/>
                          </w:pPr>
                          <w:r>
                            <w:rPr>
                              <w:noProof/>
                              <w:lang w:val="en-GB" w:eastAsia="en-GB"/>
                            </w:rPr>
                            <w:drawing>
                              <wp:inline distT="0" distB="0" distL="0" distR="0" wp14:anchorId="73277F71" wp14:editId="4D50FE9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7A3D37"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2E85B6F4" w14:textId="77777777" w:rsidR="00C81BC3" w:rsidRDefault="00787000">
                    <w:pPr>
                      <w:spacing w:line="240" w:lineRule="auto"/>
                    </w:pPr>
                    <w:r>
                      <w:rPr>
                        <w:noProof/>
                        <w:lang w:val="en-GB" w:eastAsia="en-GB"/>
                      </w:rPr>
                      <w:drawing>
                        <wp:inline distT="0" distB="0" distL="0" distR="0" wp14:anchorId="73277F71" wp14:editId="4D50FE9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9B9953B" wp14:editId="7F9EBF6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C743C5" w14:textId="77777777" w:rsidR="00C81BC3" w:rsidRDefault="00787000">
                          <w:pPr>
                            <w:spacing w:line="240" w:lineRule="auto"/>
                          </w:pPr>
                          <w:r>
                            <w:rPr>
                              <w:noProof/>
                              <w:lang w:val="en-GB" w:eastAsia="en-GB"/>
                            </w:rPr>
                            <w:drawing>
                              <wp:inline distT="0" distB="0" distL="0" distR="0" wp14:anchorId="3744FB3F" wp14:editId="6C675F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B9953B"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57C743C5" w14:textId="77777777" w:rsidR="00C81BC3" w:rsidRDefault="00787000">
                    <w:pPr>
                      <w:spacing w:line="240" w:lineRule="auto"/>
                    </w:pPr>
                    <w:r>
                      <w:rPr>
                        <w:noProof/>
                        <w:lang w:val="en-GB" w:eastAsia="en-GB"/>
                      </w:rPr>
                      <w:drawing>
                        <wp:inline distT="0" distB="0" distL="0" distR="0" wp14:anchorId="3744FB3F" wp14:editId="6C675F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82139B2" wp14:editId="7DAF178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CE69304" w14:textId="77777777" w:rsidR="00C81BC3" w:rsidRDefault="0078700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82139B2"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4CE69304" w14:textId="77777777" w:rsidR="00C81BC3" w:rsidRDefault="0078700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126D39D" wp14:editId="0990F6C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7273AB6" w14:textId="77777777" w:rsidR="00C81BC3" w:rsidRDefault="0078700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126D39D"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37273AB6" w14:textId="77777777" w:rsidR="00C81BC3" w:rsidRDefault="0078700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9588B89" wp14:editId="74EDCCA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81BC3" w14:paraId="7D95AC05" w14:textId="77777777">
                            <w:trPr>
                              <w:trHeight w:val="200"/>
                            </w:trPr>
                            <w:tc>
                              <w:tcPr>
                                <w:tcW w:w="1140" w:type="dxa"/>
                              </w:tcPr>
                              <w:p w14:paraId="760620CB" w14:textId="77777777" w:rsidR="00C81BC3" w:rsidRDefault="00C81BC3"/>
                            </w:tc>
                            <w:tc>
                              <w:tcPr>
                                <w:tcW w:w="5400" w:type="dxa"/>
                              </w:tcPr>
                              <w:p w14:paraId="642514A3" w14:textId="77777777" w:rsidR="00C81BC3" w:rsidRDefault="00C81BC3"/>
                            </w:tc>
                          </w:tr>
                          <w:tr w:rsidR="00C81BC3" w14:paraId="0E757BE9" w14:textId="77777777">
                            <w:trPr>
                              <w:trHeight w:val="240"/>
                            </w:trPr>
                            <w:tc>
                              <w:tcPr>
                                <w:tcW w:w="1140" w:type="dxa"/>
                              </w:tcPr>
                              <w:p w14:paraId="71F530DA" w14:textId="77777777" w:rsidR="00C81BC3" w:rsidRDefault="00787000">
                                <w:r>
                                  <w:t>Datum</w:t>
                                </w:r>
                              </w:p>
                            </w:tc>
                            <w:tc>
                              <w:tcPr>
                                <w:tcW w:w="5400" w:type="dxa"/>
                              </w:tcPr>
                              <w:p w14:paraId="666010E8" w14:textId="57657308" w:rsidR="00C81BC3" w:rsidRDefault="003A6F5D">
                                <w:r>
                                  <w:t>25 september 2025</w:t>
                                </w:r>
                              </w:p>
                            </w:tc>
                          </w:tr>
                          <w:tr w:rsidR="00C81BC3" w14:paraId="72E73F83" w14:textId="77777777">
                            <w:trPr>
                              <w:trHeight w:val="240"/>
                            </w:trPr>
                            <w:tc>
                              <w:tcPr>
                                <w:tcW w:w="1140" w:type="dxa"/>
                              </w:tcPr>
                              <w:p w14:paraId="4C1F5523" w14:textId="77777777" w:rsidR="00C81BC3" w:rsidRDefault="00787000">
                                <w:r>
                                  <w:t>Betreft</w:t>
                                </w:r>
                              </w:p>
                            </w:tc>
                            <w:tc>
                              <w:tcPr>
                                <w:tcW w:w="5400" w:type="dxa"/>
                              </w:tcPr>
                              <w:p w14:paraId="69120218" w14:textId="7414FE84" w:rsidR="00C81BC3" w:rsidRDefault="00161ECF">
                                <w:r>
                                  <w:t>Tussenverslag rapporteurs REACH</w:t>
                                </w:r>
                                <w:r w:rsidR="00E650A7">
                                  <w:t xml:space="preserve"> herziening</w:t>
                                </w:r>
                                <w:r>
                                  <w:t xml:space="preserve"> en </w:t>
                                </w:r>
                                <w:r w:rsidR="00787000">
                                  <w:t xml:space="preserve">brief commissie IenW aan Europese Commissie </w:t>
                                </w:r>
                              </w:p>
                            </w:tc>
                          </w:tr>
                          <w:tr w:rsidR="00C81BC3" w14:paraId="5FCBF590" w14:textId="77777777">
                            <w:trPr>
                              <w:trHeight w:val="200"/>
                            </w:trPr>
                            <w:tc>
                              <w:tcPr>
                                <w:tcW w:w="1140" w:type="dxa"/>
                              </w:tcPr>
                              <w:p w14:paraId="2C7C7AE7" w14:textId="77777777" w:rsidR="00C81BC3" w:rsidRDefault="00C81BC3"/>
                            </w:tc>
                            <w:tc>
                              <w:tcPr>
                                <w:tcW w:w="5400" w:type="dxa"/>
                              </w:tcPr>
                              <w:p w14:paraId="3E83C290" w14:textId="77777777" w:rsidR="00C81BC3" w:rsidRDefault="00C81BC3"/>
                            </w:tc>
                          </w:tr>
                        </w:tbl>
                        <w:p w14:paraId="2E987AB1" w14:textId="77777777" w:rsidR="00787000" w:rsidRDefault="00787000"/>
                      </w:txbxContent>
                    </wps:txbx>
                    <wps:bodyPr vert="horz" wrap="square" lIns="0" tIns="0" rIns="0" bIns="0" anchor="t" anchorCtr="0"/>
                  </wps:wsp>
                </a:graphicData>
              </a:graphic>
            </wp:anchor>
          </w:drawing>
        </mc:Choice>
        <mc:Fallback>
          <w:pict>
            <v:shape w14:anchorId="19588B89"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81BC3" w14:paraId="7D95AC05" w14:textId="77777777">
                      <w:trPr>
                        <w:trHeight w:val="200"/>
                      </w:trPr>
                      <w:tc>
                        <w:tcPr>
                          <w:tcW w:w="1140" w:type="dxa"/>
                        </w:tcPr>
                        <w:p w14:paraId="760620CB" w14:textId="77777777" w:rsidR="00C81BC3" w:rsidRDefault="00C81BC3"/>
                      </w:tc>
                      <w:tc>
                        <w:tcPr>
                          <w:tcW w:w="5400" w:type="dxa"/>
                        </w:tcPr>
                        <w:p w14:paraId="642514A3" w14:textId="77777777" w:rsidR="00C81BC3" w:rsidRDefault="00C81BC3"/>
                      </w:tc>
                    </w:tr>
                    <w:tr w:rsidR="00C81BC3" w14:paraId="0E757BE9" w14:textId="77777777">
                      <w:trPr>
                        <w:trHeight w:val="240"/>
                      </w:trPr>
                      <w:tc>
                        <w:tcPr>
                          <w:tcW w:w="1140" w:type="dxa"/>
                        </w:tcPr>
                        <w:p w14:paraId="71F530DA" w14:textId="77777777" w:rsidR="00C81BC3" w:rsidRDefault="00787000">
                          <w:r>
                            <w:t>Datum</w:t>
                          </w:r>
                        </w:p>
                      </w:tc>
                      <w:tc>
                        <w:tcPr>
                          <w:tcW w:w="5400" w:type="dxa"/>
                        </w:tcPr>
                        <w:p w14:paraId="666010E8" w14:textId="57657308" w:rsidR="00C81BC3" w:rsidRDefault="003A6F5D">
                          <w:r>
                            <w:t>25 september 2025</w:t>
                          </w:r>
                        </w:p>
                      </w:tc>
                    </w:tr>
                    <w:tr w:rsidR="00C81BC3" w14:paraId="72E73F83" w14:textId="77777777">
                      <w:trPr>
                        <w:trHeight w:val="240"/>
                      </w:trPr>
                      <w:tc>
                        <w:tcPr>
                          <w:tcW w:w="1140" w:type="dxa"/>
                        </w:tcPr>
                        <w:p w14:paraId="4C1F5523" w14:textId="77777777" w:rsidR="00C81BC3" w:rsidRDefault="00787000">
                          <w:r>
                            <w:t>Betreft</w:t>
                          </w:r>
                        </w:p>
                      </w:tc>
                      <w:tc>
                        <w:tcPr>
                          <w:tcW w:w="5400" w:type="dxa"/>
                        </w:tcPr>
                        <w:p w14:paraId="69120218" w14:textId="7414FE84" w:rsidR="00C81BC3" w:rsidRDefault="00161ECF">
                          <w:r>
                            <w:t>Tussenverslag rapporteurs REACH</w:t>
                          </w:r>
                          <w:r w:rsidR="00E650A7">
                            <w:t xml:space="preserve"> herziening</w:t>
                          </w:r>
                          <w:r>
                            <w:t xml:space="preserve"> en </w:t>
                          </w:r>
                          <w:r w:rsidR="00787000">
                            <w:t xml:space="preserve">brief commissie IenW aan Europese Commissie </w:t>
                          </w:r>
                        </w:p>
                      </w:tc>
                    </w:tr>
                    <w:tr w:rsidR="00C81BC3" w14:paraId="5FCBF590" w14:textId="77777777">
                      <w:trPr>
                        <w:trHeight w:val="200"/>
                      </w:trPr>
                      <w:tc>
                        <w:tcPr>
                          <w:tcW w:w="1140" w:type="dxa"/>
                        </w:tcPr>
                        <w:p w14:paraId="2C7C7AE7" w14:textId="77777777" w:rsidR="00C81BC3" w:rsidRDefault="00C81BC3"/>
                      </w:tc>
                      <w:tc>
                        <w:tcPr>
                          <w:tcW w:w="5400" w:type="dxa"/>
                        </w:tcPr>
                        <w:p w14:paraId="3E83C290" w14:textId="77777777" w:rsidR="00C81BC3" w:rsidRDefault="00C81BC3"/>
                      </w:tc>
                    </w:tr>
                  </w:tbl>
                  <w:p w14:paraId="2E987AB1" w14:textId="77777777" w:rsidR="00787000" w:rsidRDefault="007870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1D1F4BE" wp14:editId="4EA70C7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0850A7" w14:textId="77777777" w:rsidR="00787000" w:rsidRDefault="00787000"/>
                      </w:txbxContent>
                    </wps:txbx>
                    <wps:bodyPr vert="horz" wrap="square" lIns="0" tIns="0" rIns="0" bIns="0" anchor="t" anchorCtr="0"/>
                  </wps:wsp>
                </a:graphicData>
              </a:graphic>
            </wp:anchor>
          </w:drawing>
        </mc:Choice>
        <mc:Fallback>
          <w:pict>
            <v:shape w14:anchorId="61D1F4BE"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7D0850A7" w14:textId="77777777" w:rsidR="00787000" w:rsidRDefault="0078700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C8C1B6"/>
    <w:multiLevelType w:val="multilevel"/>
    <w:tmpl w:val="35F1211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F12E56"/>
    <w:multiLevelType w:val="multilevel"/>
    <w:tmpl w:val="AA0B0F3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8EA87F"/>
    <w:multiLevelType w:val="multilevel"/>
    <w:tmpl w:val="AC06149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37CDF0"/>
    <w:multiLevelType w:val="multilevel"/>
    <w:tmpl w:val="C80BCAA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68852C"/>
    <w:multiLevelType w:val="multilevel"/>
    <w:tmpl w:val="0A4B86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ADCF6AF5"/>
    <w:multiLevelType w:val="multilevel"/>
    <w:tmpl w:val="729ADE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CC7ABF"/>
    <w:multiLevelType w:val="multilevel"/>
    <w:tmpl w:val="A5600D4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E4286B"/>
    <w:multiLevelType w:val="multilevel"/>
    <w:tmpl w:val="415258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09396C"/>
    <w:multiLevelType w:val="multilevel"/>
    <w:tmpl w:val="B33BB95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1862718"/>
    <w:multiLevelType w:val="multilevel"/>
    <w:tmpl w:val="6032E19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32B8BD0"/>
    <w:multiLevelType w:val="multilevel"/>
    <w:tmpl w:val="2C114D0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673427"/>
    <w:multiLevelType w:val="multilevel"/>
    <w:tmpl w:val="73F3B15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24FFE3"/>
    <w:multiLevelType w:val="multilevel"/>
    <w:tmpl w:val="A6BB1CF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5877D0D"/>
    <w:multiLevelType w:val="multilevel"/>
    <w:tmpl w:val="8C8C35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E6FC78B4"/>
    <w:multiLevelType w:val="multilevel"/>
    <w:tmpl w:val="B2C0CBB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A36CD81"/>
    <w:multiLevelType w:val="multilevel"/>
    <w:tmpl w:val="FBC1090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CD46901"/>
    <w:multiLevelType w:val="multilevel"/>
    <w:tmpl w:val="8B87E7A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9167A2"/>
    <w:multiLevelType w:val="multilevel"/>
    <w:tmpl w:val="EE75F08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1740AE"/>
    <w:multiLevelType w:val="multilevel"/>
    <w:tmpl w:val="FF8A96C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F6E860"/>
    <w:multiLevelType w:val="multilevel"/>
    <w:tmpl w:val="426B8E1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A40CAE"/>
    <w:multiLevelType w:val="multilevel"/>
    <w:tmpl w:val="DBD1647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49456D"/>
    <w:multiLevelType w:val="multilevel"/>
    <w:tmpl w:val="576D9F5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90DA98"/>
    <w:multiLevelType w:val="multilevel"/>
    <w:tmpl w:val="9532C09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7"/>
  </w:num>
  <w:num w:numId="4">
    <w:abstractNumId w:val="19"/>
  </w:num>
  <w:num w:numId="5">
    <w:abstractNumId w:val="4"/>
  </w:num>
  <w:num w:numId="6">
    <w:abstractNumId w:val="5"/>
  </w:num>
  <w:num w:numId="7">
    <w:abstractNumId w:val="0"/>
  </w:num>
  <w:num w:numId="8">
    <w:abstractNumId w:val="14"/>
  </w:num>
  <w:num w:numId="9">
    <w:abstractNumId w:val="16"/>
  </w:num>
  <w:num w:numId="10">
    <w:abstractNumId w:val="10"/>
  </w:num>
  <w:num w:numId="11">
    <w:abstractNumId w:val="1"/>
  </w:num>
  <w:num w:numId="12">
    <w:abstractNumId w:val="13"/>
  </w:num>
  <w:num w:numId="13">
    <w:abstractNumId w:val="8"/>
  </w:num>
  <w:num w:numId="14">
    <w:abstractNumId w:val="6"/>
  </w:num>
  <w:num w:numId="15">
    <w:abstractNumId w:val="21"/>
  </w:num>
  <w:num w:numId="16">
    <w:abstractNumId w:val="11"/>
  </w:num>
  <w:num w:numId="17">
    <w:abstractNumId w:val="15"/>
  </w:num>
  <w:num w:numId="18">
    <w:abstractNumId w:val="2"/>
  </w:num>
  <w:num w:numId="19">
    <w:abstractNumId w:val="9"/>
  </w:num>
  <w:num w:numId="20">
    <w:abstractNumId w:val="22"/>
  </w:num>
  <w:num w:numId="21">
    <w:abstractNumId w:val="20"/>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CF"/>
    <w:rsid w:val="00011264"/>
    <w:rsid w:val="00014EC7"/>
    <w:rsid w:val="00021136"/>
    <w:rsid w:val="000315F0"/>
    <w:rsid w:val="00031800"/>
    <w:rsid w:val="0003642F"/>
    <w:rsid w:val="00041DAA"/>
    <w:rsid w:val="00051A87"/>
    <w:rsid w:val="00051D74"/>
    <w:rsid w:val="00052C84"/>
    <w:rsid w:val="00056688"/>
    <w:rsid w:val="00065F2C"/>
    <w:rsid w:val="00077227"/>
    <w:rsid w:val="0008357A"/>
    <w:rsid w:val="00085735"/>
    <w:rsid w:val="00096625"/>
    <w:rsid w:val="0009781B"/>
    <w:rsid w:val="000A0131"/>
    <w:rsid w:val="000A5343"/>
    <w:rsid w:val="000A7607"/>
    <w:rsid w:val="000C7FFB"/>
    <w:rsid w:val="000D6F76"/>
    <w:rsid w:val="000E6642"/>
    <w:rsid w:val="00100342"/>
    <w:rsid w:val="00104E49"/>
    <w:rsid w:val="00105E4A"/>
    <w:rsid w:val="00106E46"/>
    <w:rsid w:val="00146CCC"/>
    <w:rsid w:val="00150B9B"/>
    <w:rsid w:val="00160587"/>
    <w:rsid w:val="00161ECF"/>
    <w:rsid w:val="00167E07"/>
    <w:rsid w:val="00175FAC"/>
    <w:rsid w:val="0019033E"/>
    <w:rsid w:val="00191B66"/>
    <w:rsid w:val="001930C9"/>
    <w:rsid w:val="0019527E"/>
    <w:rsid w:val="001B2F33"/>
    <w:rsid w:val="001B332B"/>
    <w:rsid w:val="001C1D09"/>
    <w:rsid w:val="001C324A"/>
    <w:rsid w:val="001D2C20"/>
    <w:rsid w:val="001D6D81"/>
    <w:rsid w:val="001D76E5"/>
    <w:rsid w:val="001F1049"/>
    <w:rsid w:val="001F7776"/>
    <w:rsid w:val="0020351A"/>
    <w:rsid w:val="0021380A"/>
    <w:rsid w:val="00221FB1"/>
    <w:rsid w:val="00256967"/>
    <w:rsid w:val="00260232"/>
    <w:rsid w:val="00263871"/>
    <w:rsid w:val="00267DD9"/>
    <w:rsid w:val="0027311B"/>
    <w:rsid w:val="00294EE8"/>
    <w:rsid w:val="002B15E4"/>
    <w:rsid w:val="002B63E0"/>
    <w:rsid w:val="002C3757"/>
    <w:rsid w:val="002C4596"/>
    <w:rsid w:val="002D3B74"/>
    <w:rsid w:val="002D79A3"/>
    <w:rsid w:val="002E237F"/>
    <w:rsid w:val="002F5BED"/>
    <w:rsid w:val="0030318F"/>
    <w:rsid w:val="00305D24"/>
    <w:rsid w:val="00316DAC"/>
    <w:rsid w:val="00322190"/>
    <w:rsid w:val="0032289C"/>
    <w:rsid w:val="00324C4B"/>
    <w:rsid w:val="0032733E"/>
    <w:rsid w:val="0033033E"/>
    <w:rsid w:val="00340458"/>
    <w:rsid w:val="00346F67"/>
    <w:rsid w:val="00355034"/>
    <w:rsid w:val="00355C4A"/>
    <w:rsid w:val="003607CC"/>
    <w:rsid w:val="00362962"/>
    <w:rsid w:val="00377BDD"/>
    <w:rsid w:val="0038279B"/>
    <w:rsid w:val="00387DC6"/>
    <w:rsid w:val="00395E1A"/>
    <w:rsid w:val="003965C9"/>
    <w:rsid w:val="00396896"/>
    <w:rsid w:val="003A6F5D"/>
    <w:rsid w:val="003C2AF1"/>
    <w:rsid w:val="003C3088"/>
    <w:rsid w:val="003D3A2C"/>
    <w:rsid w:val="003D4D8D"/>
    <w:rsid w:val="003D6AAA"/>
    <w:rsid w:val="003D6B86"/>
    <w:rsid w:val="003E2A2D"/>
    <w:rsid w:val="003E54D4"/>
    <w:rsid w:val="003E5C37"/>
    <w:rsid w:val="003F0F27"/>
    <w:rsid w:val="003F4254"/>
    <w:rsid w:val="00400D90"/>
    <w:rsid w:val="00411161"/>
    <w:rsid w:val="00435C5A"/>
    <w:rsid w:val="00435EB6"/>
    <w:rsid w:val="00436077"/>
    <w:rsid w:val="004403F6"/>
    <w:rsid w:val="00442329"/>
    <w:rsid w:val="004453E5"/>
    <w:rsid w:val="00452C03"/>
    <w:rsid w:val="004568CF"/>
    <w:rsid w:val="00456DDE"/>
    <w:rsid w:val="00460A51"/>
    <w:rsid w:val="00462923"/>
    <w:rsid w:val="00467294"/>
    <w:rsid w:val="00492F5E"/>
    <w:rsid w:val="00493F17"/>
    <w:rsid w:val="00494F6C"/>
    <w:rsid w:val="004A5BFE"/>
    <w:rsid w:val="004A7FE9"/>
    <w:rsid w:val="004B00AD"/>
    <w:rsid w:val="004B14AA"/>
    <w:rsid w:val="004C1E19"/>
    <w:rsid w:val="004C2FCA"/>
    <w:rsid w:val="004D041A"/>
    <w:rsid w:val="004D5F0E"/>
    <w:rsid w:val="00500157"/>
    <w:rsid w:val="005272EE"/>
    <w:rsid w:val="00534CD6"/>
    <w:rsid w:val="00556FA0"/>
    <w:rsid w:val="005614BC"/>
    <w:rsid w:val="00561F1A"/>
    <w:rsid w:val="00563AF8"/>
    <w:rsid w:val="005656DF"/>
    <w:rsid w:val="00570A57"/>
    <w:rsid w:val="005721A9"/>
    <w:rsid w:val="00592248"/>
    <w:rsid w:val="005A0173"/>
    <w:rsid w:val="005B4BC8"/>
    <w:rsid w:val="005D3C65"/>
    <w:rsid w:val="005D533B"/>
    <w:rsid w:val="005E73A9"/>
    <w:rsid w:val="00603F38"/>
    <w:rsid w:val="00610663"/>
    <w:rsid w:val="006130C6"/>
    <w:rsid w:val="00622E81"/>
    <w:rsid w:val="006236CF"/>
    <w:rsid w:val="00632757"/>
    <w:rsid w:val="00661178"/>
    <w:rsid w:val="0066475D"/>
    <w:rsid w:val="006738FA"/>
    <w:rsid w:val="00680D9F"/>
    <w:rsid w:val="00681C64"/>
    <w:rsid w:val="00690A30"/>
    <w:rsid w:val="00693623"/>
    <w:rsid w:val="006943A6"/>
    <w:rsid w:val="006A2B50"/>
    <w:rsid w:val="006A7872"/>
    <w:rsid w:val="006B4B20"/>
    <w:rsid w:val="006B6BB7"/>
    <w:rsid w:val="006D1193"/>
    <w:rsid w:val="006D5F97"/>
    <w:rsid w:val="006E324A"/>
    <w:rsid w:val="006F678D"/>
    <w:rsid w:val="00703413"/>
    <w:rsid w:val="0071017B"/>
    <w:rsid w:val="00720265"/>
    <w:rsid w:val="0075309F"/>
    <w:rsid w:val="00767351"/>
    <w:rsid w:val="00775FDF"/>
    <w:rsid w:val="00782B7D"/>
    <w:rsid w:val="00787000"/>
    <w:rsid w:val="007A3587"/>
    <w:rsid w:val="007B0F50"/>
    <w:rsid w:val="007C6968"/>
    <w:rsid w:val="007D4A5E"/>
    <w:rsid w:val="007D4E81"/>
    <w:rsid w:val="007E79FA"/>
    <w:rsid w:val="007F53CC"/>
    <w:rsid w:val="00807657"/>
    <w:rsid w:val="00812708"/>
    <w:rsid w:val="008244DD"/>
    <w:rsid w:val="0082557F"/>
    <w:rsid w:val="00843DEA"/>
    <w:rsid w:val="00852BE3"/>
    <w:rsid w:val="008570EA"/>
    <w:rsid w:val="0085715F"/>
    <w:rsid w:val="00857AF7"/>
    <w:rsid w:val="0086172D"/>
    <w:rsid w:val="00863146"/>
    <w:rsid w:val="008672F3"/>
    <w:rsid w:val="00897F90"/>
    <w:rsid w:val="008A054A"/>
    <w:rsid w:val="008B553E"/>
    <w:rsid w:val="008B7111"/>
    <w:rsid w:val="008B74FA"/>
    <w:rsid w:val="008E14E5"/>
    <w:rsid w:val="008E6C7C"/>
    <w:rsid w:val="0090039C"/>
    <w:rsid w:val="00905612"/>
    <w:rsid w:val="00907E4F"/>
    <w:rsid w:val="00916CBC"/>
    <w:rsid w:val="00916E70"/>
    <w:rsid w:val="00926A66"/>
    <w:rsid w:val="00933BC3"/>
    <w:rsid w:val="009403CE"/>
    <w:rsid w:val="00944A25"/>
    <w:rsid w:val="00960726"/>
    <w:rsid w:val="00980960"/>
    <w:rsid w:val="00982C87"/>
    <w:rsid w:val="00987FD3"/>
    <w:rsid w:val="009A7949"/>
    <w:rsid w:val="009B4E3B"/>
    <w:rsid w:val="009C12E4"/>
    <w:rsid w:val="009E39DD"/>
    <w:rsid w:val="009E4D35"/>
    <w:rsid w:val="009F2DDF"/>
    <w:rsid w:val="00A15D5C"/>
    <w:rsid w:val="00A17B20"/>
    <w:rsid w:val="00A236E0"/>
    <w:rsid w:val="00A400BC"/>
    <w:rsid w:val="00A63F24"/>
    <w:rsid w:val="00A65A78"/>
    <w:rsid w:val="00A675EB"/>
    <w:rsid w:val="00A970DE"/>
    <w:rsid w:val="00AA3FB5"/>
    <w:rsid w:val="00AA691F"/>
    <w:rsid w:val="00AA7FA0"/>
    <w:rsid w:val="00AB7B7E"/>
    <w:rsid w:val="00AC05D2"/>
    <w:rsid w:val="00AC15B8"/>
    <w:rsid w:val="00AD606F"/>
    <w:rsid w:val="00AE2CFB"/>
    <w:rsid w:val="00AE2FDA"/>
    <w:rsid w:val="00AE3360"/>
    <w:rsid w:val="00AF0A01"/>
    <w:rsid w:val="00AF7336"/>
    <w:rsid w:val="00B01145"/>
    <w:rsid w:val="00B228A7"/>
    <w:rsid w:val="00B30554"/>
    <w:rsid w:val="00B35B79"/>
    <w:rsid w:val="00B542DE"/>
    <w:rsid w:val="00B71403"/>
    <w:rsid w:val="00B72686"/>
    <w:rsid w:val="00B86C1F"/>
    <w:rsid w:val="00BB58AB"/>
    <w:rsid w:val="00BC5164"/>
    <w:rsid w:val="00BC61DE"/>
    <w:rsid w:val="00BD2F66"/>
    <w:rsid w:val="00BE0A11"/>
    <w:rsid w:val="00C0165F"/>
    <w:rsid w:val="00C175BC"/>
    <w:rsid w:val="00C26C60"/>
    <w:rsid w:val="00C31ED0"/>
    <w:rsid w:val="00C7286A"/>
    <w:rsid w:val="00C81BC3"/>
    <w:rsid w:val="00C94C70"/>
    <w:rsid w:val="00C962E2"/>
    <w:rsid w:val="00CC0D14"/>
    <w:rsid w:val="00CC2869"/>
    <w:rsid w:val="00CD3B8F"/>
    <w:rsid w:val="00CD633B"/>
    <w:rsid w:val="00CF4BB8"/>
    <w:rsid w:val="00CF512F"/>
    <w:rsid w:val="00CF5D6D"/>
    <w:rsid w:val="00CF658C"/>
    <w:rsid w:val="00D01EC8"/>
    <w:rsid w:val="00D32A50"/>
    <w:rsid w:val="00D34D09"/>
    <w:rsid w:val="00D45534"/>
    <w:rsid w:val="00D66D23"/>
    <w:rsid w:val="00D73121"/>
    <w:rsid w:val="00D837A0"/>
    <w:rsid w:val="00D85BA7"/>
    <w:rsid w:val="00D866A4"/>
    <w:rsid w:val="00D86F35"/>
    <w:rsid w:val="00D937AC"/>
    <w:rsid w:val="00D942E5"/>
    <w:rsid w:val="00DA0160"/>
    <w:rsid w:val="00DC4CD4"/>
    <w:rsid w:val="00DE038D"/>
    <w:rsid w:val="00DE761F"/>
    <w:rsid w:val="00DF72F1"/>
    <w:rsid w:val="00E03DEC"/>
    <w:rsid w:val="00E15D24"/>
    <w:rsid w:val="00E178A1"/>
    <w:rsid w:val="00E22F4D"/>
    <w:rsid w:val="00E3079C"/>
    <w:rsid w:val="00E43386"/>
    <w:rsid w:val="00E4784E"/>
    <w:rsid w:val="00E54330"/>
    <w:rsid w:val="00E606D9"/>
    <w:rsid w:val="00E650A7"/>
    <w:rsid w:val="00E65EB4"/>
    <w:rsid w:val="00E74651"/>
    <w:rsid w:val="00E8034A"/>
    <w:rsid w:val="00EA7A91"/>
    <w:rsid w:val="00EB50C0"/>
    <w:rsid w:val="00EB7B6E"/>
    <w:rsid w:val="00EC1EDE"/>
    <w:rsid w:val="00EC3C1D"/>
    <w:rsid w:val="00EC5122"/>
    <w:rsid w:val="00EC77E0"/>
    <w:rsid w:val="00ED245A"/>
    <w:rsid w:val="00ED58A5"/>
    <w:rsid w:val="00EE18CB"/>
    <w:rsid w:val="00EE285A"/>
    <w:rsid w:val="00EF1589"/>
    <w:rsid w:val="00F021DB"/>
    <w:rsid w:val="00F04EF0"/>
    <w:rsid w:val="00F11A74"/>
    <w:rsid w:val="00F21834"/>
    <w:rsid w:val="00F24AC5"/>
    <w:rsid w:val="00F24DFD"/>
    <w:rsid w:val="00F25D4D"/>
    <w:rsid w:val="00F368A5"/>
    <w:rsid w:val="00F47726"/>
    <w:rsid w:val="00F56BB4"/>
    <w:rsid w:val="00F73A14"/>
    <w:rsid w:val="00F82C16"/>
    <w:rsid w:val="00F83BFF"/>
    <w:rsid w:val="00F83FAB"/>
    <w:rsid w:val="00F84681"/>
    <w:rsid w:val="00F91E83"/>
    <w:rsid w:val="00F967F6"/>
    <w:rsid w:val="00FA3B44"/>
    <w:rsid w:val="00FB022C"/>
    <w:rsid w:val="00FB473B"/>
    <w:rsid w:val="00FB7F46"/>
    <w:rsid w:val="00FC15B2"/>
    <w:rsid w:val="00FD12AD"/>
    <w:rsid w:val="00FE021B"/>
    <w:rsid w:val="00FE1F6E"/>
    <w:rsid w:val="00FE2E0A"/>
    <w:rsid w:val="00FF1137"/>
    <w:rsid w:val="00FF5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570A5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68CF"/>
    <w:pPr>
      <w:tabs>
        <w:tab w:val="center" w:pos="4536"/>
        <w:tab w:val="right" w:pos="9072"/>
      </w:tabs>
      <w:spacing w:line="240" w:lineRule="auto"/>
    </w:pPr>
  </w:style>
  <w:style w:type="character" w:customStyle="1" w:styleId="HeaderChar">
    <w:name w:val="Header Char"/>
    <w:basedOn w:val="DefaultParagraphFont"/>
    <w:link w:val="Header"/>
    <w:uiPriority w:val="99"/>
    <w:rsid w:val="004568CF"/>
    <w:rPr>
      <w:rFonts w:ascii="Verdana" w:hAnsi="Verdana"/>
      <w:color w:val="000000"/>
      <w:sz w:val="18"/>
      <w:szCs w:val="18"/>
    </w:rPr>
  </w:style>
  <w:style w:type="paragraph" w:styleId="Footer">
    <w:name w:val="footer"/>
    <w:basedOn w:val="Normal"/>
    <w:link w:val="FooterChar"/>
    <w:uiPriority w:val="99"/>
    <w:unhideWhenUsed/>
    <w:rsid w:val="004568CF"/>
    <w:pPr>
      <w:tabs>
        <w:tab w:val="center" w:pos="4536"/>
        <w:tab w:val="right" w:pos="9072"/>
      </w:tabs>
      <w:spacing w:line="240" w:lineRule="auto"/>
    </w:pPr>
  </w:style>
  <w:style w:type="character" w:customStyle="1" w:styleId="FooterChar">
    <w:name w:val="Footer Char"/>
    <w:basedOn w:val="DefaultParagraphFont"/>
    <w:link w:val="Footer"/>
    <w:uiPriority w:val="99"/>
    <w:rsid w:val="004568CF"/>
    <w:rPr>
      <w:rFonts w:ascii="Verdana" w:hAnsi="Verdana"/>
      <w:color w:val="000000"/>
      <w:sz w:val="18"/>
      <w:szCs w:val="18"/>
    </w:rPr>
  </w:style>
  <w:style w:type="paragraph" w:styleId="FootnoteText">
    <w:name w:val="footnote text"/>
    <w:basedOn w:val="Normal"/>
    <w:link w:val="FootnoteTextChar"/>
    <w:uiPriority w:val="99"/>
    <w:unhideWhenUsed/>
    <w:rsid w:val="001B2F33"/>
    <w:pPr>
      <w:spacing w:line="240" w:lineRule="auto"/>
    </w:pPr>
    <w:rPr>
      <w:sz w:val="20"/>
      <w:szCs w:val="20"/>
    </w:rPr>
  </w:style>
  <w:style w:type="character" w:customStyle="1" w:styleId="FootnoteTextChar">
    <w:name w:val="Footnote Text Char"/>
    <w:basedOn w:val="DefaultParagraphFont"/>
    <w:link w:val="FootnoteText"/>
    <w:uiPriority w:val="99"/>
    <w:rsid w:val="001B2F33"/>
    <w:rPr>
      <w:rFonts w:ascii="Verdana" w:hAnsi="Verdana"/>
      <w:color w:val="000000"/>
    </w:rPr>
  </w:style>
  <w:style w:type="character" w:styleId="FootnoteReference">
    <w:name w:val="footnote reference"/>
    <w:basedOn w:val="DefaultParagraphFont"/>
    <w:uiPriority w:val="99"/>
    <w:semiHidden/>
    <w:unhideWhenUsed/>
    <w:rsid w:val="001B2F33"/>
    <w:rPr>
      <w:vertAlign w:val="superscript"/>
    </w:rPr>
  </w:style>
  <w:style w:type="character" w:customStyle="1" w:styleId="Heading1Char">
    <w:name w:val="Heading 1 Char"/>
    <w:basedOn w:val="DefaultParagraphFont"/>
    <w:link w:val="Heading1"/>
    <w:uiPriority w:val="99"/>
    <w:semiHidden/>
    <w:rsid w:val="00570A57"/>
    <w:rPr>
      <w:rFonts w:asciiTheme="majorHAnsi" w:eastAsiaTheme="majorEastAsia" w:hAnsiTheme="majorHAnsi" w:cstheme="majorBidi"/>
      <w:color w:val="0F4761" w:themeColor="accent1" w:themeShade="BF"/>
      <w:sz w:val="32"/>
      <w:szCs w:val="32"/>
    </w:rPr>
  </w:style>
  <w:style w:type="character" w:customStyle="1" w:styleId="UnresolvedMention">
    <w:name w:val="Unresolved Mention"/>
    <w:basedOn w:val="DefaultParagraphFont"/>
    <w:uiPriority w:val="99"/>
    <w:semiHidden/>
    <w:unhideWhenUsed/>
    <w:rsid w:val="005B4BC8"/>
    <w:rPr>
      <w:color w:val="605E5C"/>
      <w:shd w:val="clear" w:color="auto" w:fill="E1DFDD"/>
    </w:rPr>
  </w:style>
  <w:style w:type="paragraph" w:styleId="Revision">
    <w:name w:val="Revision"/>
    <w:hidden/>
    <w:uiPriority w:val="99"/>
    <w:semiHidden/>
    <w:rsid w:val="003E54D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E285A"/>
    <w:rPr>
      <w:sz w:val="16"/>
      <w:szCs w:val="16"/>
    </w:rPr>
  </w:style>
  <w:style w:type="paragraph" w:styleId="CommentText">
    <w:name w:val="annotation text"/>
    <w:basedOn w:val="Normal"/>
    <w:link w:val="CommentTextChar"/>
    <w:uiPriority w:val="99"/>
    <w:unhideWhenUsed/>
    <w:rsid w:val="00EE285A"/>
    <w:pPr>
      <w:spacing w:line="240" w:lineRule="auto"/>
    </w:pPr>
    <w:rPr>
      <w:sz w:val="20"/>
      <w:szCs w:val="20"/>
    </w:rPr>
  </w:style>
  <w:style w:type="character" w:customStyle="1" w:styleId="CommentTextChar">
    <w:name w:val="Comment Text Char"/>
    <w:basedOn w:val="DefaultParagraphFont"/>
    <w:link w:val="CommentText"/>
    <w:uiPriority w:val="99"/>
    <w:rsid w:val="00EE285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E285A"/>
    <w:rPr>
      <w:b/>
      <w:bCs/>
    </w:rPr>
  </w:style>
  <w:style w:type="character" w:customStyle="1" w:styleId="CommentSubjectChar">
    <w:name w:val="Comment Subject Char"/>
    <w:basedOn w:val="CommentTextChar"/>
    <w:link w:val="CommentSubject"/>
    <w:uiPriority w:val="99"/>
    <w:semiHidden/>
    <w:rsid w:val="00EE285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98719">
      <w:bodyDiv w:val="1"/>
      <w:marLeft w:val="0"/>
      <w:marRight w:val="0"/>
      <w:marTop w:val="0"/>
      <w:marBottom w:val="0"/>
      <w:divBdr>
        <w:top w:val="none" w:sz="0" w:space="0" w:color="auto"/>
        <w:left w:val="none" w:sz="0" w:space="0" w:color="auto"/>
        <w:bottom w:val="none" w:sz="0" w:space="0" w:color="auto"/>
        <w:right w:val="none" w:sz="0" w:space="0" w:color="auto"/>
      </w:divBdr>
    </w:div>
    <w:div w:id="1237519830">
      <w:bodyDiv w:val="1"/>
      <w:marLeft w:val="0"/>
      <w:marRight w:val="0"/>
      <w:marTop w:val="0"/>
      <w:marBottom w:val="0"/>
      <w:divBdr>
        <w:top w:val="none" w:sz="0" w:space="0" w:color="auto"/>
        <w:left w:val="none" w:sz="0" w:space="0" w:color="auto"/>
        <w:bottom w:val="none" w:sz="0" w:space="0" w:color="auto"/>
        <w:right w:val="none" w:sz="0" w:space="0" w:color="auto"/>
      </w:divBdr>
    </w:div>
    <w:div w:id="1471481413">
      <w:bodyDiv w:val="1"/>
      <w:marLeft w:val="0"/>
      <w:marRight w:val="0"/>
      <w:marTop w:val="0"/>
      <w:marBottom w:val="0"/>
      <w:divBdr>
        <w:top w:val="none" w:sz="0" w:space="0" w:color="auto"/>
        <w:left w:val="none" w:sz="0" w:space="0" w:color="auto"/>
        <w:bottom w:val="none" w:sz="0" w:space="0" w:color="auto"/>
        <w:right w:val="none" w:sz="0" w:space="0" w:color="auto"/>
      </w:divBdr>
    </w:div>
    <w:div w:id="1827428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1975</ap:Words>
  <ap:Characters>11259</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brief vaste Kamercommissie IenW aan Europese Commissie betreffende REACH-herziening</vt:lpstr>
    </vt:vector>
  </ap:TitlesOfParts>
  <ap:LinksUpToDate>false</ap:LinksUpToDate>
  <ap:CharactersWithSpaces>13208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2025-09-25T08:59:00.0000000Z</dcterms:created>
  <dcterms:modified xsi:type="dcterms:W3CDTF">2025-09-25T08:59:00.0000000Z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brief vaste Kamercommissie IenW aan Europese Commissie betreffende REACH-herziening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R.C.H. Flipphi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26c5e146,2f05b5ea,5dda517</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