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2025Z17850</w:t>
        <w:br/>
      </w:r>
      <w:proofErr w:type="spellEnd"/>
    </w:p>
    <w:p>
      <w:pPr>
        <w:pStyle w:val="Normal"/>
        <w:rPr>
          <w:b w:val="1"/>
          <w:bCs w:val="1"/>
        </w:rPr>
      </w:pPr>
      <w:r w:rsidR="250AE766">
        <w:rPr>
          <w:b w:val="0"/>
          <w:bCs w:val="0"/>
        </w:rPr>
        <w:t>(ingezonden 25 september 2025)</w:t>
        <w:br/>
      </w:r>
    </w:p>
    <w:p>
      <w:r>
        <w:t xml:space="preserve">Vragen van het lid Bromet (GroenLinks-PvdA) aan de minister van Landbouw, Visserij, Voedselzekerheid en Natuur over PFAS-houdende bestrijdingsmiddelen en het Deense verbod daarop</w:t>
      </w:r>
      <w:r>
        <w:br/>
      </w:r>
    </w:p>
    <w:p>
      <w:r>
        <w:t xml:space="preserve"> </w:t>
      </w:r>
      <w:r>
        <w:br/>
      </w:r>
    </w:p>
    <w:p>
      <w:pPr>
        <w:pStyle w:val="ListParagraph"/>
        <w:numPr>
          <w:ilvl w:val="0"/>
          <w:numId w:val="100487460"/>
        </w:numPr>
        <w:ind w:left="360"/>
      </w:pPr>
      <w:r>
        <w:t xml:space="preserve">Bent u bekend met het Deense onderzoek waaruit blijkt dat de PFAS-verbinding TFA (trifluorazijnzuur) makkelijk uitspoelt naar het milieu en daarmee drinkwaterbronnen bedreigt? Hoe kijkt u naar die conclusies? [1]</w:t>
      </w:r>
      <w:r>
        <w:br/>
      </w:r>
    </w:p>
    <w:p>
      <w:pPr>
        <w:pStyle w:val="ListParagraph"/>
        <w:numPr>
          <w:ilvl w:val="0"/>
          <w:numId w:val="100487460"/>
        </w:numPr>
        <w:ind w:left="360"/>
      </w:pPr>
      <w:r>
        <w:t xml:space="preserve">Hoe kijkt u naar het besluit dat door Denemarken is genomen om 23 bestrijdingsmiddelen, die het schadelijke afbraakproduct TFA vormen, per direct te verbieden vanwege de risico’s voor het grondwater en de drinkwatervoorziening?</w:t>
      </w:r>
      <w:r>
        <w:br/>
      </w:r>
    </w:p>
    <w:p>
      <w:pPr>
        <w:pStyle w:val="ListParagraph"/>
        <w:numPr>
          <w:ilvl w:val="0"/>
          <w:numId w:val="100487460"/>
        </w:numPr>
        <w:ind w:left="360"/>
      </w:pPr>
      <w:r>
        <w:t xml:space="preserve">Hoe lang duurt het voordat het College voor de toelating van gewasbeschermingingsmiddelen en biociden (Ctgb) het genoemde onderzoek en het daaropvolgende besluit in Denemarken heeft bestudeerd, zoals toegezegd tijdens het tweeminutendebat Gewasbeschermingsmiddelen op 3 september jongstleden?  </w:t>
      </w:r>
      <w:r>
        <w:br/>
      </w:r>
    </w:p>
    <w:p>
      <w:pPr>
        <w:pStyle w:val="ListParagraph"/>
        <w:numPr>
          <w:ilvl w:val="0"/>
          <w:numId w:val="100487460"/>
        </w:numPr>
        <w:ind w:left="360"/>
      </w:pPr>
      <w:r>
        <w:t xml:space="preserve">Wanneer gaat u de Kamer verder informeren over de analyse van het Ctgb en het mogelijke besluit dat daaruit volgt?</w:t>
      </w:r>
      <w:r>
        <w:br/>
      </w:r>
    </w:p>
    <w:p>
      <w:pPr>
        <w:pStyle w:val="ListParagraph"/>
        <w:numPr>
          <w:ilvl w:val="0"/>
          <w:numId w:val="100487460"/>
        </w:numPr>
        <w:ind w:left="360"/>
      </w:pPr>
      <w:r>
        <w:t xml:space="preserve">Waarom zijn al deze middelen in Nederland nog steeds toegestaan terwijl het Ctgb al eerder om een snelle Europese herbeoordeling vroeg?</w:t>
      </w:r>
      <w:r>
        <w:br/>
      </w:r>
    </w:p>
    <w:p>
      <w:pPr>
        <w:pStyle w:val="ListParagraph"/>
        <w:numPr>
          <w:ilvl w:val="0"/>
          <w:numId w:val="100487460"/>
        </w:numPr>
        <w:ind w:left="360"/>
      </w:pPr>
      <w:r>
        <w:t xml:space="preserve">Waarom wordt het middel ‘Luna Sensation’ van Bayer, dat fluopyram bevat, wel verboden wegens risico’s voor boeren, bijen en vogels, maar mogen negen andere fluopyram-houdende middelen nog steeds worden toegepast?</w:t>
      </w:r>
      <w:r>
        <w:br/>
      </w:r>
    </w:p>
    <w:p>
      <w:pPr>
        <w:pStyle w:val="ListParagraph"/>
        <w:numPr>
          <w:ilvl w:val="0"/>
          <w:numId w:val="100487460"/>
        </w:numPr>
        <w:ind w:left="360"/>
      </w:pPr>
      <w:r>
        <w:t xml:space="preserve">Dringt u er bij het Ctgb op aan dat de herbeoordelingen van deze negen middelen op zeer korte termijn worden uitgevoerd, zodat deze schadelijke stoffen niet langer in het milieu terechtkomen? Zo nee, waarom niet?</w:t>
      </w:r>
      <w:r>
        <w:br/>
      </w:r>
    </w:p>
    <w:p>
      <w:pPr>
        <w:pStyle w:val="ListParagraph"/>
        <w:numPr>
          <w:ilvl w:val="0"/>
          <w:numId w:val="100487460"/>
        </w:numPr>
        <w:ind w:left="360"/>
      </w:pPr>
      <w:r>
        <w:t xml:space="preserve">Waarom mogen bestaande voorraden van ‘Luna Sensation’ nog worden opgebruikt tot juli 2026 terwijl dit besluit is genomen vanwege de risico’s voor mens en natuur? Deelt u de opvatting dat het gebruik ervan dan per direct moet worden gestopt?</w:t>
      </w:r>
      <w:r>
        <w:br/>
      </w:r>
    </w:p>
    <w:p>
      <w:pPr>
        <w:pStyle w:val="ListParagraph"/>
        <w:numPr>
          <w:ilvl w:val="0"/>
          <w:numId w:val="100487460"/>
        </w:numPr>
        <w:ind w:left="360"/>
      </w:pPr>
      <w:r>
        <w:t xml:space="preserve">Heeft u gesprekken met de drinkwaterbedrijven en milieuorganisaties die al veel langer waarschuwen voor de milieu- en gezondheidsrisico’s van PFAS-houdende bestrijdingsmiddelen?</w:t>
      </w:r>
      <w:r>
        <w:br/>
      </w:r>
    </w:p>
    <w:p>
      <w:pPr>
        <w:pStyle w:val="ListParagraph"/>
        <w:numPr>
          <w:ilvl w:val="0"/>
          <w:numId w:val="100487460"/>
        </w:numPr>
        <w:ind w:left="360"/>
      </w:pPr>
      <w:r>
        <w:t xml:space="preserve">Deelt u de opvatting dat er voldoende wetenschappelijk onderzoek is over de risico’s van PFAS om PFAS-houdende bestrijdingsmiddelen van de markt te halen? Zo ja, per wanneer kan de Kamer een verbod verwachten? Zo nee, kunt u dat onderbouwen?</w:t>
      </w:r>
      <w:r>
        <w:br/>
      </w:r>
    </w:p>
    <w:p>
      <w:r>
        <w:t xml:space="preserve"> </w:t>
      </w:r>
      <w:r>
        <w:br/>
      </w:r>
    </w:p>
    <w:p>
      <w:r>
        <w:t xml:space="preserve"> </w:t>
      </w:r>
      <w:r>
        <w:br/>
      </w:r>
    </w:p>
    <w:p>
      <w:r>
        <w:t xml:space="preserve"> </w:t>
      </w:r>
      <w:r>
        <w:br/>
      </w:r>
    </w:p>
    <w:p>
      <w:r>
        <w:t xml:space="preserve">[1] Miljø- og ligestillingsministeriet, 'TriFluPest' (https://mst.dk/publikationer/2024/december/triflupest)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460">
    <w:abstractNumId w:val="100487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