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A4A" w:rsidP="00E4114C" w:rsidRDefault="00AF2A4A" w14:paraId="3CDB69CF" w14:textId="4876F68D">
      <w:pPr>
        <w:pStyle w:val="Default"/>
        <w:rPr>
          <w:color w:val="auto"/>
          <w:sz w:val="18"/>
          <w:szCs w:val="18"/>
        </w:rPr>
      </w:pPr>
      <w:bookmarkStart w:name="_GoBack" w:id="0"/>
      <w:bookmarkEnd w:id="0"/>
      <w:r w:rsidRPr="00AF2A4A">
        <w:rPr>
          <w:color w:val="auto"/>
          <w:sz w:val="18"/>
          <w:szCs w:val="18"/>
        </w:rPr>
        <w:t>Geachte voorzitter,</w:t>
      </w:r>
    </w:p>
    <w:p w:rsidRPr="00AF2A4A" w:rsidR="00AF2A4A" w:rsidP="00E4114C" w:rsidRDefault="00AF2A4A" w14:paraId="4535A668" w14:textId="77777777">
      <w:pPr>
        <w:pStyle w:val="Default"/>
        <w:rPr>
          <w:color w:val="auto"/>
          <w:sz w:val="18"/>
          <w:szCs w:val="18"/>
        </w:rPr>
      </w:pPr>
    </w:p>
    <w:p w:rsidR="00FD0F86" w:rsidP="00FD0F86" w:rsidRDefault="00E4114C" w14:paraId="31E70145" w14:textId="39BC385A">
      <w:r w:rsidRPr="00DF3A4A">
        <w:t xml:space="preserve">Het </w:t>
      </w:r>
      <w:bookmarkStart w:name="_Hlk183676651" w:id="1"/>
      <w:r w:rsidRPr="00DF3A4A">
        <w:t xml:space="preserve">wetsvoorstel voor de modernisering van de Spoorwegwet </w:t>
      </w:r>
      <w:bookmarkEnd w:id="1"/>
      <w:r w:rsidRPr="00DF3A4A">
        <w:t xml:space="preserve">(Spoorwegwet 20..) is recent bij </w:t>
      </w:r>
      <w:r w:rsidR="0074798E">
        <w:t>de</w:t>
      </w:r>
      <w:r w:rsidRPr="00DF3A4A">
        <w:t xml:space="preserve"> Kamer ingediend. </w:t>
      </w:r>
      <w:r w:rsidR="00FD0F86">
        <w:t>Met dit wetsvoorstel wordt beoogd een robuust en toekomstbestendig wettelijk kader voor alle spoorwegen in Nederland te maken dat goed aansluit bij de praktijk</w:t>
      </w:r>
      <w:r w:rsidR="00FA2514">
        <w:t>. Dit do</w:t>
      </w:r>
      <w:r w:rsidR="00FD0F86">
        <w:t xml:space="preserve">or, waar mogelijk, ruimte te bieden voor maatwerk. Ook zorgt </w:t>
      </w:r>
      <w:r w:rsidR="00FA2514">
        <w:t>dit</w:t>
      </w:r>
      <w:r w:rsidR="00FD0F86">
        <w:t xml:space="preserve"> wetsvoorstel voor meer flexibiliteit, om beter te kunnen inspelen op nieuwe ontwikkelingen.</w:t>
      </w:r>
    </w:p>
    <w:p w:rsidR="00FD0F86" w:rsidP="00FD0F86" w:rsidRDefault="00FD0F86" w14:paraId="05C38DF4" w14:textId="77777777"/>
    <w:p w:rsidRPr="00DF3A4A" w:rsidR="00E4114C" w:rsidP="00E4114C" w:rsidRDefault="00E4114C" w14:paraId="4839AE7C" w14:textId="5CB0EA55">
      <w:r>
        <w:t xml:space="preserve">In deze brief </w:t>
      </w:r>
      <w:r w:rsidR="0074798E">
        <w:t xml:space="preserve">worden </w:t>
      </w:r>
      <w:r>
        <w:t>kort de belangrijkste punten uit de modernisering</w:t>
      </w:r>
      <w:r w:rsidR="0041074B">
        <w:t xml:space="preserve"> geschetst</w:t>
      </w:r>
      <w:r w:rsidR="007E768F">
        <w:t xml:space="preserve">. Ook </w:t>
      </w:r>
      <w:r w:rsidR="00FE3989">
        <w:t xml:space="preserve">wordt </w:t>
      </w:r>
      <w:r>
        <w:t>in</w:t>
      </w:r>
      <w:r w:rsidR="00FE3989">
        <w:t>gegaan</w:t>
      </w:r>
      <w:r>
        <w:t xml:space="preserve"> op de relatie tussen dit wetsvoorstel en</w:t>
      </w:r>
      <w:r w:rsidR="00FD0F86">
        <w:t xml:space="preserve"> </w:t>
      </w:r>
      <w:r>
        <w:t xml:space="preserve">de </w:t>
      </w:r>
      <w:r w:rsidR="007E768F">
        <w:t xml:space="preserve">marktordening </w:t>
      </w:r>
      <w:r>
        <w:t>op het spoor</w:t>
      </w:r>
      <w:r w:rsidR="007E768F">
        <w:t xml:space="preserve">, bijvoorbeeld ten aanzien van de HRN-concessie. </w:t>
      </w:r>
      <w:r w:rsidR="00223338">
        <w:t>Daarnaast</w:t>
      </w:r>
      <w:r w:rsidR="004D078A">
        <w:t xml:space="preserve"> komt de</w:t>
      </w:r>
      <w:r w:rsidR="007E768F">
        <w:t xml:space="preserve"> verhouding</w:t>
      </w:r>
      <w:r>
        <w:t xml:space="preserve"> tussen dit wetsvoorstel en het wetsvoorstel sturing en verantwoording ProRail</w:t>
      </w:r>
      <w:r w:rsidR="007E768F">
        <w:t xml:space="preserve"> B.V.</w:t>
      </w:r>
      <w:r w:rsidR="004D078A">
        <w:t xml:space="preserve"> aan de orde</w:t>
      </w:r>
      <w:r w:rsidR="00FD0F86">
        <w:t>.</w:t>
      </w:r>
      <w:r>
        <w:t xml:space="preserve"> </w:t>
      </w:r>
      <w:r w:rsidR="004D078A">
        <w:t>Ten</w:t>
      </w:r>
      <w:r w:rsidR="00C24C41">
        <w:t xml:space="preserve"> </w:t>
      </w:r>
      <w:r w:rsidR="004D078A">
        <w:t xml:space="preserve">slotte </w:t>
      </w:r>
      <w:r w:rsidR="001A104E">
        <w:t xml:space="preserve">wordt </w:t>
      </w:r>
      <w:r w:rsidR="004D078A">
        <w:t>een reactie</w:t>
      </w:r>
      <w:r w:rsidRPr="00DF3A4A">
        <w:t xml:space="preserve"> op de commissiebrief van 10 oktober 2022</w:t>
      </w:r>
      <w:r w:rsidRPr="00E4114C">
        <w:rPr>
          <w:vertAlign w:val="superscript"/>
        </w:rPr>
        <w:footnoteReference w:id="1"/>
      </w:r>
      <w:r w:rsidR="001A104E">
        <w:t xml:space="preserve"> gegeven</w:t>
      </w:r>
      <w:r w:rsidRPr="00DF3A4A">
        <w:t xml:space="preserve">, waarin </w:t>
      </w:r>
      <w:r w:rsidR="00810160">
        <w:t>de Kamer</w:t>
      </w:r>
      <w:r w:rsidRPr="00DF3A4A">
        <w:t xml:space="preserve"> verzoekt om een aantal aspecten in de memorie van toelichting bij dit wetsvoorstel te verduidelijken. </w:t>
      </w:r>
      <w:r w:rsidR="00B749CD">
        <w:t>Tevens worden met deze brief ook de onderliggende beslisnota’s meegestuurd.</w:t>
      </w:r>
      <w:r w:rsidR="00B749CD">
        <w:rPr>
          <w:rStyle w:val="FootnoteReference"/>
        </w:rPr>
        <w:footnoteReference w:id="2"/>
      </w:r>
    </w:p>
    <w:p w:rsidR="00E4114C" w:rsidP="00E4114C" w:rsidRDefault="00E4114C" w14:paraId="06C35BC4" w14:textId="77777777">
      <w:pPr>
        <w:rPr>
          <w:b/>
          <w:bCs/>
        </w:rPr>
      </w:pPr>
    </w:p>
    <w:p w:rsidR="00E4114C" w:rsidP="00E4114C" w:rsidRDefault="00E4114C" w14:paraId="3A739ADE" w14:textId="0FA41E16">
      <w:pPr>
        <w:rPr>
          <w:b/>
          <w:bCs/>
        </w:rPr>
      </w:pPr>
      <w:r>
        <w:rPr>
          <w:b/>
          <w:bCs/>
        </w:rPr>
        <w:t>Modernisering van de Spoorwegregelgeving</w:t>
      </w:r>
    </w:p>
    <w:p w:rsidR="00E4114C" w:rsidP="00E4114C" w:rsidRDefault="00E4114C" w14:paraId="65D60B7D" w14:textId="6B16FE38">
      <w:r>
        <w:t xml:space="preserve">In 2005 is de huidige Spoorwegwet in werking getreden. Sinds die tijd </w:t>
      </w:r>
      <w:r w:rsidRPr="00662038">
        <w:t xml:space="preserve">is veel nieuwe Europese regelgeving </w:t>
      </w:r>
      <w:r w:rsidR="007E768F">
        <w:t xml:space="preserve">tot stand </w:t>
      </w:r>
      <w:r w:rsidRPr="00662038">
        <w:t>gekomen</w:t>
      </w:r>
      <w:r>
        <w:t xml:space="preserve">. </w:t>
      </w:r>
      <w:r w:rsidR="007E768F">
        <w:t>Deze</w:t>
      </w:r>
      <w:r w:rsidRPr="00662038" w:rsidR="007E768F">
        <w:t xml:space="preserve"> </w:t>
      </w:r>
      <w:r>
        <w:t xml:space="preserve">bleek </w:t>
      </w:r>
      <w:r w:rsidRPr="00662038">
        <w:t>moeilijk in te passen</w:t>
      </w:r>
      <w:r>
        <w:t xml:space="preserve"> in </w:t>
      </w:r>
      <w:r w:rsidR="0012669B">
        <w:t>de systematiek van de</w:t>
      </w:r>
      <w:r>
        <w:t xml:space="preserve"> </w:t>
      </w:r>
      <w:r w:rsidR="000A4F24">
        <w:t xml:space="preserve">huidige </w:t>
      </w:r>
      <w:r>
        <w:t>Spoorwegwet,</w:t>
      </w:r>
      <w:r w:rsidRPr="00662038">
        <w:t xml:space="preserve"> </w:t>
      </w:r>
      <w:r>
        <w:t xml:space="preserve">omdat </w:t>
      </w:r>
      <w:r w:rsidRPr="00662038">
        <w:t>de structuur van de Europese richtlijnen niet aansl</w:t>
      </w:r>
      <w:r>
        <w:t>ui</w:t>
      </w:r>
      <w:r w:rsidRPr="00662038">
        <w:t xml:space="preserve">t bij de </w:t>
      </w:r>
      <w:r>
        <w:t>structuur</w:t>
      </w:r>
      <w:r w:rsidRPr="00662038">
        <w:t xml:space="preserve"> van de</w:t>
      </w:r>
      <w:r w:rsidR="000A4F24">
        <w:t xml:space="preserve">ze </w:t>
      </w:r>
      <w:r w:rsidRPr="00662038">
        <w:t>wet</w:t>
      </w:r>
      <w:r>
        <w:t>. Mede daardoor zijn niet alle Europese regels correct geïmplementeerd. Hier</w:t>
      </w:r>
      <w:r w:rsidR="0012669B">
        <w:t>over</w:t>
      </w:r>
      <w:r>
        <w:t xml:space="preserve"> loopt een infractieprocedure vanuit de Europese Commissie</w:t>
      </w:r>
      <w:r w:rsidR="000A4F24">
        <w:t xml:space="preserve">, waarover </w:t>
      </w:r>
      <w:r w:rsidR="00A7164E">
        <w:t>de</w:t>
      </w:r>
      <w:r w:rsidR="000A4F24">
        <w:t xml:space="preserve"> Kamer in september 2019 is geïnformeerd</w:t>
      </w:r>
      <w:r w:rsidR="00C1017E">
        <w:t>.</w:t>
      </w:r>
      <w:r w:rsidRPr="00E432A4" w:rsidR="000A4F24">
        <w:rPr>
          <w:vertAlign w:val="superscript"/>
        </w:rPr>
        <w:footnoteReference w:id="3"/>
      </w:r>
      <w:r w:rsidR="00C1017E">
        <w:t xml:space="preserve"> </w:t>
      </w:r>
      <w:r>
        <w:t>Met het wetsvoorstel Spoorwegwet 20.. wordt dit hersteld.</w:t>
      </w:r>
      <w:r w:rsidRPr="001D5A03">
        <w:t xml:space="preserve"> </w:t>
      </w:r>
    </w:p>
    <w:p w:rsidR="00E4114C" w:rsidP="00E4114C" w:rsidRDefault="00E4114C" w14:paraId="5F83B391" w14:textId="77777777"/>
    <w:p w:rsidR="00FD0F86" w:rsidP="00FD0F86" w:rsidRDefault="00E4114C" w14:paraId="3C3F75D6" w14:textId="31378684">
      <w:r>
        <w:t>Bovendien zijn in de huidige Spoorwegwet niet alle uitzonderingsmogelijkheden uit de Europese richtlijnen opgenomen. Daardoor wordt onvoldoende aangesloten bij de dagelijkse praktijk. Zo moeten lokaal opererende ondernemingen die alleen treinen vanaf een eigen terrein klaarzetten op het hoofdspoor, nu nog een</w:t>
      </w:r>
      <w:r w:rsidR="000457A7">
        <w:t xml:space="preserve">zelfde </w:t>
      </w:r>
      <w:r>
        <w:t>veiligheidscertificaat</w:t>
      </w:r>
      <w:r w:rsidR="004D078A">
        <w:t xml:space="preserve"> hebben</w:t>
      </w:r>
      <w:r>
        <w:t xml:space="preserve"> als</w:t>
      </w:r>
      <w:r w:rsidR="000457A7">
        <w:t xml:space="preserve"> een</w:t>
      </w:r>
      <w:r>
        <w:t xml:space="preserve"> </w:t>
      </w:r>
      <w:r w:rsidR="000457A7">
        <w:t xml:space="preserve">volwaardige </w:t>
      </w:r>
      <w:r>
        <w:t>spoorwegonderneming</w:t>
      </w:r>
      <w:r w:rsidR="00C1017E">
        <w:t>.</w:t>
      </w:r>
      <w:r w:rsidR="007E768F">
        <w:t xml:space="preserve"> Ook</w:t>
      </w:r>
      <w:r>
        <w:t xml:space="preserve"> </w:t>
      </w:r>
      <w:r>
        <w:lastRenderedPageBreak/>
        <w:t xml:space="preserve">moeten de machinisten die voor hen rijden </w:t>
      </w:r>
      <w:r w:rsidR="000457A7">
        <w:t xml:space="preserve">nu </w:t>
      </w:r>
      <w:r>
        <w:t xml:space="preserve">een Europese vergunning hebben, waardoor ze aan onevenredig zware eisen moeten voldoen. In dit wetsvoorstel worden de uitzonderingsmogelijkheden uit de Europese richtlijnen maximaal benut. </w:t>
      </w:r>
      <w:r w:rsidR="00FD0F86">
        <w:t xml:space="preserve">Ook bevat dit wetsvoorstel regels die betrekking hebben op de instelling van één Europese spoorwegruimte en eisen aan personeel dat werkt voor spoorwegondernemingen en infrastructuurbeheerders. </w:t>
      </w:r>
      <w:r w:rsidR="007E768F">
        <w:t>Uiteraard wordt in de situaties dat Europese (veiligheids</w:t>
      </w:r>
      <w:r w:rsidR="000457A7">
        <w:t>-</w:t>
      </w:r>
      <w:r w:rsidR="007E768F">
        <w:t xml:space="preserve">)regels niet van toepassing </w:t>
      </w:r>
      <w:r w:rsidR="004811AB">
        <w:t>zijn</w:t>
      </w:r>
      <w:r w:rsidR="007E768F">
        <w:t xml:space="preserve">, </w:t>
      </w:r>
      <w:r w:rsidR="004D078A">
        <w:t xml:space="preserve">nationale regels </w:t>
      </w:r>
      <w:r w:rsidR="007E768F">
        <w:t>gegeven om onder andere de veiligheid te borgen.</w:t>
      </w:r>
      <w:r>
        <w:t xml:space="preserve"> </w:t>
      </w:r>
      <w:r w:rsidR="00FD0F86">
        <w:t>Het wetsvoorstel bevat verder regels ten aanzien van de interoperabiliteit</w:t>
      </w:r>
      <w:r w:rsidR="00FD0F86">
        <w:rPr>
          <w:rStyle w:val="FootnoteReference"/>
        </w:rPr>
        <w:footnoteReference w:id="4"/>
      </w:r>
      <w:r w:rsidR="00FD0F86">
        <w:t xml:space="preserve"> van de spoorweginfrastructuur en voertuigen.</w:t>
      </w:r>
      <w:r w:rsidDel="00C1017E" w:rsidR="00FD0F86">
        <w:rPr>
          <w:rStyle w:val="FootnoteReference"/>
        </w:rPr>
        <w:t xml:space="preserve"> </w:t>
      </w:r>
    </w:p>
    <w:p w:rsidR="003212C3" w:rsidP="003212C3" w:rsidRDefault="003212C3" w14:paraId="2CB55A20" w14:textId="77777777"/>
    <w:p w:rsidRPr="00E432A4" w:rsidR="003212C3" w:rsidP="003212C3" w:rsidRDefault="004B3E5D" w14:paraId="4E3C3A74" w14:textId="368DD937">
      <w:r>
        <w:t xml:space="preserve">Het streven is </w:t>
      </w:r>
      <w:r w:rsidR="003212C3">
        <w:t xml:space="preserve">de onderliggende regelgeving bij dit wetsvoorstel </w:t>
      </w:r>
      <w:r w:rsidR="000457A7">
        <w:t xml:space="preserve">begin volgend jaar </w:t>
      </w:r>
      <w:r w:rsidR="003212C3">
        <w:t>in consultatie te brengen.</w:t>
      </w:r>
    </w:p>
    <w:p w:rsidR="00401D3E" w:rsidRDefault="00401D3E" w14:paraId="32A415F3" w14:textId="307DE400"/>
    <w:p w:rsidR="00E4114C" w:rsidP="00E4114C" w:rsidRDefault="00E4114C" w14:paraId="005C6735" w14:textId="23160FD8">
      <w:pPr>
        <w:rPr>
          <w:b/>
          <w:bCs/>
        </w:rPr>
      </w:pPr>
      <w:r>
        <w:rPr>
          <w:b/>
          <w:bCs/>
        </w:rPr>
        <w:t>Relatie tussen modernisering van de Spoorwegwet en markt</w:t>
      </w:r>
      <w:r w:rsidR="004811AB">
        <w:rPr>
          <w:b/>
          <w:bCs/>
        </w:rPr>
        <w:t>orden</w:t>
      </w:r>
      <w:r>
        <w:rPr>
          <w:b/>
          <w:bCs/>
        </w:rPr>
        <w:t>ing op het spoor</w:t>
      </w:r>
    </w:p>
    <w:p w:rsidR="003212C3" w:rsidP="00E4114C" w:rsidRDefault="00E4114C" w14:paraId="3B08CBCC" w14:textId="39CA3B19">
      <w:r>
        <w:t>In het wetsvoorstel voor de modernisering van de Spoorwegwet zijn de regels uit de sera-richtlijn</w:t>
      </w:r>
      <w:r w:rsidR="00F91153">
        <w:rPr>
          <w:rStyle w:val="FootnoteReference"/>
        </w:rPr>
        <w:footnoteReference w:id="5"/>
      </w:r>
      <w:r>
        <w:t xml:space="preserve"> geïmplementeerd. De bepalingen </w:t>
      </w:r>
      <w:r w:rsidR="007E768F">
        <w:t xml:space="preserve">in deze richtlijn hebben gezorgd voor de </w:t>
      </w:r>
      <w:r>
        <w:t xml:space="preserve">instelling van één Europese spoorwegruimte. </w:t>
      </w:r>
      <w:r w:rsidR="007E768F">
        <w:t>In deze richtlijn worden onder andere regels gegeven over de eisen waaraan</w:t>
      </w:r>
      <w:r>
        <w:t xml:space="preserve"> spoorwegondernemingen moeten voldoen om toegang te krijgen tot het spoor, over capaciteitsverdeling en over de gebruiksvergoeding</w:t>
      </w:r>
      <w:r w:rsidR="00CB3076">
        <w:t xml:space="preserve"> die gebruikers van het spoor aan de infrastructuurbeheerder </w:t>
      </w:r>
      <w:r w:rsidR="004D078A">
        <w:t>betalen</w:t>
      </w:r>
      <w:r>
        <w:t xml:space="preserve">. </w:t>
      </w:r>
    </w:p>
    <w:p w:rsidR="003212C3" w:rsidP="00E4114C" w:rsidRDefault="003212C3" w14:paraId="094876A8" w14:textId="77777777"/>
    <w:p w:rsidR="0041266B" w:rsidP="00E4114C" w:rsidRDefault="00CB3076" w14:paraId="43D5835F" w14:textId="716A8C2E">
      <w:r>
        <w:t>Het wetsvoorstel</w:t>
      </w:r>
      <w:r w:rsidR="00E4114C">
        <w:t xml:space="preserve"> bevat</w:t>
      </w:r>
      <w:r w:rsidR="0041266B">
        <w:t xml:space="preserve">, net als de huidige </w:t>
      </w:r>
      <w:r>
        <w:t>S</w:t>
      </w:r>
      <w:r w:rsidR="0041266B">
        <w:t xml:space="preserve">poorwegwet, </w:t>
      </w:r>
      <w:r w:rsidR="00E4114C">
        <w:t>geen bepalingen over concessieverlening aan vervoerders</w:t>
      </w:r>
      <w:r>
        <w:t>. Deze</w:t>
      </w:r>
      <w:r w:rsidR="003212C3">
        <w:t xml:space="preserve"> regels over</w:t>
      </w:r>
      <w:r>
        <w:t xml:space="preserve"> onder andere de wijze waarop concessies moeten worden verleend</w:t>
      </w:r>
      <w:r w:rsidR="003212C3">
        <w:t xml:space="preserve"> </w:t>
      </w:r>
      <w:r w:rsidR="00E4114C">
        <w:t xml:space="preserve">zijn opgenomen in de Wet Personenvervoer 2000. </w:t>
      </w:r>
      <w:r>
        <w:t xml:space="preserve">Dit wetsvoorstel heeft dan ook geen betrekking op de vraag hoe de marktordening van het spoorvervoer wordt vormgegeven. </w:t>
      </w:r>
    </w:p>
    <w:p w:rsidR="00E4114C" w:rsidP="00E4114C" w:rsidRDefault="00E4114C" w14:paraId="5A2E1AE7" w14:textId="19DB33A7">
      <w:pPr>
        <w:spacing w:line="240" w:lineRule="auto"/>
      </w:pPr>
    </w:p>
    <w:p w:rsidR="00E4114C" w:rsidP="00E4114C" w:rsidRDefault="00E4114C" w14:paraId="35CAE5DD" w14:textId="77777777">
      <w:pPr>
        <w:spacing w:line="240" w:lineRule="auto"/>
        <w:rPr>
          <w:b/>
          <w:bCs/>
        </w:rPr>
      </w:pPr>
      <w:r>
        <w:rPr>
          <w:b/>
          <w:bCs/>
        </w:rPr>
        <w:t>Samenhang met wetsvoorstel sturing en verantwoording ProRail</w:t>
      </w:r>
    </w:p>
    <w:p w:rsidRPr="00E432A4" w:rsidR="00E4114C" w:rsidP="00E4114C" w:rsidRDefault="00E4114C" w14:paraId="43E10FE0" w14:textId="103BA4C0">
      <w:pPr>
        <w:autoSpaceDN/>
        <w:spacing w:line="276" w:lineRule="auto"/>
        <w:contextualSpacing/>
        <w:textAlignment w:val="auto"/>
      </w:pPr>
      <w:r w:rsidRPr="00E432A4">
        <w:rPr>
          <w:rFonts w:eastAsia="Cambria" w:cs="Times New Roman"/>
          <w:color w:val="auto"/>
          <w:szCs w:val="22"/>
          <w:lang w:eastAsia="en-US"/>
        </w:rPr>
        <w:t>In 2020 is het wetsvoorstel ‘Wet publiekrechtelijke omvorming ProRail’ ingediend bij de Tweede Kamer</w:t>
      </w:r>
      <w:r w:rsidR="004D078A">
        <w:rPr>
          <w:rFonts w:eastAsia="Cambria" w:cs="Times New Roman"/>
          <w:color w:val="auto"/>
          <w:szCs w:val="22"/>
          <w:lang w:eastAsia="en-US"/>
        </w:rPr>
        <w:t>. Daarmee zou</w:t>
      </w:r>
      <w:r w:rsidRPr="00E432A4">
        <w:rPr>
          <w:rFonts w:eastAsia="Cambria" w:cs="Times New Roman"/>
          <w:color w:val="auto"/>
          <w:szCs w:val="22"/>
          <w:lang w:eastAsia="en-US"/>
        </w:rPr>
        <w:t xml:space="preserve"> ProRail worden omgevormd tot een publiekrechtelijk zelfstandig bestuursorgaan (zbo)</w:t>
      </w:r>
      <w:r w:rsidR="00CB3076">
        <w:rPr>
          <w:rFonts w:eastAsia="Cambria" w:cs="Times New Roman"/>
          <w:color w:val="auto"/>
          <w:szCs w:val="22"/>
          <w:lang w:eastAsia="en-US"/>
        </w:rPr>
        <w:t>.</w:t>
      </w:r>
      <w:r w:rsidRPr="00E432A4">
        <w:rPr>
          <w:rFonts w:eastAsia="Cambria" w:cs="Times New Roman"/>
          <w:color w:val="auto"/>
          <w:szCs w:val="22"/>
          <w:vertAlign w:val="superscript"/>
          <w:lang w:eastAsia="en-US"/>
        </w:rPr>
        <w:footnoteReference w:id="6"/>
      </w:r>
      <w:r w:rsidRPr="00E432A4">
        <w:rPr>
          <w:rFonts w:eastAsia="Cambria" w:cs="Times New Roman"/>
          <w:color w:val="auto"/>
          <w:szCs w:val="22"/>
          <w:lang w:eastAsia="en-US"/>
        </w:rPr>
        <w:t xml:space="preserve"> In 2024 kwam de regering met een wijziging van het wetsvoorstel, ‘Wet sturing en verantwoording ProRail B.V.’, om ProRail om te vormen tot een privaatrechtelijk zbo</w:t>
      </w:r>
      <w:r w:rsidR="00CB3076">
        <w:rPr>
          <w:rFonts w:eastAsia="Cambria" w:cs="Times New Roman"/>
          <w:color w:val="auto"/>
          <w:szCs w:val="22"/>
          <w:lang w:eastAsia="en-US"/>
        </w:rPr>
        <w:t>.</w:t>
      </w:r>
      <w:r w:rsidRPr="00E432A4">
        <w:rPr>
          <w:rFonts w:eastAsia="Cambria" w:cs="Times New Roman"/>
          <w:color w:val="auto"/>
          <w:szCs w:val="22"/>
          <w:vertAlign w:val="superscript"/>
          <w:lang w:eastAsia="en-US"/>
        </w:rPr>
        <w:footnoteReference w:id="7"/>
      </w:r>
      <w:r w:rsidRPr="00E432A4">
        <w:rPr>
          <w:rFonts w:eastAsia="Cambria" w:cs="Times New Roman"/>
          <w:color w:val="auto"/>
          <w:szCs w:val="22"/>
          <w:lang w:eastAsia="en-US"/>
        </w:rPr>
        <w:t xml:space="preserve"> Dit wetsvoorstel wijzigt onder andere de Spoorwegwet, wijst ProRail aan als beheerder van de rijksspoorwegen (voorheen hoofdspoorweginfrastructuur) en legt vast wat de taken van die infrastructuurbeheerder zijn.</w:t>
      </w:r>
      <w:r w:rsidR="004811AB">
        <w:rPr>
          <w:rFonts w:eastAsia="Cambria" w:cs="Times New Roman"/>
          <w:color w:val="auto"/>
          <w:szCs w:val="22"/>
          <w:lang w:eastAsia="en-US"/>
        </w:rPr>
        <w:t xml:space="preserve"> </w:t>
      </w:r>
      <w:r w:rsidR="007530FC">
        <w:t>De</w:t>
      </w:r>
      <w:r>
        <w:t xml:space="preserve"> </w:t>
      </w:r>
      <w:r w:rsidRPr="00E432A4">
        <w:t xml:space="preserve">Kamer heeft het wetsvoorstel sturing en verantwoording ProRail B.V. op 25 juni 2025 controversieel verklaard. </w:t>
      </w:r>
    </w:p>
    <w:p w:rsidRPr="00E432A4" w:rsidR="00E4114C" w:rsidP="00E4114C" w:rsidRDefault="00E4114C" w14:paraId="2C2ACDE2" w14:textId="77777777">
      <w:pPr>
        <w:autoSpaceDN/>
        <w:spacing w:line="276" w:lineRule="auto"/>
        <w:contextualSpacing/>
        <w:textAlignment w:val="auto"/>
      </w:pPr>
    </w:p>
    <w:p w:rsidRPr="00513D8B" w:rsidR="00E4114C" w:rsidP="00E4114C" w:rsidRDefault="008730AF" w14:paraId="012911D9" w14:textId="3C578758">
      <w:pPr>
        <w:autoSpaceDN/>
        <w:spacing w:line="276" w:lineRule="auto"/>
        <w:contextualSpacing/>
        <w:textAlignment w:val="auto"/>
        <w:rPr>
          <w:rFonts w:eastAsia="Cambria" w:cs="Times New Roman"/>
          <w:color w:val="auto"/>
          <w:szCs w:val="22"/>
          <w:vertAlign w:val="superscript"/>
          <w:lang w:eastAsia="en-US"/>
        </w:rPr>
      </w:pPr>
      <w:r>
        <w:t>Doorgaan</w:t>
      </w:r>
      <w:r w:rsidRPr="00E432A4" w:rsidR="00E4114C">
        <w:t xml:space="preserve"> met de modernisering van de Spoorwegwet</w:t>
      </w:r>
      <w:r>
        <w:t xml:space="preserve"> is nodig</w:t>
      </w:r>
      <w:r w:rsidRPr="00E432A4" w:rsidR="00E4114C">
        <w:t xml:space="preserve"> omdat in de huidige regelgeving niet alle Europese regels correct zijn geïmplementeerd</w:t>
      </w:r>
      <w:r w:rsidR="00E4114C">
        <w:t xml:space="preserve">. </w:t>
      </w:r>
      <w:r w:rsidR="000A4F24">
        <w:t>Zoals hiervoor is aangegeven</w:t>
      </w:r>
      <w:r w:rsidR="00613ED9">
        <w:t>,</w:t>
      </w:r>
      <w:r w:rsidR="000A4F24">
        <w:t xml:space="preserve"> loopt hierover </w:t>
      </w:r>
      <w:r w:rsidRPr="00E432A4" w:rsidR="00E4114C">
        <w:t>een infractieprocedure vanuit de Europese Commissie. Bovendien sluiten de huidige regels in een aantal gevallen niet goed aan bij de dagelijkse praktijk</w:t>
      </w:r>
      <w:r w:rsidR="000A4F24">
        <w:t xml:space="preserve"> en dat wil ik graag oplossen</w:t>
      </w:r>
      <w:r w:rsidRPr="00E432A4" w:rsidR="00E4114C">
        <w:t>.</w:t>
      </w:r>
      <w:r w:rsidR="00E4114C">
        <w:t xml:space="preserve"> </w:t>
      </w:r>
      <w:r w:rsidR="003212C3">
        <w:t xml:space="preserve">Voorbeelden daarvan zijn praktisch uitvoerbare regels </w:t>
      </w:r>
      <w:r w:rsidR="00BF4043">
        <w:t>over</w:t>
      </w:r>
      <w:r w:rsidR="003212C3">
        <w:t xml:space="preserve"> </w:t>
      </w:r>
      <w:r w:rsidR="00BF4043">
        <w:t xml:space="preserve">het rangeren van treinen </w:t>
      </w:r>
      <w:r w:rsidR="00F53153">
        <w:t xml:space="preserve">in </w:t>
      </w:r>
      <w:r w:rsidR="00BF4043">
        <w:t xml:space="preserve">de </w:t>
      </w:r>
      <w:r w:rsidR="00F53153">
        <w:t xml:space="preserve">haarvaten </w:t>
      </w:r>
      <w:r w:rsidR="00BF4043">
        <w:t>van het</w:t>
      </w:r>
      <w:r w:rsidR="00F53153">
        <w:t xml:space="preserve"> Nederlandse spoor</w:t>
      </w:r>
      <w:r w:rsidR="00BF4043">
        <w:t xml:space="preserve">, over vergunningen voor bijzondere ritten en over museumorganisaties en hun historisch vervoer. </w:t>
      </w:r>
      <w:r w:rsidR="00E4114C">
        <w:t xml:space="preserve">Om niet vooruit te lopen op de behandeling van het wetsvoorstel sturing en verantwoording ProRail </w:t>
      </w:r>
      <w:r w:rsidRPr="00513D8B" w:rsidR="00E4114C">
        <w:t xml:space="preserve">is </w:t>
      </w:r>
      <w:r w:rsidR="00E4114C">
        <w:t xml:space="preserve">in het wetsvoorstel voor de modernisering van de Spoorwegwet </w:t>
      </w:r>
      <w:r w:rsidRPr="00513D8B" w:rsidR="00E4114C">
        <w:t>het stelsel van de beheerconcessie uit de huidige Spoorwegwet opgenomen. Als het wetsvoorstel sturing en verantwoording ProRail B.V. wordt aangenomen, zullen de bepalingen uit dat wetsvoorstel worden opgenomen in de gemoderniseerde Spoorwegwet en worden de regels over het concessiestelsel geschrapt.</w:t>
      </w:r>
    </w:p>
    <w:p w:rsidR="00E4114C" w:rsidRDefault="00E4114C" w14:paraId="70D9FD0A" w14:textId="77777777"/>
    <w:p w:rsidR="00E4114C" w:rsidP="00E4114C" w:rsidRDefault="00E4114C" w14:paraId="2D27E9C8" w14:textId="77777777">
      <w:pPr>
        <w:spacing w:line="240" w:lineRule="auto"/>
        <w:rPr>
          <w:b/>
          <w:bCs/>
        </w:rPr>
      </w:pPr>
      <w:r w:rsidRPr="006E0992">
        <w:rPr>
          <w:b/>
          <w:bCs/>
        </w:rPr>
        <w:t>Verzoek van de commissie</w:t>
      </w:r>
    </w:p>
    <w:p w:rsidR="00E4114C" w:rsidP="00FB1AE9" w:rsidRDefault="00E4114C" w14:paraId="6F405A0C" w14:textId="77777777">
      <w:pPr>
        <w:autoSpaceDN/>
        <w:spacing w:line="276" w:lineRule="auto"/>
        <w:contextualSpacing/>
        <w:textAlignment w:val="auto"/>
      </w:pPr>
      <w:r>
        <w:t xml:space="preserve">De </w:t>
      </w:r>
      <w:bookmarkStart w:name="_Hlk206675361" w:id="2"/>
      <w:r>
        <w:t xml:space="preserve">Kamercommissie Infrastructuur en Waterstaat heeft in oktober 2022 </w:t>
      </w:r>
      <w:bookmarkEnd w:id="2"/>
      <w:r>
        <w:t>verzocht om een aantal aspecten te verduidelijken in de memorie van toelichting van het wetsvoorstel. Hieronder wordt op deze aspecten ingegaan:</w:t>
      </w:r>
    </w:p>
    <w:p w:rsidRPr="007F6956" w:rsidR="00E4114C" w:rsidP="00C1017E" w:rsidRDefault="00E4114C" w14:paraId="12CB67A3" w14:textId="2631CC6D">
      <w:pPr>
        <w:pStyle w:val="ListParagraph"/>
        <w:numPr>
          <w:ilvl w:val="0"/>
          <w:numId w:val="24"/>
        </w:numPr>
        <w:tabs>
          <w:tab w:val="left" w:pos="519"/>
        </w:tabs>
        <w:spacing w:line="276" w:lineRule="auto"/>
        <w:ind w:left="357" w:hanging="357"/>
        <w:rPr>
          <w:rFonts w:ascii="Verdana" w:hAnsi="Verdana"/>
          <w:b/>
          <w:bCs/>
          <w:sz w:val="18"/>
          <w:szCs w:val="18"/>
        </w:rPr>
      </w:pPr>
      <w:r w:rsidRPr="00F47192">
        <w:rPr>
          <w:rFonts w:ascii="Verdana" w:hAnsi="Verdana"/>
          <w:i/>
          <w:iCs/>
          <w:sz w:val="18"/>
          <w:szCs w:val="18"/>
        </w:rPr>
        <w:t>Eventuele wijzigingen in de rol van het parlement</w:t>
      </w:r>
      <w:r w:rsidRPr="00881EB9">
        <w:rPr>
          <w:rFonts w:ascii="Verdana" w:hAnsi="Verdana"/>
          <w:sz w:val="18"/>
          <w:szCs w:val="18"/>
        </w:rPr>
        <w:br/>
        <w:t xml:space="preserve">De gemoderniseerde Spoorwegwet is een wet op hoofdlijnen. Nationale beleidskeuzes worden gemaakt </w:t>
      </w:r>
      <w:r>
        <w:rPr>
          <w:rFonts w:ascii="Verdana" w:hAnsi="Verdana"/>
          <w:sz w:val="18"/>
          <w:szCs w:val="18"/>
        </w:rPr>
        <w:t xml:space="preserve">in de wet of in de algemene maatregel van bestuur. Implementatie van de Europese richtlijnen en technische uitwerking van nationale regels gebeurt in de ministeriële </w:t>
      </w:r>
      <w:r w:rsidRPr="00C1017E">
        <w:rPr>
          <w:rFonts w:ascii="Verdana" w:hAnsi="Verdana"/>
          <w:sz w:val="18"/>
          <w:szCs w:val="18"/>
        </w:rPr>
        <w:t xml:space="preserve">regeling. </w:t>
      </w:r>
      <w:r w:rsidRPr="007F6956" w:rsidR="00C1017E">
        <w:rPr>
          <w:rFonts w:ascii="Verdana" w:hAnsi="Verdana"/>
          <w:sz w:val="18"/>
          <w:szCs w:val="18"/>
        </w:rPr>
        <w:t xml:space="preserve">Daardoor kan regelgeving sneller worden aangepast aan nieuwe ontwikkelingen. Waar de Europese regelgeving ruimte laat om bij de invulling nadere keuzes te maken, wordt dit gedaan in de </w:t>
      </w:r>
      <w:r w:rsidR="00C1017E">
        <w:rPr>
          <w:rFonts w:ascii="Verdana" w:hAnsi="Verdana"/>
          <w:sz w:val="18"/>
          <w:szCs w:val="18"/>
        </w:rPr>
        <w:t xml:space="preserve">algemene maatregel van bestuur. </w:t>
      </w:r>
      <w:r w:rsidRPr="007F6956" w:rsidR="00C1017E">
        <w:rPr>
          <w:rFonts w:ascii="Verdana" w:hAnsi="Verdana"/>
          <w:sz w:val="18"/>
          <w:szCs w:val="18"/>
        </w:rPr>
        <w:t>Het wetsvoorstel bevat geen voorhangbepalingen.</w:t>
      </w:r>
    </w:p>
    <w:p w:rsidR="00E4114C" w:rsidP="00F53153" w:rsidRDefault="00E4114C" w14:paraId="205393A3" w14:textId="77777777">
      <w:pPr>
        <w:pStyle w:val="ListParagraph"/>
        <w:numPr>
          <w:ilvl w:val="0"/>
          <w:numId w:val="24"/>
        </w:numPr>
        <w:tabs>
          <w:tab w:val="left" w:pos="519"/>
        </w:tabs>
        <w:spacing w:line="276" w:lineRule="auto"/>
        <w:ind w:left="357" w:hanging="357"/>
        <w:rPr>
          <w:rFonts w:ascii="Verdana" w:hAnsi="Verdana"/>
          <w:sz w:val="18"/>
          <w:szCs w:val="18"/>
        </w:rPr>
      </w:pPr>
      <w:r w:rsidRPr="00F47192">
        <w:rPr>
          <w:rFonts w:ascii="Verdana" w:hAnsi="Verdana"/>
          <w:i/>
          <w:iCs/>
          <w:sz w:val="18"/>
          <w:szCs w:val="18"/>
        </w:rPr>
        <w:t>Praktische gevolgen van de aanwijzing en wijziging van de gebruiksfuncties</w:t>
      </w:r>
      <w:r>
        <w:rPr>
          <w:rFonts w:ascii="Verdana" w:hAnsi="Verdana"/>
          <w:sz w:val="18"/>
          <w:szCs w:val="18"/>
        </w:rPr>
        <w:br/>
        <w:t>Op de gebruiksfuncties en de aanwijzing van gebruiksfuncties en verantwoordelijkheden en de praktische gevolgen wordt uitgebreid ingegaan in de hoofdstukken 4, 5 en 6 van de memorie van toelichting.</w:t>
      </w:r>
    </w:p>
    <w:p w:rsidRPr="00C1017E" w:rsidR="00E4114C" w:rsidP="00C1017E" w:rsidRDefault="00E4114C" w14:paraId="3CC5C042" w14:textId="34B20723">
      <w:pPr>
        <w:pStyle w:val="ListParagraph"/>
        <w:numPr>
          <w:ilvl w:val="0"/>
          <w:numId w:val="24"/>
        </w:numPr>
        <w:tabs>
          <w:tab w:val="left" w:pos="519"/>
        </w:tabs>
        <w:spacing w:line="276" w:lineRule="auto"/>
        <w:ind w:left="357" w:hanging="357"/>
        <w:rPr>
          <w:rFonts w:ascii="Verdana" w:hAnsi="Verdana"/>
          <w:sz w:val="18"/>
          <w:szCs w:val="18"/>
        </w:rPr>
      </w:pPr>
      <w:r w:rsidRPr="00C1017E">
        <w:rPr>
          <w:rFonts w:ascii="Verdana" w:hAnsi="Verdana"/>
          <w:i/>
          <w:iCs/>
          <w:sz w:val="18"/>
          <w:szCs w:val="18"/>
        </w:rPr>
        <w:t xml:space="preserve">De </w:t>
      </w:r>
      <w:r w:rsidRPr="00C1017E" w:rsidR="00C1017E">
        <w:rPr>
          <w:rFonts w:ascii="Verdana" w:hAnsi="Verdana"/>
          <w:i/>
          <w:iCs/>
          <w:sz w:val="18"/>
          <w:szCs w:val="18"/>
        </w:rPr>
        <w:t xml:space="preserve">samenhang tussen </w:t>
      </w:r>
      <w:r w:rsidR="00147A0E">
        <w:rPr>
          <w:rFonts w:ascii="Verdana" w:hAnsi="Verdana"/>
          <w:i/>
          <w:iCs/>
          <w:sz w:val="18"/>
          <w:szCs w:val="18"/>
        </w:rPr>
        <w:t xml:space="preserve">herziening van de capaciteitsverdeling, </w:t>
      </w:r>
      <w:r w:rsidRPr="00C1017E" w:rsidR="00C1017E">
        <w:rPr>
          <w:rFonts w:ascii="Verdana" w:hAnsi="Verdana"/>
          <w:i/>
          <w:iCs/>
          <w:sz w:val="18"/>
          <w:szCs w:val="18"/>
        </w:rPr>
        <w:t>indeling in gebruiksfuncties</w:t>
      </w:r>
      <w:r w:rsidR="00147A0E">
        <w:rPr>
          <w:rFonts w:ascii="Verdana" w:hAnsi="Verdana"/>
          <w:i/>
          <w:iCs/>
          <w:sz w:val="18"/>
          <w:szCs w:val="18"/>
        </w:rPr>
        <w:t xml:space="preserve"> </w:t>
      </w:r>
      <w:r w:rsidRPr="00C1017E" w:rsidR="00C1017E">
        <w:rPr>
          <w:rFonts w:ascii="Verdana" w:hAnsi="Verdana"/>
          <w:i/>
          <w:iCs/>
          <w:sz w:val="18"/>
          <w:szCs w:val="18"/>
        </w:rPr>
        <w:t>en de concessie voor het hoofdrailnet</w:t>
      </w:r>
      <w:r w:rsidRPr="00C1017E" w:rsidR="00C1017E">
        <w:rPr>
          <w:rFonts w:ascii="Verdana" w:hAnsi="Verdana"/>
          <w:sz w:val="18"/>
          <w:szCs w:val="18"/>
        </w:rPr>
        <w:br/>
      </w:r>
      <w:r w:rsidRPr="00C1017E">
        <w:rPr>
          <w:rFonts w:ascii="Verdana" w:hAnsi="Verdana"/>
          <w:sz w:val="18"/>
          <w:szCs w:val="18"/>
        </w:rPr>
        <w:t xml:space="preserve">Over de ontwikkelingen in de nationale en Europese regelgeving rondom capaciteitsverdeling </w:t>
      </w:r>
      <w:r w:rsidR="00B97AEF">
        <w:rPr>
          <w:rFonts w:ascii="Verdana" w:hAnsi="Verdana"/>
          <w:sz w:val="18"/>
          <w:szCs w:val="18"/>
        </w:rPr>
        <w:t xml:space="preserve">is de Kamer </w:t>
      </w:r>
      <w:r w:rsidRPr="00C1017E" w:rsidR="00C1017E">
        <w:rPr>
          <w:rFonts w:ascii="Verdana" w:hAnsi="Verdana"/>
          <w:sz w:val="18"/>
          <w:szCs w:val="18"/>
        </w:rPr>
        <w:t xml:space="preserve">separaat </w:t>
      </w:r>
      <w:r w:rsidRPr="00C1017E">
        <w:rPr>
          <w:rFonts w:ascii="Verdana" w:hAnsi="Verdana"/>
          <w:sz w:val="18"/>
          <w:szCs w:val="18"/>
        </w:rPr>
        <w:t>geïnformeerd</w:t>
      </w:r>
      <w:r w:rsidR="00F64064">
        <w:rPr>
          <w:rFonts w:ascii="Verdana" w:hAnsi="Verdana"/>
          <w:sz w:val="18"/>
          <w:szCs w:val="18"/>
        </w:rPr>
        <w:t xml:space="preserve">. </w:t>
      </w:r>
      <w:r w:rsidR="00C1017E">
        <w:rPr>
          <w:rFonts w:ascii="Verdana" w:hAnsi="Verdana"/>
          <w:sz w:val="18"/>
          <w:szCs w:val="18"/>
        </w:rPr>
        <w:t xml:space="preserve">Hetzelfde geldt voor de samenhang tussen herziening </w:t>
      </w:r>
      <w:r w:rsidR="00147A0E">
        <w:rPr>
          <w:rFonts w:ascii="Verdana" w:hAnsi="Verdana"/>
          <w:sz w:val="18"/>
          <w:szCs w:val="18"/>
        </w:rPr>
        <w:t xml:space="preserve">van de capaciteitsverdelingsregels </w:t>
      </w:r>
      <w:r w:rsidR="00C1017E">
        <w:rPr>
          <w:rFonts w:ascii="Verdana" w:hAnsi="Verdana"/>
          <w:sz w:val="18"/>
          <w:szCs w:val="18"/>
        </w:rPr>
        <w:t>en de concessie voor het hoofdrailnet</w:t>
      </w:r>
      <w:r w:rsidRPr="00C1017E" w:rsidR="00F64064">
        <w:rPr>
          <w:rFonts w:ascii="Verdana" w:hAnsi="Verdana"/>
          <w:sz w:val="18"/>
          <w:szCs w:val="18"/>
        </w:rPr>
        <w:t>.</w:t>
      </w:r>
      <w:r w:rsidR="00F64064">
        <w:rPr>
          <w:rStyle w:val="FootnoteReference"/>
          <w:rFonts w:ascii="Verdana" w:hAnsi="Verdana"/>
          <w:sz w:val="18"/>
          <w:szCs w:val="18"/>
        </w:rPr>
        <w:footnoteReference w:id="8"/>
      </w:r>
      <w:r w:rsidR="00F64064">
        <w:rPr>
          <w:rFonts w:ascii="Verdana" w:hAnsi="Verdana"/>
          <w:sz w:val="18"/>
          <w:szCs w:val="18"/>
        </w:rPr>
        <w:t xml:space="preserve"> In 2023 is het Besluit capaciteitsverdeling gewijzigd om de uitvoerbaarheid van verleende concessies te garanderen</w:t>
      </w:r>
      <w:r w:rsidR="005933C5">
        <w:rPr>
          <w:rFonts w:ascii="Verdana" w:hAnsi="Verdana"/>
          <w:sz w:val="18"/>
          <w:szCs w:val="18"/>
        </w:rPr>
        <w:t xml:space="preserve"> en recent is het</w:t>
      </w:r>
      <w:r w:rsidR="00F64064">
        <w:rPr>
          <w:rFonts w:ascii="Verdana" w:hAnsi="Verdana"/>
          <w:sz w:val="18"/>
          <w:szCs w:val="18"/>
        </w:rPr>
        <w:t xml:space="preserve"> Besluit gewijzigd om minimumbedieningsniveaus voor internationaal personenvervoer aan te passen.</w:t>
      </w:r>
      <w:r w:rsidR="000C4F38">
        <w:rPr>
          <w:rStyle w:val="FootnoteReference"/>
          <w:rFonts w:ascii="Verdana" w:hAnsi="Verdana"/>
          <w:sz w:val="18"/>
          <w:szCs w:val="18"/>
        </w:rPr>
        <w:footnoteReference w:id="9"/>
      </w:r>
      <w:r w:rsidR="000C4F38">
        <w:rPr>
          <w:rFonts w:ascii="Verdana" w:hAnsi="Verdana"/>
          <w:sz w:val="18"/>
          <w:szCs w:val="18"/>
        </w:rPr>
        <w:t xml:space="preserve"> </w:t>
      </w:r>
      <w:r w:rsidR="005933C5">
        <w:rPr>
          <w:rFonts w:ascii="Verdana" w:hAnsi="Verdana"/>
          <w:sz w:val="18"/>
          <w:szCs w:val="18"/>
        </w:rPr>
        <w:t xml:space="preserve">Momenteel wordt gewerkt aan een nieuwe wijziging, die militaire mobiliteit moet faciliteren. </w:t>
      </w:r>
      <w:r w:rsidR="007F6956">
        <w:rPr>
          <w:rFonts w:ascii="Verdana" w:hAnsi="Verdana"/>
          <w:sz w:val="18"/>
          <w:szCs w:val="18"/>
        </w:rPr>
        <w:t xml:space="preserve">Zoals eerder in deze brief aangegeven, bevat het wetsvoorstel geen </w:t>
      </w:r>
      <w:r w:rsidRPr="00147A0E" w:rsidR="007F6956">
        <w:rPr>
          <w:rFonts w:ascii="Verdana" w:hAnsi="Verdana"/>
          <w:sz w:val="18"/>
          <w:szCs w:val="18"/>
        </w:rPr>
        <w:t>bepalingen over concessieverlening</w:t>
      </w:r>
      <w:r w:rsidR="007F6956">
        <w:rPr>
          <w:rFonts w:ascii="Verdana" w:hAnsi="Verdana"/>
          <w:sz w:val="18"/>
          <w:szCs w:val="18"/>
        </w:rPr>
        <w:t xml:space="preserve">. </w:t>
      </w:r>
      <w:r w:rsidRPr="00C1017E">
        <w:rPr>
          <w:rFonts w:ascii="Verdana" w:hAnsi="Verdana"/>
          <w:sz w:val="18"/>
          <w:szCs w:val="18"/>
        </w:rPr>
        <w:t>Er worden dan ook geen gevolgen van deze aanwijzing op de huidige concessie verwacht.</w:t>
      </w:r>
      <w:r>
        <w:rPr>
          <w:rStyle w:val="FootnoteReference"/>
          <w:rFonts w:ascii="Verdana" w:hAnsi="Verdana"/>
          <w:sz w:val="18"/>
          <w:szCs w:val="18"/>
        </w:rPr>
        <w:footnoteReference w:id="10"/>
      </w:r>
      <w:r w:rsidRPr="00C1017E" w:rsidR="006A4E17">
        <w:rPr>
          <w:rFonts w:ascii="Verdana" w:hAnsi="Verdana"/>
          <w:sz w:val="18"/>
          <w:szCs w:val="18"/>
        </w:rPr>
        <w:t xml:space="preserve"> </w:t>
      </w:r>
      <w:r w:rsidRPr="00C1017E" w:rsidR="00F64064">
        <w:rPr>
          <w:rFonts w:ascii="Verdana" w:hAnsi="Verdana"/>
          <w:sz w:val="18"/>
          <w:szCs w:val="18"/>
        </w:rPr>
        <w:t>Bij de aanwijzing van gebruiksfuncties wordt het huidig gebruik van het spoor zoveel mogelijk gevolgd.</w:t>
      </w:r>
    </w:p>
    <w:p w:rsidRPr="0086345C" w:rsidR="00E4114C" w:rsidP="00F53153" w:rsidRDefault="00E4114C" w14:paraId="096D738E" w14:textId="209D3D9A">
      <w:pPr>
        <w:pStyle w:val="ListParagraph"/>
        <w:numPr>
          <w:ilvl w:val="0"/>
          <w:numId w:val="24"/>
        </w:numPr>
        <w:tabs>
          <w:tab w:val="left" w:pos="519"/>
        </w:tabs>
        <w:spacing w:line="276" w:lineRule="auto"/>
        <w:ind w:left="357" w:hanging="357"/>
        <w:rPr>
          <w:rFonts w:ascii="Verdana" w:hAnsi="Verdana"/>
          <w:sz w:val="18"/>
          <w:szCs w:val="18"/>
        </w:rPr>
      </w:pPr>
      <w:r w:rsidRPr="00F47192">
        <w:rPr>
          <w:rFonts w:ascii="Verdana" w:hAnsi="Verdana"/>
          <w:i/>
          <w:iCs/>
          <w:sz w:val="18"/>
          <w:szCs w:val="18"/>
        </w:rPr>
        <w:t>De mogelijkheid om te leren van incidenten wanneer deze vertrouwelijk worden gehouden</w:t>
      </w:r>
      <w:r>
        <w:rPr>
          <w:rFonts w:ascii="Verdana" w:hAnsi="Verdana"/>
          <w:sz w:val="18"/>
          <w:szCs w:val="18"/>
        </w:rPr>
        <w:br/>
        <w:t>In paragraaf 8.3 van de memorie van toelichting en in de artikelsgewijze toelichting op artikel 3.22 wordt ingegaan op het melden van incidenten en wordt ook ingegaan op de</w:t>
      </w:r>
      <w:r w:rsidR="00F122E1">
        <w:rPr>
          <w:rFonts w:ascii="Verdana" w:hAnsi="Verdana"/>
          <w:sz w:val="18"/>
          <w:szCs w:val="18"/>
        </w:rPr>
        <w:t xml:space="preserve"> genoemde</w:t>
      </w:r>
      <w:r>
        <w:rPr>
          <w:rFonts w:ascii="Verdana" w:hAnsi="Verdana"/>
          <w:sz w:val="18"/>
          <w:szCs w:val="18"/>
        </w:rPr>
        <w:t xml:space="preserve"> aspecten.</w:t>
      </w:r>
      <w:r>
        <w:rPr>
          <w:rFonts w:ascii="Verdana" w:hAnsi="Verdana"/>
          <w:sz w:val="18"/>
          <w:szCs w:val="18"/>
        </w:rPr>
        <w:br/>
      </w:r>
    </w:p>
    <w:p w:rsidRPr="006E0992" w:rsidR="00E4114C" w:rsidP="00020EE1" w:rsidRDefault="00E4114C" w14:paraId="46F6BE51" w14:textId="77777777">
      <w:pPr>
        <w:spacing w:line="240" w:lineRule="auto"/>
        <w:rPr>
          <w:b/>
          <w:bCs/>
        </w:rPr>
      </w:pPr>
      <w:r w:rsidRPr="006E0992">
        <w:rPr>
          <w:b/>
          <w:bCs/>
        </w:rPr>
        <w:t>Betrokkenheid relevante partijen</w:t>
      </w:r>
    </w:p>
    <w:p w:rsidR="00E4114C" w:rsidP="00FB1AE9" w:rsidRDefault="00C15CC9" w14:paraId="02EFF7F4" w14:textId="38736823">
      <w:pPr>
        <w:tabs>
          <w:tab w:val="left" w:pos="519"/>
        </w:tabs>
        <w:spacing w:line="276" w:lineRule="auto"/>
      </w:pPr>
      <w:r>
        <w:t>Het wetsvoorstel</w:t>
      </w:r>
      <w:r w:rsidR="00E4114C">
        <w:t xml:space="preserve"> is voor de internetconsultatie met veel stakeholders afgestemd. Met name ProRail, ACM en ILT hebben intensief inbreng geleverd. De stakeholders zijn op de hoogte gebracht van het advies van de afdeling Advisering van de Raad van State en waar nodig betrokken bij de verwerking van het advies in het wetsvoorstel.</w:t>
      </w:r>
    </w:p>
    <w:p w:rsidR="00E4114C" w:rsidP="00FB1AE9" w:rsidRDefault="00BF4043" w14:paraId="4B080CE7" w14:textId="3EEE6301">
      <w:pPr>
        <w:tabs>
          <w:tab w:val="left" w:pos="519"/>
        </w:tabs>
        <w:spacing w:line="276" w:lineRule="auto"/>
      </w:pPr>
      <w:r>
        <w:t>Ook b</w:t>
      </w:r>
      <w:r w:rsidR="00E4114C">
        <w:t xml:space="preserve">ij het opstellen van de lagere regelgeving zijn en worden de stakeholders intensief betrokken. </w:t>
      </w:r>
      <w:r w:rsidR="00C15CC9">
        <w:t>D</w:t>
      </w:r>
      <w:r w:rsidR="00E4114C">
        <w:t>e komende tijd vindt over de lagere regelgeving nog</w:t>
      </w:r>
      <w:r w:rsidR="00C15CC9">
        <w:t xml:space="preserve"> verdere</w:t>
      </w:r>
      <w:r w:rsidR="00E4114C">
        <w:t xml:space="preserve"> afstemming plaats in aanloop naar de internetconsultatie.</w:t>
      </w:r>
    </w:p>
    <w:p w:rsidR="00AF2A4A" w:rsidP="00FB1AE9" w:rsidRDefault="00AF2A4A" w14:paraId="238606C1" w14:textId="77777777">
      <w:pPr>
        <w:tabs>
          <w:tab w:val="left" w:pos="519"/>
        </w:tabs>
        <w:spacing w:line="276" w:lineRule="auto"/>
      </w:pPr>
    </w:p>
    <w:p w:rsidRPr="00D97280" w:rsidR="00401D3E" w:rsidP="00D97280" w:rsidRDefault="00E4114C" w14:paraId="5BEAD382" w14:textId="04C8F48C">
      <w:pPr>
        <w:tabs>
          <w:tab w:val="left" w:pos="519"/>
        </w:tabs>
        <w:spacing w:line="276" w:lineRule="auto"/>
        <w:ind w:left="14"/>
        <w:rPr>
          <w:color w:val="211D1F"/>
        </w:rPr>
      </w:pPr>
      <w:r>
        <w:rPr>
          <w:color w:val="211D1F"/>
        </w:rPr>
        <w:t xml:space="preserve">Als </w:t>
      </w:r>
      <w:r w:rsidR="00F40335">
        <w:rPr>
          <w:color w:val="211D1F"/>
        </w:rPr>
        <w:t>de</w:t>
      </w:r>
      <w:r>
        <w:rPr>
          <w:color w:val="211D1F"/>
        </w:rPr>
        <w:t xml:space="preserve"> Kamer dit wenst, is </w:t>
      </w:r>
      <w:r w:rsidR="006B1973">
        <w:rPr>
          <w:color w:val="211D1F"/>
        </w:rPr>
        <w:t>het</w:t>
      </w:r>
      <w:r>
        <w:rPr>
          <w:color w:val="211D1F"/>
        </w:rPr>
        <w:t xml:space="preserve"> ministerie </w:t>
      </w:r>
      <w:r w:rsidR="006B1973">
        <w:rPr>
          <w:color w:val="211D1F"/>
        </w:rPr>
        <w:t xml:space="preserve">van Infrastructuur en Waterstaat </w:t>
      </w:r>
      <w:r>
        <w:rPr>
          <w:color w:val="211D1F"/>
        </w:rPr>
        <w:t xml:space="preserve">uiteraard graag bereid een technische </w:t>
      </w:r>
      <w:r w:rsidR="00C15CC9">
        <w:rPr>
          <w:color w:val="211D1F"/>
        </w:rPr>
        <w:t xml:space="preserve">briefing </w:t>
      </w:r>
      <w:r>
        <w:rPr>
          <w:color w:val="211D1F"/>
        </w:rPr>
        <w:t xml:space="preserve">te organiseren ter toelichting van het wetsvoorstel. </w:t>
      </w:r>
    </w:p>
    <w:p w:rsidR="00401D3E" w:rsidRDefault="003A663B" w14:paraId="5AC0FFF6" w14:textId="77777777">
      <w:pPr>
        <w:pStyle w:val="Slotzin"/>
      </w:pPr>
      <w:r>
        <w:t>Hoogachtend,</w:t>
      </w:r>
    </w:p>
    <w:p w:rsidR="00401D3E" w:rsidRDefault="003A663B" w14:paraId="39286320" w14:textId="77777777">
      <w:pPr>
        <w:pStyle w:val="OndertekeningArea1"/>
      </w:pPr>
      <w:r>
        <w:t>DE STAATSSECRETARIS VAN INFRASTRUCTUUR EN WATERSTAAT - OPENBAAR VERVOER EN MILIEU,</w:t>
      </w:r>
    </w:p>
    <w:p w:rsidR="00401D3E" w:rsidRDefault="00401D3E" w14:paraId="5D6F8589" w14:textId="77777777"/>
    <w:p w:rsidR="00401D3E" w:rsidRDefault="00401D3E" w14:paraId="1A62BA7B" w14:textId="77777777"/>
    <w:p w:rsidR="00401D3E" w:rsidRDefault="00401D3E" w14:paraId="5898AEC3" w14:textId="77777777"/>
    <w:p w:rsidR="00401D3E" w:rsidRDefault="00401D3E" w14:paraId="747563E0" w14:textId="77777777"/>
    <w:p w:rsidR="00401D3E" w:rsidRDefault="003A663B" w14:paraId="56857DF0" w14:textId="77777777">
      <w:r>
        <w:t>A.A. (Thierry) Aartsen</w:t>
      </w:r>
    </w:p>
    <w:sectPr w:rsidR="00401D3E">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C97E7" w14:textId="77777777" w:rsidR="00E37659" w:rsidRDefault="00E37659">
      <w:pPr>
        <w:spacing w:line="240" w:lineRule="auto"/>
      </w:pPr>
      <w:r>
        <w:separator/>
      </w:r>
    </w:p>
  </w:endnote>
  <w:endnote w:type="continuationSeparator" w:id="0">
    <w:p w14:paraId="6C80CC43" w14:textId="77777777" w:rsidR="00E37659" w:rsidRDefault="00E376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05DF0" w14:textId="77777777" w:rsidR="00E37659" w:rsidRDefault="00E37659">
      <w:pPr>
        <w:spacing w:line="240" w:lineRule="auto"/>
      </w:pPr>
      <w:r>
        <w:separator/>
      </w:r>
    </w:p>
  </w:footnote>
  <w:footnote w:type="continuationSeparator" w:id="0">
    <w:p w14:paraId="32A717E8" w14:textId="77777777" w:rsidR="00E37659" w:rsidRDefault="00E37659">
      <w:pPr>
        <w:spacing w:line="240" w:lineRule="auto"/>
      </w:pPr>
      <w:r>
        <w:continuationSeparator/>
      </w:r>
    </w:p>
  </w:footnote>
  <w:footnote w:id="1">
    <w:p w14:paraId="3B5A3966" w14:textId="02699799" w:rsidR="00E4114C" w:rsidRPr="0012669B" w:rsidRDefault="00E4114C" w:rsidP="00E4114C">
      <w:pPr>
        <w:pStyle w:val="FootnoteText"/>
        <w:rPr>
          <w:sz w:val="16"/>
          <w:szCs w:val="16"/>
        </w:rPr>
      </w:pPr>
      <w:r w:rsidRPr="0012669B">
        <w:rPr>
          <w:rStyle w:val="FootnoteReference"/>
          <w:sz w:val="16"/>
          <w:szCs w:val="16"/>
        </w:rPr>
        <w:footnoteRef/>
      </w:r>
      <w:r w:rsidRPr="0012669B">
        <w:rPr>
          <w:sz w:val="16"/>
          <w:szCs w:val="16"/>
        </w:rPr>
        <w:t xml:space="preserve"> </w:t>
      </w:r>
      <w:r w:rsidR="00E447AB">
        <w:rPr>
          <w:sz w:val="16"/>
          <w:szCs w:val="16"/>
        </w:rPr>
        <w:t>K</w:t>
      </w:r>
      <w:r w:rsidRPr="0012669B">
        <w:rPr>
          <w:sz w:val="16"/>
          <w:szCs w:val="16"/>
        </w:rPr>
        <w:t xml:space="preserve">enmerk </w:t>
      </w:r>
      <w:r w:rsidRPr="0012669B">
        <w:rPr>
          <w:rFonts w:cs="Verdana"/>
          <w:color w:val="auto"/>
          <w:sz w:val="16"/>
          <w:szCs w:val="16"/>
        </w:rPr>
        <w:t>2022Z16272/2022D40637</w:t>
      </w:r>
      <w:r w:rsidR="00AF2A4A">
        <w:rPr>
          <w:rFonts w:cs="Verdana"/>
          <w:color w:val="auto"/>
          <w:sz w:val="16"/>
          <w:szCs w:val="16"/>
        </w:rPr>
        <w:t>.</w:t>
      </w:r>
    </w:p>
  </w:footnote>
  <w:footnote w:id="2">
    <w:p w14:paraId="0A1AB9B1" w14:textId="2C73221A" w:rsidR="00B749CD" w:rsidRDefault="00B749CD">
      <w:pPr>
        <w:pStyle w:val="FootnoteText"/>
      </w:pPr>
      <w:r w:rsidRPr="00B749CD">
        <w:rPr>
          <w:rStyle w:val="FootnoteReference"/>
          <w:sz w:val="16"/>
          <w:szCs w:val="16"/>
        </w:rPr>
        <w:footnoteRef/>
      </w:r>
      <w:r w:rsidRPr="00B749CD">
        <w:rPr>
          <w:sz w:val="16"/>
          <w:szCs w:val="16"/>
        </w:rPr>
        <w:t xml:space="preserve"> Kenmerk 36807/2025D41375</w:t>
      </w:r>
    </w:p>
  </w:footnote>
  <w:footnote w:id="3">
    <w:p w14:paraId="174E1D5D" w14:textId="44AF736C" w:rsidR="000A4F24" w:rsidRPr="0012669B" w:rsidRDefault="000A4F24" w:rsidP="000A4F24">
      <w:pPr>
        <w:pStyle w:val="FootnoteText"/>
        <w:rPr>
          <w:sz w:val="16"/>
          <w:szCs w:val="16"/>
        </w:rPr>
      </w:pPr>
      <w:r w:rsidRPr="0012669B">
        <w:rPr>
          <w:rStyle w:val="FootnoteReference"/>
          <w:sz w:val="16"/>
          <w:szCs w:val="16"/>
        </w:rPr>
        <w:footnoteRef/>
      </w:r>
      <w:r w:rsidRPr="0012669B">
        <w:rPr>
          <w:sz w:val="16"/>
          <w:szCs w:val="16"/>
        </w:rPr>
        <w:t xml:space="preserve"> </w:t>
      </w:r>
      <w:r w:rsidRPr="0012669B">
        <w:rPr>
          <w:i/>
          <w:iCs/>
          <w:sz w:val="16"/>
          <w:szCs w:val="16"/>
        </w:rPr>
        <w:t>Kamerstukken II</w:t>
      </w:r>
      <w:r w:rsidRPr="0012669B">
        <w:rPr>
          <w:sz w:val="16"/>
          <w:szCs w:val="16"/>
        </w:rPr>
        <w:t xml:space="preserve"> 2018/2019, 29984, nr. 862.</w:t>
      </w:r>
    </w:p>
  </w:footnote>
  <w:footnote w:id="4">
    <w:p w14:paraId="43DCD875" w14:textId="77777777" w:rsidR="00FD0F86" w:rsidRPr="00E773E7" w:rsidRDefault="00FD0F86" w:rsidP="00FD0F86">
      <w:pPr>
        <w:pStyle w:val="FootnoteText"/>
        <w:rPr>
          <w:sz w:val="16"/>
          <w:szCs w:val="16"/>
        </w:rPr>
      </w:pPr>
      <w:r w:rsidRPr="00E773E7">
        <w:rPr>
          <w:rStyle w:val="FootnoteReference"/>
          <w:sz w:val="16"/>
          <w:szCs w:val="16"/>
        </w:rPr>
        <w:footnoteRef/>
      </w:r>
      <w:r w:rsidRPr="00E773E7">
        <w:rPr>
          <w:sz w:val="16"/>
          <w:szCs w:val="16"/>
        </w:rPr>
        <w:t xml:space="preserve"> De interoperabiliteitsrichtlijn heeft tot doel om te zorgen dat verschillende systemen en producten zonder beperkingen samen kunnen werken. Het gaat dan bijvoorbeeld om verschillende systemen binnen een spoorvoertuig, maar ook om de samenwerking tussen systemen in een spoorvoertuig en systemen die in het spoor liggen (zoals de treinbeveiliging).</w:t>
      </w:r>
    </w:p>
  </w:footnote>
  <w:footnote w:id="5">
    <w:p w14:paraId="1536DC49" w14:textId="6D22CB2F" w:rsidR="00F91153" w:rsidRPr="00E773E7" w:rsidRDefault="00F91153">
      <w:pPr>
        <w:pStyle w:val="FootnoteText"/>
        <w:rPr>
          <w:sz w:val="16"/>
          <w:szCs w:val="16"/>
        </w:rPr>
      </w:pPr>
      <w:r w:rsidRPr="00E773E7">
        <w:rPr>
          <w:rStyle w:val="FootnoteReference"/>
          <w:sz w:val="16"/>
          <w:szCs w:val="16"/>
        </w:rPr>
        <w:footnoteRef/>
      </w:r>
      <w:r w:rsidRPr="00E773E7">
        <w:rPr>
          <w:sz w:val="16"/>
          <w:szCs w:val="16"/>
        </w:rPr>
        <w:t xml:space="preserve"> Richtlijn 2012/34/EU</w:t>
      </w:r>
    </w:p>
  </w:footnote>
  <w:footnote w:id="6">
    <w:p w14:paraId="1F9E74E5" w14:textId="5AB762FF" w:rsidR="00E4114C" w:rsidRPr="00E773E7" w:rsidRDefault="00E4114C" w:rsidP="00E4114C">
      <w:pPr>
        <w:pStyle w:val="FootnoteText"/>
        <w:rPr>
          <w:sz w:val="16"/>
          <w:szCs w:val="16"/>
        </w:rPr>
      </w:pPr>
      <w:r w:rsidRPr="00E773E7">
        <w:rPr>
          <w:rStyle w:val="FootnoteReference"/>
          <w:sz w:val="16"/>
          <w:szCs w:val="16"/>
        </w:rPr>
        <w:footnoteRef/>
      </w:r>
      <w:r w:rsidRPr="00E773E7">
        <w:rPr>
          <w:sz w:val="16"/>
          <w:szCs w:val="16"/>
        </w:rPr>
        <w:t xml:space="preserve"> </w:t>
      </w:r>
      <w:r w:rsidRPr="00E773E7">
        <w:rPr>
          <w:i/>
          <w:iCs/>
          <w:sz w:val="16"/>
          <w:szCs w:val="16"/>
        </w:rPr>
        <w:t>Kamerstukken II</w:t>
      </w:r>
      <w:r w:rsidRPr="00E773E7">
        <w:rPr>
          <w:sz w:val="16"/>
          <w:szCs w:val="16"/>
        </w:rPr>
        <w:t xml:space="preserve"> 2019</w:t>
      </w:r>
      <w:r w:rsidR="00222064" w:rsidRPr="00E773E7">
        <w:rPr>
          <w:sz w:val="16"/>
          <w:szCs w:val="16"/>
        </w:rPr>
        <w:t>/</w:t>
      </w:r>
      <w:r w:rsidRPr="00E773E7">
        <w:rPr>
          <w:sz w:val="16"/>
          <w:szCs w:val="16"/>
        </w:rPr>
        <w:t>20, 35396, nr. 3.</w:t>
      </w:r>
    </w:p>
  </w:footnote>
  <w:footnote w:id="7">
    <w:p w14:paraId="1CF73E7A" w14:textId="5540273E" w:rsidR="00E4114C" w:rsidRPr="0012669B" w:rsidRDefault="00E4114C" w:rsidP="00E4114C">
      <w:pPr>
        <w:pStyle w:val="FootnoteText"/>
        <w:rPr>
          <w:sz w:val="16"/>
          <w:szCs w:val="16"/>
        </w:rPr>
      </w:pPr>
      <w:r w:rsidRPr="00E773E7">
        <w:rPr>
          <w:rStyle w:val="FootnoteReference"/>
          <w:sz w:val="16"/>
          <w:szCs w:val="16"/>
        </w:rPr>
        <w:footnoteRef/>
      </w:r>
      <w:r w:rsidRPr="00E773E7">
        <w:rPr>
          <w:sz w:val="16"/>
          <w:szCs w:val="16"/>
        </w:rPr>
        <w:t xml:space="preserve"> </w:t>
      </w:r>
      <w:r w:rsidRPr="00E773E7">
        <w:rPr>
          <w:i/>
          <w:iCs/>
          <w:sz w:val="16"/>
          <w:szCs w:val="16"/>
        </w:rPr>
        <w:t>Kamerstukken II</w:t>
      </w:r>
      <w:r w:rsidRPr="00E773E7">
        <w:rPr>
          <w:sz w:val="16"/>
          <w:szCs w:val="16"/>
        </w:rPr>
        <w:t xml:space="preserve"> 2023</w:t>
      </w:r>
      <w:r w:rsidR="00222064" w:rsidRPr="00E773E7">
        <w:rPr>
          <w:sz w:val="16"/>
          <w:szCs w:val="16"/>
        </w:rPr>
        <w:t>/</w:t>
      </w:r>
      <w:r w:rsidRPr="00E773E7">
        <w:rPr>
          <w:sz w:val="16"/>
          <w:szCs w:val="16"/>
        </w:rPr>
        <w:t>24, 35396, nr. 19.</w:t>
      </w:r>
    </w:p>
  </w:footnote>
  <w:footnote w:id="8">
    <w:p w14:paraId="2B00511F" w14:textId="1D1CE15D" w:rsidR="00F64064" w:rsidRPr="00E773E7" w:rsidRDefault="00F64064" w:rsidP="00F64064">
      <w:pPr>
        <w:pStyle w:val="FootnoteText"/>
        <w:rPr>
          <w:sz w:val="16"/>
          <w:szCs w:val="16"/>
        </w:rPr>
      </w:pPr>
      <w:r w:rsidRPr="00E773E7">
        <w:rPr>
          <w:rStyle w:val="FootnoteReference"/>
          <w:sz w:val="16"/>
          <w:szCs w:val="16"/>
        </w:rPr>
        <w:footnoteRef/>
      </w:r>
      <w:r w:rsidRPr="00E773E7">
        <w:rPr>
          <w:sz w:val="16"/>
          <w:szCs w:val="16"/>
        </w:rPr>
        <w:t xml:space="preserve"> </w:t>
      </w:r>
      <w:r w:rsidRPr="00E773E7">
        <w:rPr>
          <w:i/>
          <w:iCs/>
          <w:sz w:val="16"/>
          <w:szCs w:val="16"/>
        </w:rPr>
        <w:t>Kamerstukken II</w:t>
      </w:r>
      <w:r w:rsidRPr="00E773E7">
        <w:rPr>
          <w:sz w:val="16"/>
          <w:szCs w:val="16"/>
        </w:rPr>
        <w:t xml:space="preserve"> 2023/24, 22112, nr. 3822, </w:t>
      </w:r>
      <w:r w:rsidRPr="00E773E7">
        <w:rPr>
          <w:i/>
          <w:iCs/>
          <w:sz w:val="16"/>
          <w:szCs w:val="16"/>
        </w:rPr>
        <w:t>Kamerstukken II</w:t>
      </w:r>
      <w:r w:rsidRPr="00E773E7">
        <w:rPr>
          <w:sz w:val="16"/>
          <w:szCs w:val="16"/>
        </w:rPr>
        <w:t xml:space="preserve"> 2023/24, 21501-33, nr. 1046 en nr. 1071, </w:t>
      </w:r>
      <w:r w:rsidRPr="00E773E7">
        <w:rPr>
          <w:i/>
          <w:iCs/>
          <w:sz w:val="16"/>
          <w:szCs w:val="16"/>
        </w:rPr>
        <w:t>Kamerstukken II</w:t>
      </w:r>
      <w:r w:rsidRPr="00E773E7">
        <w:rPr>
          <w:sz w:val="16"/>
          <w:szCs w:val="16"/>
        </w:rPr>
        <w:t xml:space="preserve"> 2024/25, 21501-33, nr. 1129</w:t>
      </w:r>
      <w:r w:rsidR="005933C5" w:rsidRPr="00E773E7">
        <w:rPr>
          <w:sz w:val="16"/>
          <w:szCs w:val="16"/>
        </w:rPr>
        <w:t>.</w:t>
      </w:r>
    </w:p>
  </w:footnote>
  <w:footnote w:id="9">
    <w:p w14:paraId="593516F4" w14:textId="77777777" w:rsidR="000C4F38" w:rsidRPr="00E773E7" w:rsidRDefault="000C4F38" w:rsidP="000C4F38">
      <w:pPr>
        <w:pStyle w:val="FootnoteText"/>
        <w:rPr>
          <w:sz w:val="16"/>
          <w:szCs w:val="16"/>
        </w:rPr>
      </w:pPr>
      <w:r w:rsidRPr="00E773E7">
        <w:rPr>
          <w:rStyle w:val="FootnoteReference"/>
          <w:sz w:val="16"/>
          <w:szCs w:val="16"/>
        </w:rPr>
        <w:footnoteRef/>
      </w:r>
      <w:r w:rsidRPr="00E773E7">
        <w:rPr>
          <w:sz w:val="16"/>
          <w:szCs w:val="16"/>
        </w:rPr>
        <w:t xml:space="preserve"> </w:t>
      </w:r>
      <w:r w:rsidRPr="00293F92">
        <w:rPr>
          <w:i/>
          <w:iCs/>
          <w:sz w:val="16"/>
          <w:szCs w:val="16"/>
        </w:rPr>
        <w:t>Stb</w:t>
      </w:r>
      <w:r w:rsidRPr="00CC63D2">
        <w:rPr>
          <w:sz w:val="16"/>
          <w:szCs w:val="16"/>
        </w:rPr>
        <w:t xml:space="preserve"> 2025, 235.</w:t>
      </w:r>
    </w:p>
  </w:footnote>
  <w:footnote w:id="10">
    <w:p w14:paraId="1CAAC4CB" w14:textId="3EDBDC2B" w:rsidR="00E4114C" w:rsidRPr="0012669B" w:rsidRDefault="00E4114C" w:rsidP="00E4114C">
      <w:pPr>
        <w:pStyle w:val="FootnoteText"/>
        <w:rPr>
          <w:sz w:val="16"/>
          <w:szCs w:val="16"/>
        </w:rPr>
      </w:pPr>
      <w:r w:rsidRPr="00E773E7">
        <w:rPr>
          <w:rStyle w:val="FootnoteReference"/>
          <w:sz w:val="16"/>
          <w:szCs w:val="16"/>
        </w:rPr>
        <w:footnoteRef/>
      </w:r>
      <w:r w:rsidRPr="00E773E7">
        <w:rPr>
          <w:sz w:val="16"/>
          <w:szCs w:val="16"/>
        </w:rPr>
        <w:t xml:space="preserve"> </w:t>
      </w:r>
      <w:r w:rsidR="006A4E17" w:rsidRPr="00E773E7">
        <w:rPr>
          <w:i/>
          <w:iCs/>
          <w:sz w:val="16"/>
          <w:szCs w:val="16"/>
        </w:rPr>
        <w:t>Kamerstukken II</w:t>
      </w:r>
      <w:r w:rsidR="006A4E17" w:rsidRPr="00E773E7">
        <w:rPr>
          <w:sz w:val="16"/>
          <w:szCs w:val="16"/>
        </w:rPr>
        <w:t xml:space="preserve"> 2022/23, 29893, nr. 258</w:t>
      </w:r>
      <w:r w:rsidR="00AF2A4A" w:rsidRPr="00E773E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81AB2" w14:textId="77777777" w:rsidR="00401D3E" w:rsidRDefault="003A663B">
    <w:r>
      <w:rPr>
        <w:noProof/>
        <w:lang w:val="en-GB" w:eastAsia="en-GB"/>
      </w:rPr>
      <mc:AlternateContent>
        <mc:Choice Requires="wps">
          <w:drawing>
            <wp:anchor distT="0" distB="0" distL="0" distR="0" simplePos="0" relativeHeight="251651584" behindDoc="0" locked="1" layoutInCell="1" allowOverlap="1" wp14:anchorId="4BD09DFE" wp14:editId="1D49F237">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2CD1936" w14:textId="77777777" w:rsidR="00401D3E" w:rsidRDefault="003A663B">
                          <w:pPr>
                            <w:pStyle w:val="AfzendgegevensKop0"/>
                          </w:pPr>
                          <w:r>
                            <w:t>Ministerie van Infrastructuur en Waterstaat</w:t>
                          </w:r>
                        </w:p>
                        <w:p w14:paraId="35C548FE" w14:textId="77777777" w:rsidR="00E4114C" w:rsidRDefault="00E4114C" w:rsidP="00E4114C"/>
                        <w:p w14:paraId="4CC91B9B" w14:textId="77777777" w:rsidR="00E4114C" w:rsidRDefault="00E4114C" w:rsidP="008143E2">
                          <w:pPr>
                            <w:pStyle w:val="Referentiegegevenskop"/>
                            <w:spacing w:line="276" w:lineRule="auto"/>
                          </w:pPr>
                          <w:r>
                            <w:t>Ons kenmerk</w:t>
                          </w:r>
                        </w:p>
                        <w:p w14:paraId="1D2C6FC8" w14:textId="63AC1B2C" w:rsidR="00E4114C" w:rsidRPr="00E4114C" w:rsidRDefault="008143E2" w:rsidP="008143E2">
                          <w:pPr>
                            <w:spacing w:line="276" w:lineRule="auto"/>
                          </w:pPr>
                          <w:r w:rsidRPr="008143E2">
                            <w:rPr>
                              <w:sz w:val="13"/>
                              <w:szCs w:val="13"/>
                            </w:rPr>
                            <w:t>IENW/BSK-2025/241729</w:t>
                          </w:r>
                        </w:p>
                      </w:txbxContent>
                    </wps:txbx>
                    <wps:bodyPr vert="horz" wrap="square" lIns="0" tIns="0" rIns="0" bIns="0" anchor="t" anchorCtr="0"/>
                  </wps:wsp>
                </a:graphicData>
              </a:graphic>
            </wp:anchor>
          </w:drawing>
        </mc:Choice>
        <mc:Fallback>
          <w:pict>
            <v:shapetype w14:anchorId="4BD09DFE"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2CD1936" w14:textId="77777777" w:rsidR="00401D3E" w:rsidRDefault="003A663B">
                    <w:pPr>
                      <w:pStyle w:val="AfzendgegevensKop0"/>
                    </w:pPr>
                    <w:r>
                      <w:t>Ministerie van Infrastructuur en Waterstaat</w:t>
                    </w:r>
                  </w:p>
                  <w:p w14:paraId="35C548FE" w14:textId="77777777" w:rsidR="00E4114C" w:rsidRDefault="00E4114C" w:rsidP="00E4114C"/>
                  <w:p w14:paraId="4CC91B9B" w14:textId="77777777" w:rsidR="00E4114C" w:rsidRDefault="00E4114C" w:rsidP="008143E2">
                    <w:pPr>
                      <w:pStyle w:val="Referentiegegevenskop"/>
                      <w:spacing w:line="276" w:lineRule="auto"/>
                    </w:pPr>
                    <w:r>
                      <w:t>Ons kenmerk</w:t>
                    </w:r>
                  </w:p>
                  <w:p w14:paraId="1D2C6FC8" w14:textId="63AC1B2C" w:rsidR="00E4114C" w:rsidRPr="00E4114C" w:rsidRDefault="008143E2" w:rsidP="008143E2">
                    <w:pPr>
                      <w:spacing w:line="276" w:lineRule="auto"/>
                    </w:pPr>
                    <w:r w:rsidRPr="008143E2">
                      <w:rPr>
                        <w:sz w:val="13"/>
                        <w:szCs w:val="13"/>
                      </w:rPr>
                      <w:t>IENW/BSK-2025/241729</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8DDF2C2" wp14:editId="35B6E0F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D6048D6" w14:textId="77777777" w:rsidR="00401D3E" w:rsidRDefault="003A663B">
                          <w:pPr>
                            <w:pStyle w:val="Referentiegegevens"/>
                          </w:pPr>
                          <w:r>
                            <w:t xml:space="preserve">Pagina </w:t>
                          </w:r>
                          <w:r>
                            <w:fldChar w:fldCharType="begin"/>
                          </w:r>
                          <w:r>
                            <w:instrText>PAGE</w:instrText>
                          </w:r>
                          <w:r>
                            <w:fldChar w:fldCharType="separate"/>
                          </w:r>
                          <w:r w:rsidR="00E4114C">
                            <w:rPr>
                              <w:noProof/>
                            </w:rPr>
                            <w:t>1</w:t>
                          </w:r>
                          <w:r>
                            <w:fldChar w:fldCharType="end"/>
                          </w:r>
                          <w:r>
                            <w:t xml:space="preserve"> van </w:t>
                          </w:r>
                          <w:r>
                            <w:fldChar w:fldCharType="begin"/>
                          </w:r>
                          <w:r>
                            <w:instrText>NUMPAGES</w:instrText>
                          </w:r>
                          <w:r>
                            <w:fldChar w:fldCharType="separate"/>
                          </w:r>
                          <w:r w:rsidR="00E4114C">
                            <w:rPr>
                              <w:noProof/>
                            </w:rPr>
                            <w:t>1</w:t>
                          </w:r>
                          <w:r>
                            <w:fldChar w:fldCharType="end"/>
                          </w:r>
                        </w:p>
                      </w:txbxContent>
                    </wps:txbx>
                    <wps:bodyPr vert="horz" wrap="square" lIns="0" tIns="0" rIns="0" bIns="0" anchor="t" anchorCtr="0"/>
                  </wps:wsp>
                </a:graphicData>
              </a:graphic>
            </wp:anchor>
          </w:drawing>
        </mc:Choice>
        <mc:Fallback>
          <w:pict>
            <v:shape w14:anchorId="38DDF2C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D6048D6" w14:textId="77777777" w:rsidR="00401D3E" w:rsidRDefault="003A663B">
                    <w:pPr>
                      <w:pStyle w:val="Referentiegegevens"/>
                    </w:pPr>
                    <w:r>
                      <w:t xml:space="preserve">Pagina </w:t>
                    </w:r>
                    <w:r>
                      <w:fldChar w:fldCharType="begin"/>
                    </w:r>
                    <w:r>
                      <w:instrText>PAGE</w:instrText>
                    </w:r>
                    <w:r>
                      <w:fldChar w:fldCharType="separate"/>
                    </w:r>
                    <w:r w:rsidR="00E4114C">
                      <w:rPr>
                        <w:noProof/>
                      </w:rPr>
                      <w:t>1</w:t>
                    </w:r>
                    <w:r>
                      <w:fldChar w:fldCharType="end"/>
                    </w:r>
                    <w:r>
                      <w:t xml:space="preserve"> van </w:t>
                    </w:r>
                    <w:r>
                      <w:fldChar w:fldCharType="begin"/>
                    </w:r>
                    <w:r>
                      <w:instrText>NUMPAGES</w:instrText>
                    </w:r>
                    <w:r>
                      <w:fldChar w:fldCharType="separate"/>
                    </w:r>
                    <w:r w:rsidR="00E4114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3E0E0BC" wp14:editId="251A5BF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71C1E93" w14:textId="77777777" w:rsidR="00E23E78" w:rsidRDefault="00E23E78"/>
                      </w:txbxContent>
                    </wps:txbx>
                    <wps:bodyPr vert="horz" wrap="square" lIns="0" tIns="0" rIns="0" bIns="0" anchor="t" anchorCtr="0"/>
                  </wps:wsp>
                </a:graphicData>
              </a:graphic>
            </wp:anchor>
          </w:drawing>
        </mc:Choice>
        <mc:Fallback>
          <w:pict>
            <v:shape w14:anchorId="43E0E0BC"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71C1E93" w14:textId="77777777" w:rsidR="00E23E78" w:rsidRDefault="00E23E7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F462FF9" wp14:editId="42AB5439">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17A97FE" w14:textId="77777777" w:rsidR="00E23E78" w:rsidRDefault="00E23E78"/>
                      </w:txbxContent>
                    </wps:txbx>
                    <wps:bodyPr vert="horz" wrap="square" lIns="0" tIns="0" rIns="0" bIns="0" anchor="t" anchorCtr="0"/>
                  </wps:wsp>
                </a:graphicData>
              </a:graphic>
            </wp:anchor>
          </w:drawing>
        </mc:Choice>
        <mc:Fallback>
          <w:pict>
            <v:shape w14:anchorId="7F462FF9"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17A97FE" w14:textId="77777777" w:rsidR="00E23E78" w:rsidRDefault="00E23E78"/>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69122" w14:textId="77777777" w:rsidR="00401D3E" w:rsidRDefault="003A663B">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1CAF6C8" wp14:editId="226A3BF6">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DC5C9B2" w14:textId="77777777" w:rsidR="00E23E78" w:rsidRDefault="00E23E78"/>
                      </w:txbxContent>
                    </wps:txbx>
                    <wps:bodyPr vert="horz" wrap="square" lIns="0" tIns="0" rIns="0" bIns="0" anchor="t" anchorCtr="0"/>
                  </wps:wsp>
                </a:graphicData>
              </a:graphic>
            </wp:anchor>
          </w:drawing>
        </mc:Choice>
        <mc:Fallback>
          <w:pict>
            <v:shapetype w14:anchorId="41CAF6C8"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DC5C9B2" w14:textId="77777777" w:rsidR="00E23E78" w:rsidRDefault="00E23E7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08B1605" wp14:editId="52D8ACDC">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D6CA676" w14:textId="434CFD81" w:rsidR="00401D3E" w:rsidRDefault="003A663B">
                          <w:pPr>
                            <w:pStyle w:val="Referentiegegevens"/>
                          </w:pPr>
                          <w:r>
                            <w:t xml:space="preserve">Pagina </w:t>
                          </w:r>
                          <w:r>
                            <w:fldChar w:fldCharType="begin"/>
                          </w:r>
                          <w:r>
                            <w:instrText>PAGE</w:instrText>
                          </w:r>
                          <w:r>
                            <w:fldChar w:fldCharType="separate"/>
                          </w:r>
                          <w:r w:rsidR="00CB67F3">
                            <w:rPr>
                              <w:noProof/>
                            </w:rPr>
                            <w:t>1</w:t>
                          </w:r>
                          <w:r>
                            <w:fldChar w:fldCharType="end"/>
                          </w:r>
                          <w:r>
                            <w:t xml:space="preserve"> van </w:t>
                          </w:r>
                          <w:r>
                            <w:fldChar w:fldCharType="begin"/>
                          </w:r>
                          <w:r>
                            <w:instrText>NUMPAGES</w:instrText>
                          </w:r>
                          <w:r>
                            <w:fldChar w:fldCharType="separate"/>
                          </w:r>
                          <w:r w:rsidR="00CB67F3">
                            <w:rPr>
                              <w:noProof/>
                            </w:rPr>
                            <w:t>1</w:t>
                          </w:r>
                          <w:r>
                            <w:fldChar w:fldCharType="end"/>
                          </w:r>
                        </w:p>
                      </w:txbxContent>
                    </wps:txbx>
                    <wps:bodyPr vert="horz" wrap="square" lIns="0" tIns="0" rIns="0" bIns="0" anchor="t" anchorCtr="0"/>
                  </wps:wsp>
                </a:graphicData>
              </a:graphic>
            </wp:anchor>
          </w:drawing>
        </mc:Choice>
        <mc:Fallback>
          <w:pict>
            <v:shape w14:anchorId="608B1605"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D6CA676" w14:textId="434CFD81" w:rsidR="00401D3E" w:rsidRDefault="003A663B">
                    <w:pPr>
                      <w:pStyle w:val="Referentiegegevens"/>
                    </w:pPr>
                    <w:r>
                      <w:t xml:space="preserve">Pagina </w:t>
                    </w:r>
                    <w:r>
                      <w:fldChar w:fldCharType="begin"/>
                    </w:r>
                    <w:r>
                      <w:instrText>PAGE</w:instrText>
                    </w:r>
                    <w:r>
                      <w:fldChar w:fldCharType="separate"/>
                    </w:r>
                    <w:r w:rsidR="00CB67F3">
                      <w:rPr>
                        <w:noProof/>
                      </w:rPr>
                      <w:t>1</w:t>
                    </w:r>
                    <w:r>
                      <w:fldChar w:fldCharType="end"/>
                    </w:r>
                    <w:r>
                      <w:t xml:space="preserve"> van </w:t>
                    </w:r>
                    <w:r>
                      <w:fldChar w:fldCharType="begin"/>
                    </w:r>
                    <w:r>
                      <w:instrText>NUMPAGES</w:instrText>
                    </w:r>
                    <w:r>
                      <w:fldChar w:fldCharType="separate"/>
                    </w:r>
                    <w:r w:rsidR="00CB67F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D6C551A" wp14:editId="159A442C">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20D7755" w14:textId="77777777" w:rsidR="00401D3E" w:rsidRDefault="003A663B">
                          <w:pPr>
                            <w:pStyle w:val="AfzendgegevensKop0"/>
                          </w:pPr>
                          <w:r>
                            <w:t>Ministerie van Infrastructuur en Waterstaat</w:t>
                          </w:r>
                        </w:p>
                        <w:p w14:paraId="79A7C6ED" w14:textId="77777777" w:rsidR="00401D3E" w:rsidRDefault="00401D3E">
                          <w:pPr>
                            <w:pStyle w:val="WitregelW1"/>
                          </w:pPr>
                        </w:p>
                        <w:p w14:paraId="34876424" w14:textId="77777777" w:rsidR="00401D3E" w:rsidRDefault="003A663B">
                          <w:pPr>
                            <w:pStyle w:val="Afzendgegevens"/>
                          </w:pPr>
                          <w:r>
                            <w:t>Rijnstraat 8</w:t>
                          </w:r>
                        </w:p>
                        <w:p w14:paraId="49197E3D" w14:textId="7F69A1D6" w:rsidR="00401D3E" w:rsidRPr="00E4114C" w:rsidRDefault="003A663B">
                          <w:pPr>
                            <w:pStyle w:val="Afzendgegevens"/>
                            <w:rPr>
                              <w:lang w:val="de-DE"/>
                            </w:rPr>
                          </w:pPr>
                          <w:r w:rsidRPr="00E4114C">
                            <w:rPr>
                              <w:lang w:val="de-DE"/>
                            </w:rPr>
                            <w:t xml:space="preserve">2515 </w:t>
                          </w:r>
                          <w:r w:rsidR="00B67667" w:rsidRPr="00E4114C">
                            <w:rPr>
                              <w:lang w:val="de-DE"/>
                            </w:rPr>
                            <w:t>XP Den</w:t>
                          </w:r>
                          <w:r w:rsidRPr="00E4114C">
                            <w:rPr>
                              <w:lang w:val="de-DE"/>
                            </w:rPr>
                            <w:t xml:space="preserve"> Haag</w:t>
                          </w:r>
                        </w:p>
                        <w:p w14:paraId="720CB6BC" w14:textId="77777777" w:rsidR="00401D3E" w:rsidRPr="00E4114C" w:rsidRDefault="003A663B">
                          <w:pPr>
                            <w:pStyle w:val="Afzendgegevens"/>
                            <w:rPr>
                              <w:lang w:val="de-DE"/>
                            </w:rPr>
                          </w:pPr>
                          <w:r w:rsidRPr="00E4114C">
                            <w:rPr>
                              <w:lang w:val="de-DE"/>
                            </w:rPr>
                            <w:t>Postbus 20901</w:t>
                          </w:r>
                        </w:p>
                        <w:p w14:paraId="6CCB3C8F" w14:textId="77777777" w:rsidR="00401D3E" w:rsidRPr="00E4114C" w:rsidRDefault="003A663B">
                          <w:pPr>
                            <w:pStyle w:val="Afzendgegevens"/>
                            <w:rPr>
                              <w:lang w:val="de-DE"/>
                            </w:rPr>
                          </w:pPr>
                          <w:r w:rsidRPr="00E4114C">
                            <w:rPr>
                              <w:lang w:val="de-DE"/>
                            </w:rPr>
                            <w:t>2500 EX Den Haag</w:t>
                          </w:r>
                        </w:p>
                        <w:p w14:paraId="4BDF3A4D" w14:textId="77777777" w:rsidR="00401D3E" w:rsidRPr="00E4114C" w:rsidRDefault="00401D3E">
                          <w:pPr>
                            <w:pStyle w:val="WitregelW1"/>
                            <w:rPr>
                              <w:lang w:val="de-DE"/>
                            </w:rPr>
                          </w:pPr>
                        </w:p>
                        <w:p w14:paraId="4DCC7BA8" w14:textId="77777777" w:rsidR="00401D3E" w:rsidRPr="00E4114C" w:rsidRDefault="003A663B">
                          <w:pPr>
                            <w:pStyle w:val="Afzendgegevens"/>
                            <w:rPr>
                              <w:lang w:val="de-DE"/>
                            </w:rPr>
                          </w:pPr>
                          <w:r w:rsidRPr="00E4114C">
                            <w:rPr>
                              <w:lang w:val="de-DE"/>
                            </w:rPr>
                            <w:t>T   070-456 0000</w:t>
                          </w:r>
                        </w:p>
                        <w:p w14:paraId="38B0B426" w14:textId="77777777" w:rsidR="00401D3E" w:rsidRDefault="003A663B">
                          <w:pPr>
                            <w:pStyle w:val="Afzendgegevens"/>
                          </w:pPr>
                          <w:r>
                            <w:t>F   070-456 1111</w:t>
                          </w:r>
                        </w:p>
                        <w:p w14:paraId="6DFBE0A8" w14:textId="77777777" w:rsidR="00401D3E" w:rsidRDefault="00401D3E">
                          <w:pPr>
                            <w:pStyle w:val="WitregelW2"/>
                          </w:pPr>
                        </w:p>
                        <w:p w14:paraId="7557FD35" w14:textId="77777777" w:rsidR="00E4114C" w:rsidRDefault="00E4114C" w:rsidP="00E4114C">
                          <w:pPr>
                            <w:pStyle w:val="Referentiegegevenskop"/>
                          </w:pPr>
                          <w:r>
                            <w:t>Ons kenmerk</w:t>
                          </w:r>
                        </w:p>
                        <w:p w14:paraId="268271E4" w14:textId="0CCC51F0" w:rsidR="00E4114C" w:rsidRDefault="008143E2">
                          <w:pPr>
                            <w:pStyle w:val="Referentiegegevenskop"/>
                            <w:rPr>
                              <w:b w:val="0"/>
                            </w:rPr>
                          </w:pPr>
                          <w:r w:rsidRPr="008143E2">
                            <w:rPr>
                              <w:b w:val="0"/>
                            </w:rPr>
                            <w:t>IENW/BSK-2025/241729</w:t>
                          </w:r>
                        </w:p>
                        <w:p w14:paraId="0956DA47" w14:textId="77777777" w:rsidR="008143E2" w:rsidRPr="008143E2" w:rsidRDefault="008143E2" w:rsidP="008143E2"/>
                        <w:p w14:paraId="72E6787A" w14:textId="4F5C6458" w:rsidR="00401D3E" w:rsidRDefault="003A663B">
                          <w:pPr>
                            <w:pStyle w:val="Referentiegegevenskop"/>
                          </w:pPr>
                          <w:r>
                            <w:t>Bijlage(n)</w:t>
                          </w:r>
                        </w:p>
                        <w:p w14:paraId="0EA8CC72" w14:textId="3AC61AE5" w:rsidR="00401D3E" w:rsidRDefault="00B67667">
                          <w:pPr>
                            <w:pStyle w:val="Referentiegegevens"/>
                          </w:pPr>
                          <w:r>
                            <w:t>2</w:t>
                          </w:r>
                        </w:p>
                      </w:txbxContent>
                    </wps:txbx>
                    <wps:bodyPr vert="horz" wrap="square" lIns="0" tIns="0" rIns="0" bIns="0" anchor="t" anchorCtr="0"/>
                  </wps:wsp>
                </a:graphicData>
              </a:graphic>
            </wp:anchor>
          </w:drawing>
        </mc:Choice>
        <mc:Fallback>
          <w:pict>
            <v:shape w14:anchorId="5D6C551A"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20D7755" w14:textId="77777777" w:rsidR="00401D3E" w:rsidRDefault="003A663B">
                    <w:pPr>
                      <w:pStyle w:val="AfzendgegevensKop0"/>
                    </w:pPr>
                    <w:r>
                      <w:t>Ministerie van Infrastructuur en Waterstaat</w:t>
                    </w:r>
                  </w:p>
                  <w:p w14:paraId="79A7C6ED" w14:textId="77777777" w:rsidR="00401D3E" w:rsidRDefault="00401D3E">
                    <w:pPr>
                      <w:pStyle w:val="WitregelW1"/>
                    </w:pPr>
                  </w:p>
                  <w:p w14:paraId="34876424" w14:textId="77777777" w:rsidR="00401D3E" w:rsidRDefault="003A663B">
                    <w:pPr>
                      <w:pStyle w:val="Afzendgegevens"/>
                    </w:pPr>
                    <w:r>
                      <w:t>Rijnstraat 8</w:t>
                    </w:r>
                  </w:p>
                  <w:p w14:paraId="49197E3D" w14:textId="7F69A1D6" w:rsidR="00401D3E" w:rsidRPr="00E4114C" w:rsidRDefault="003A663B">
                    <w:pPr>
                      <w:pStyle w:val="Afzendgegevens"/>
                      <w:rPr>
                        <w:lang w:val="de-DE"/>
                      </w:rPr>
                    </w:pPr>
                    <w:r w:rsidRPr="00E4114C">
                      <w:rPr>
                        <w:lang w:val="de-DE"/>
                      </w:rPr>
                      <w:t xml:space="preserve">2515 </w:t>
                    </w:r>
                    <w:r w:rsidR="00B67667" w:rsidRPr="00E4114C">
                      <w:rPr>
                        <w:lang w:val="de-DE"/>
                      </w:rPr>
                      <w:t>XP Den</w:t>
                    </w:r>
                    <w:r w:rsidRPr="00E4114C">
                      <w:rPr>
                        <w:lang w:val="de-DE"/>
                      </w:rPr>
                      <w:t xml:space="preserve"> Haag</w:t>
                    </w:r>
                  </w:p>
                  <w:p w14:paraId="720CB6BC" w14:textId="77777777" w:rsidR="00401D3E" w:rsidRPr="00E4114C" w:rsidRDefault="003A663B">
                    <w:pPr>
                      <w:pStyle w:val="Afzendgegevens"/>
                      <w:rPr>
                        <w:lang w:val="de-DE"/>
                      </w:rPr>
                    </w:pPr>
                    <w:r w:rsidRPr="00E4114C">
                      <w:rPr>
                        <w:lang w:val="de-DE"/>
                      </w:rPr>
                      <w:t>Postbus 20901</w:t>
                    </w:r>
                  </w:p>
                  <w:p w14:paraId="6CCB3C8F" w14:textId="77777777" w:rsidR="00401D3E" w:rsidRPr="00E4114C" w:rsidRDefault="003A663B">
                    <w:pPr>
                      <w:pStyle w:val="Afzendgegevens"/>
                      <w:rPr>
                        <w:lang w:val="de-DE"/>
                      </w:rPr>
                    </w:pPr>
                    <w:r w:rsidRPr="00E4114C">
                      <w:rPr>
                        <w:lang w:val="de-DE"/>
                      </w:rPr>
                      <w:t>2500 EX Den Haag</w:t>
                    </w:r>
                  </w:p>
                  <w:p w14:paraId="4BDF3A4D" w14:textId="77777777" w:rsidR="00401D3E" w:rsidRPr="00E4114C" w:rsidRDefault="00401D3E">
                    <w:pPr>
                      <w:pStyle w:val="WitregelW1"/>
                      <w:rPr>
                        <w:lang w:val="de-DE"/>
                      </w:rPr>
                    </w:pPr>
                  </w:p>
                  <w:p w14:paraId="4DCC7BA8" w14:textId="77777777" w:rsidR="00401D3E" w:rsidRPr="00E4114C" w:rsidRDefault="003A663B">
                    <w:pPr>
                      <w:pStyle w:val="Afzendgegevens"/>
                      <w:rPr>
                        <w:lang w:val="de-DE"/>
                      </w:rPr>
                    </w:pPr>
                    <w:r w:rsidRPr="00E4114C">
                      <w:rPr>
                        <w:lang w:val="de-DE"/>
                      </w:rPr>
                      <w:t>T   070-456 0000</w:t>
                    </w:r>
                  </w:p>
                  <w:p w14:paraId="38B0B426" w14:textId="77777777" w:rsidR="00401D3E" w:rsidRDefault="003A663B">
                    <w:pPr>
                      <w:pStyle w:val="Afzendgegevens"/>
                    </w:pPr>
                    <w:r>
                      <w:t>F   070-456 1111</w:t>
                    </w:r>
                  </w:p>
                  <w:p w14:paraId="6DFBE0A8" w14:textId="77777777" w:rsidR="00401D3E" w:rsidRDefault="00401D3E">
                    <w:pPr>
                      <w:pStyle w:val="WitregelW2"/>
                    </w:pPr>
                  </w:p>
                  <w:p w14:paraId="7557FD35" w14:textId="77777777" w:rsidR="00E4114C" w:rsidRDefault="00E4114C" w:rsidP="00E4114C">
                    <w:pPr>
                      <w:pStyle w:val="Referentiegegevenskop"/>
                    </w:pPr>
                    <w:r>
                      <w:t>Ons kenmerk</w:t>
                    </w:r>
                  </w:p>
                  <w:p w14:paraId="268271E4" w14:textId="0CCC51F0" w:rsidR="00E4114C" w:rsidRDefault="008143E2">
                    <w:pPr>
                      <w:pStyle w:val="Referentiegegevenskop"/>
                      <w:rPr>
                        <w:b w:val="0"/>
                      </w:rPr>
                    </w:pPr>
                    <w:r w:rsidRPr="008143E2">
                      <w:rPr>
                        <w:b w:val="0"/>
                      </w:rPr>
                      <w:t>IENW/BSK-2025/241729</w:t>
                    </w:r>
                  </w:p>
                  <w:p w14:paraId="0956DA47" w14:textId="77777777" w:rsidR="008143E2" w:rsidRPr="008143E2" w:rsidRDefault="008143E2" w:rsidP="008143E2"/>
                  <w:p w14:paraId="72E6787A" w14:textId="4F5C6458" w:rsidR="00401D3E" w:rsidRDefault="003A663B">
                    <w:pPr>
                      <w:pStyle w:val="Referentiegegevenskop"/>
                    </w:pPr>
                    <w:r>
                      <w:t>Bijlage(n)</w:t>
                    </w:r>
                  </w:p>
                  <w:p w14:paraId="0EA8CC72" w14:textId="3AC61AE5" w:rsidR="00401D3E" w:rsidRDefault="00B67667">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FB81B44" wp14:editId="44FACC48">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675C942" w14:textId="77777777" w:rsidR="00401D3E" w:rsidRDefault="003A663B">
                          <w:pPr>
                            <w:spacing w:line="240" w:lineRule="auto"/>
                          </w:pPr>
                          <w:r>
                            <w:rPr>
                              <w:noProof/>
                              <w:lang w:val="en-GB" w:eastAsia="en-GB"/>
                            </w:rPr>
                            <w:drawing>
                              <wp:inline distT="0" distB="0" distL="0" distR="0" wp14:anchorId="49DCC850" wp14:editId="35FD8C2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FB81B44"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675C942" w14:textId="77777777" w:rsidR="00401D3E" w:rsidRDefault="003A663B">
                    <w:pPr>
                      <w:spacing w:line="240" w:lineRule="auto"/>
                    </w:pPr>
                    <w:r>
                      <w:rPr>
                        <w:noProof/>
                        <w:lang w:val="en-GB" w:eastAsia="en-GB"/>
                      </w:rPr>
                      <w:drawing>
                        <wp:inline distT="0" distB="0" distL="0" distR="0" wp14:anchorId="49DCC850" wp14:editId="35FD8C2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47BB20F" wp14:editId="786AC35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3A1F27" w14:textId="77777777" w:rsidR="00401D3E" w:rsidRDefault="003A663B">
                          <w:pPr>
                            <w:spacing w:line="240" w:lineRule="auto"/>
                          </w:pPr>
                          <w:r>
                            <w:rPr>
                              <w:noProof/>
                              <w:lang w:val="en-GB" w:eastAsia="en-GB"/>
                            </w:rPr>
                            <w:drawing>
                              <wp:inline distT="0" distB="0" distL="0" distR="0" wp14:anchorId="5AF6FEB3" wp14:editId="5095F1E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7BB20F"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13A1F27" w14:textId="77777777" w:rsidR="00401D3E" w:rsidRDefault="003A663B">
                    <w:pPr>
                      <w:spacing w:line="240" w:lineRule="auto"/>
                    </w:pPr>
                    <w:r>
                      <w:rPr>
                        <w:noProof/>
                        <w:lang w:val="en-GB" w:eastAsia="en-GB"/>
                      </w:rPr>
                      <w:drawing>
                        <wp:inline distT="0" distB="0" distL="0" distR="0" wp14:anchorId="5AF6FEB3" wp14:editId="5095F1E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2D59F6D" wp14:editId="4851EDF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3A18F40" w14:textId="77777777" w:rsidR="00401D3E" w:rsidRDefault="003A663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2D59F6D"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3A18F40" w14:textId="77777777" w:rsidR="00401D3E" w:rsidRDefault="003A663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A220C1F" wp14:editId="5737C55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89BE5C4" w14:textId="77777777" w:rsidR="00401D3E" w:rsidRDefault="003A663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A220C1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89BE5C4" w14:textId="77777777" w:rsidR="00401D3E" w:rsidRDefault="003A663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19BABA0" wp14:editId="1C13D200">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01D3E" w14:paraId="6C1FED0E" w14:textId="77777777">
                            <w:trPr>
                              <w:trHeight w:val="200"/>
                            </w:trPr>
                            <w:tc>
                              <w:tcPr>
                                <w:tcW w:w="1140" w:type="dxa"/>
                              </w:tcPr>
                              <w:p w14:paraId="311133AA" w14:textId="77777777" w:rsidR="00401D3E" w:rsidRDefault="00401D3E"/>
                            </w:tc>
                            <w:tc>
                              <w:tcPr>
                                <w:tcW w:w="5400" w:type="dxa"/>
                              </w:tcPr>
                              <w:p w14:paraId="7BF7CA7C" w14:textId="77777777" w:rsidR="00401D3E" w:rsidRDefault="00401D3E"/>
                            </w:tc>
                          </w:tr>
                          <w:tr w:rsidR="00401D3E" w14:paraId="6375BE09" w14:textId="77777777">
                            <w:trPr>
                              <w:trHeight w:val="240"/>
                            </w:trPr>
                            <w:tc>
                              <w:tcPr>
                                <w:tcW w:w="1140" w:type="dxa"/>
                              </w:tcPr>
                              <w:p w14:paraId="1FD63596" w14:textId="77777777" w:rsidR="00401D3E" w:rsidRPr="00E57614" w:rsidRDefault="003A663B">
                                <w:pPr>
                                  <w:rPr>
                                    <w:highlight w:val="yellow"/>
                                  </w:rPr>
                                </w:pPr>
                                <w:r w:rsidRPr="008143E2">
                                  <w:t>Datum</w:t>
                                </w:r>
                              </w:p>
                            </w:tc>
                            <w:tc>
                              <w:tcPr>
                                <w:tcW w:w="5400" w:type="dxa"/>
                              </w:tcPr>
                              <w:p w14:paraId="77D28CF0" w14:textId="766089B9" w:rsidR="00401D3E" w:rsidRDefault="00B67667">
                                <w:r>
                                  <w:t>25 september 2025</w:t>
                                </w:r>
                              </w:p>
                            </w:tc>
                          </w:tr>
                          <w:tr w:rsidR="00401D3E" w14:paraId="70A4068B" w14:textId="77777777">
                            <w:trPr>
                              <w:trHeight w:val="240"/>
                            </w:trPr>
                            <w:tc>
                              <w:tcPr>
                                <w:tcW w:w="1140" w:type="dxa"/>
                              </w:tcPr>
                              <w:p w14:paraId="37083A02" w14:textId="77777777" w:rsidR="00401D3E" w:rsidRDefault="003A663B">
                                <w:r>
                                  <w:t>Betreft</w:t>
                                </w:r>
                              </w:p>
                            </w:tc>
                            <w:tc>
                              <w:tcPr>
                                <w:tcW w:w="5400" w:type="dxa"/>
                              </w:tcPr>
                              <w:p w14:paraId="51A6374B" w14:textId="77777777" w:rsidR="00401D3E" w:rsidRDefault="003A663B">
                                <w:r>
                                  <w:t>Wetsvoorstel modernisering Spoorwegwet</w:t>
                                </w:r>
                              </w:p>
                            </w:tc>
                          </w:tr>
                          <w:tr w:rsidR="00401D3E" w14:paraId="2BBC86CE" w14:textId="77777777">
                            <w:trPr>
                              <w:trHeight w:val="200"/>
                            </w:trPr>
                            <w:tc>
                              <w:tcPr>
                                <w:tcW w:w="1140" w:type="dxa"/>
                              </w:tcPr>
                              <w:p w14:paraId="5F9BFB94" w14:textId="77777777" w:rsidR="00401D3E" w:rsidRDefault="00401D3E"/>
                            </w:tc>
                            <w:tc>
                              <w:tcPr>
                                <w:tcW w:w="5400" w:type="dxa"/>
                              </w:tcPr>
                              <w:p w14:paraId="7E0F4AFB" w14:textId="77777777" w:rsidR="00401D3E" w:rsidRDefault="00401D3E"/>
                            </w:tc>
                          </w:tr>
                        </w:tbl>
                        <w:p w14:paraId="7A8C5DFB" w14:textId="77777777" w:rsidR="00E23E78" w:rsidRDefault="00E23E78"/>
                      </w:txbxContent>
                    </wps:txbx>
                    <wps:bodyPr vert="horz" wrap="square" lIns="0" tIns="0" rIns="0" bIns="0" anchor="t" anchorCtr="0"/>
                  </wps:wsp>
                </a:graphicData>
              </a:graphic>
            </wp:anchor>
          </w:drawing>
        </mc:Choice>
        <mc:Fallback>
          <w:pict>
            <v:shape w14:anchorId="119BABA0"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401D3E" w14:paraId="6C1FED0E" w14:textId="77777777">
                      <w:trPr>
                        <w:trHeight w:val="200"/>
                      </w:trPr>
                      <w:tc>
                        <w:tcPr>
                          <w:tcW w:w="1140" w:type="dxa"/>
                        </w:tcPr>
                        <w:p w14:paraId="311133AA" w14:textId="77777777" w:rsidR="00401D3E" w:rsidRDefault="00401D3E"/>
                      </w:tc>
                      <w:tc>
                        <w:tcPr>
                          <w:tcW w:w="5400" w:type="dxa"/>
                        </w:tcPr>
                        <w:p w14:paraId="7BF7CA7C" w14:textId="77777777" w:rsidR="00401D3E" w:rsidRDefault="00401D3E"/>
                      </w:tc>
                    </w:tr>
                    <w:tr w:rsidR="00401D3E" w14:paraId="6375BE09" w14:textId="77777777">
                      <w:trPr>
                        <w:trHeight w:val="240"/>
                      </w:trPr>
                      <w:tc>
                        <w:tcPr>
                          <w:tcW w:w="1140" w:type="dxa"/>
                        </w:tcPr>
                        <w:p w14:paraId="1FD63596" w14:textId="77777777" w:rsidR="00401D3E" w:rsidRPr="00E57614" w:rsidRDefault="003A663B">
                          <w:pPr>
                            <w:rPr>
                              <w:highlight w:val="yellow"/>
                            </w:rPr>
                          </w:pPr>
                          <w:r w:rsidRPr="008143E2">
                            <w:t>Datum</w:t>
                          </w:r>
                        </w:p>
                      </w:tc>
                      <w:tc>
                        <w:tcPr>
                          <w:tcW w:w="5400" w:type="dxa"/>
                        </w:tcPr>
                        <w:p w14:paraId="77D28CF0" w14:textId="766089B9" w:rsidR="00401D3E" w:rsidRDefault="00B67667">
                          <w:r>
                            <w:t>25 september 2025</w:t>
                          </w:r>
                        </w:p>
                      </w:tc>
                    </w:tr>
                    <w:tr w:rsidR="00401D3E" w14:paraId="70A4068B" w14:textId="77777777">
                      <w:trPr>
                        <w:trHeight w:val="240"/>
                      </w:trPr>
                      <w:tc>
                        <w:tcPr>
                          <w:tcW w:w="1140" w:type="dxa"/>
                        </w:tcPr>
                        <w:p w14:paraId="37083A02" w14:textId="77777777" w:rsidR="00401D3E" w:rsidRDefault="003A663B">
                          <w:r>
                            <w:t>Betreft</w:t>
                          </w:r>
                        </w:p>
                      </w:tc>
                      <w:tc>
                        <w:tcPr>
                          <w:tcW w:w="5400" w:type="dxa"/>
                        </w:tcPr>
                        <w:p w14:paraId="51A6374B" w14:textId="77777777" w:rsidR="00401D3E" w:rsidRDefault="003A663B">
                          <w:r>
                            <w:t>Wetsvoorstel modernisering Spoorwegwet</w:t>
                          </w:r>
                        </w:p>
                      </w:tc>
                    </w:tr>
                    <w:tr w:rsidR="00401D3E" w14:paraId="2BBC86CE" w14:textId="77777777">
                      <w:trPr>
                        <w:trHeight w:val="200"/>
                      </w:trPr>
                      <w:tc>
                        <w:tcPr>
                          <w:tcW w:w="1140" w:type="dxa"/>
                        </w:tcPr>
                        <w:p w14:paraId="5F9BFB94" w14:textId="77777777" w:rsidR="00401D3E" w:rsidRDefault="00401D3E"/>
                      </w:tc>
                      <w:tc>
                        <w:tcPr>
                          <w:tcW w:w="5400" w:type="dxa"/>
                        </w:tcPr>
                        <w:p w14:paraId="7E0F4AFB" w14:textId="77777777" w:rsidR="00401D3E" w:rsidRDefault="00401D3E"/>
                      </w:tc>
                    </w:tr>
                  </w:tbl>
                  <w:p w14:paraId="7A8C5DFB" w14:textId="77777777" w:rsidR="00E23E78" w:rsidRDefault="00E23E7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F6BF84E" wp14:editId="2C21ABE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A09E88A" w14:textId="77777777" w:rsidR="00E23E78" w:rsidRDefault="00E23E78"/>
                      </w:txbxContent>
                    </wps:txbx>
                    <wps:bodyPr vert="horz" wrap="square" lIns="0" tIns="0" rIns="0" bIns="0" anchor="t" anchorCtr="0"/>
                  </wps:wsp>
                </a:graphicData>
              </a:graphic>
            </wp:anchor>
          </w:drawing>
        </mc:Choice>
        <mc:Fallback>
          <w:pict>
            <v:shape w14:anchorId="3F6BF84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A09E88A" w14:textId="77777777" w:rsidR="00E23E78" w:rsidRDefault="00E23E7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4F3712"/>
    <w:multiLevelType w:val="multilevel"/>
    <w:tmpl w:val="B415A71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801886"/>
    <w:multiLevelType w:val="multilevel"/>
    <w:tmpl w:val="B4B0A90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7DE7038"/>
    <w:multiLevelType w:val="multilevel"/>
    <w:tmpl w:val="100D37D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A823342"/>
    <w:multiLevelType w:val="multilevel"/>
    <w:tmpl w:val="F7BCEA15"/>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327072C"/>
    <w:multiLevelType w:val="multilevel"/>
    <w:tmpl w:val="E3593D2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997CC1F"/>
    <w:multiLevelType w:val="multilevel"/>
    <w:tmpl w:val="74F9A26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F097B3A"/>
    <w:multiLevelType w:val="multilevel"/>
    <w:tmpl w:val="3C95198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DCD3604E"/>
    <w:multiLevelType w:val="multilevel"/>
    <w:tmpl w:val="6BE3A51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2D8898F"/>
    <w:multiLevelType w:val="multilevel"/>
    <w:tmpl w:val="A507F17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2E438AA"/>
    <w:multiLevelType w:val="multilevel"/>
    <w:tmpl w:val="F0D3438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DF040B6"/>
    <w:multiLevelType w:val="multilevel"/>
    <w:tmpl w:val="7451F52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B4CA262"/>
    <w:multiLevelType w:val="multilevel"/>
    <w:tmpl w:val="51D20DA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B96DD1F"/>
    <w:multiLevelType w:val="multilevel"/>
    <w:tmpl w:val="F11B9C2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379F8E"/>
    <w:multiLevelType w:val="multilevel"/>
    <w:tmpl w:val="9619ACCD"/>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7E4E1FE"/>
    <w:multiLevelType w:val="multilevel"/>
    <w:tmpl w:val="9D59370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7FB230"/>
    <w:multiLevelType w:val="multilevel"/>
    <w:tmpl w:val="4F669F6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44FE4E"/>
    <w:multiLevelType w:val="multilevel"/>
    <w:tmpl w:val="E39B3E1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9D402D"/>
    <w:multiLevelType w:val="hybridMultilevel"/>
    <w:tmpl w:val="8D547B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3F82A30"/>
    <w:multiLevelType w:val="multilevel"/>
    <w:tmpl w:val="37BFC22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B13B84"/>
    <w:multiLevelType w:val="multilevel"/>
    <w:tmpl w:val="023BA87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3A0B94C3"/>
    <w:multiLevelType w:val="multilevel"/>
    <w:tmpl w:val="BD7643E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090F40"/>
    <w:multiLevelType w:val="multilevel"/>
    <w:tmpl w:val="40F5B4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CAAA6D"/>
    <w:multiLevelType w:val="multilevel"/>
    <w:tmpl w:val="12A4C78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1D384B"/>
    <w:multiLevelType w:val="multilevel"/>
    <w:tmpl w:val="F777CE3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1"/>
  </w:num>
  <w:num w:numId="4">
    <w:abstractNumId w:val="10"/>
  </w:num>
  <w:num w:numId="5">
    <w:abstractNumId w:val="6"/>
  </w:num>
  <w:num w:numId="6">
    <w:abstractNumId w:val="8"/>
  </w:num>
  <w:num w:numId="7">
    <w:abstractNumId w:val="20"/>
  </w:num>
  <w:num w:numId="8">
    <w:abstractNumId w:val="13"/>
  </w:num>
  <w:num w:numId="9">
    <w:abstractNumId w:val="15"/>
  </w:num>
  <w:num w:numId="10">
    <w:abstractNumId w:val="2"/>
  </w:num>
  <w:num w:numId="11">
    <w:abstractNumId w:val="21"/>
  </w:num>
  <w:num w:numId="12">
    <w:abstractNumId w:val="19"/>
  </w:num>
  <w:num w:numId="13">
    <w:abstractNumId w:val="18"/>
  </w:num>
  <w:num w:numId="14">
    <w:abstractNumId w:val="7"/>
  </w:num>
  <w:num w:numId="15">
    <w:abstractNumId w:val="0"/>
  </w:num>
  <w:num w:numId="16">
    <w:abstractNumId w:val="23"/>
  </w:num>
  <w:num w:numId="17">
    <w:abstractNumId w:val="14"/>
  </w:num>
  <w:num w:numId="18">
    <w:abstractNumId w:val="9"/>
  </w:num>
  <w:num w:numId="19">
    <w:abstractNumId w:val="4"/>
  </w:num>
  <w:num w:numId="20">
    <w:abstractNumId w:val="3"/>
  </w:num>
  <w:num w:numId="21">
    <w:abstractNumId w:val="16"/>
  </w:num>
  <w:num w:numId="22">
    <w:abstractNumId w:val="22"/>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4C"/>
    <w:rsid w:val="00020EE1"/>
    <w:rsid w:val="000457A7"/>
    <w:rsid w:val="00066CB2"/>
    <w:rsid w:val="00070A03"/>
    <w:rsid w:val="00074EE2"/>
    <w:rsid w:val="000A3442"/>
    <w:rsid w:val="000A4F24"/>
    <w:rsid w:val="000B1E2F"/>
    <w:rsid w:val="000C3225"/>
    <w:rsid w:val="000C4F38"/>
    <w:rsid w:val="000D753A"/>
    <w:rsid w:val="000F21B6"/>
    <w:rsid w:val="00102305"/>
    <w:rsid w:val="001126F9"/>
    <w:rsid w:val="00122B63"/>
    <w:rsid w:val="0012669B"/>
    <w:rsid w:val="001317D1"/>
    <w:rsid w:val="00147A0E"/>
    <w:rsid w:val="0018048E"/>
    <w:rsid w:val="001845AE"/>
    <w:rsid w:val="001A104E"/>
    <w:rsid w:val="001B26DA"/>
    <w:rsid w:val="001C32E7"/>
    <w:rsid w:val="001D47BD"/>
    <w:rsid w:val="00222064"/>
    <w:rsid w:val="00223338"/>
    <w:rsid w:val="00236B0A"/>
    <w:rsid w:val="00282897"/>
    <w:rsid w:val="002937AE"/>
    <w:rsid w:val="00293F92"/>
    <w:rsid w:val="002A3E44"/>
    <w:rsid w:val="002A44F2"/>
    <w:rsid w:val="002A4E72"/>
    <w:rsid w:val="002B06CD"/>
    <w:rsid w:val="002E4B9C"/>
    <w:rsid w:val="003212C3"/>
    <w:rsid w:val="003A663B"/>
    <w:rsid w:val="003C3490"/>
    <w:rsid w:val="003F4C2A"/>
    <w:rsid w:val="003F6908"/>
    <w:rsid w:val="00401D3E"/>
    <w:rsid w:val="004076BF"/>
    <w:rsid w:val="0041074B"/>
    <w:rsid w:val="0041266B"/>
    <w:rsid w:val="004303E4"/>
    <w:rsid w:val="00444808"/>
    <w:rsid w:val="00460CD0"/>
    <w:rsid w:val="004811AB"/>
    <w:rsid w:val="0048478C"/>
    <w:rsid w:val="00491080"/>
    <w:rsid w:val="0049681B"/>
    <w:rsid w:val="004B3E5D"/>
    <w:rsid w:val="004D078A"/>
    <w:rsid w:val="0051564E"/>
    <w:rsid w:val="00541A59"/>
    <w:rsid w:val="005526C1"/>
    <w:rsid w:val="00567E32"/>
    <w:rsid w:val="00576B37"/>
    <w:rsid w:val="005853CF"/>
    <w:rsid w:val="005864D7"/>
    <w:rsid w:val="005873C4"/>
    <w:rsid w:val="005933C5"/>
    <w:rsid w:val="005C75A4"/>
    <w:rsid w:val="00611321"/>
    <w:rsid w:val="00613ED9"/>
    <w:rsid w:val="00660E76"/>
    <w:rsid w:val="006858D4"/>
    <w:rsid w:val="006A3691"/>
    <w:rsid w:val="006A4E17"/>
    <w:rsid w:val="006B1973"/>
    <w:rsid w:val="00710DD1"/>
    <w:rsid w:val="00713525"/>
    <w:rsid w:val="0072629D"/>
    <w:rsid w:val="0074798E"/>
    <w:rsid w:val="007530FC"/>
    <w:rsid w:val="007D4205"/>
    <w:rsid w:val="007E2EBF"/>
    <w:rsid w:val="007E768F"/>
    <w:rsid w:val="007F6956"/>
    <w:rsid w:val="00810160"/>
    <w:rsid w:val="008143E2"/>
    <w:rsid w:val="00827E74"/>
    <w:rsid w:val="008730AF"/>
    <w:rsid w:val="00883532"/>
    <w:rsid w:val="008874E8"/>
    <w:rsid w:val="008A2334"/>
    <w:rsid w:val="008A274C"/>
    <w:rsid w:val="008A5DF3"/>
    <w:rsid w:val="008B70EB"/>
    <w:rsid w:val="008C2BFA"/>
    <w:rsid w:val="008E2D66"/>
    <w:rsid w:val="009006B5"/>
    <w:rsid w:val="00901A09"/>
    <w:rsid w:val="00912515"/>
    <w:rsid w:val="00915521"/>
    <w:rsid w:val="0096139A"/>
    <w:rsid w:val="00985BFB"/>
    <w:rsid w:val="009B3582"/>
    <w:rsid w:val="009C481C"/>
    <w:rsid w:val="009F3D41"/>
    <w:rsid w:val="00A00367"/>
    <w:rsid w:val="00A074C4"/>
    <w:rsid w:val="00A11F2A"/>
    <w:rsid w:val="00A7164E"/>
    <w:rsid w:val="00AD7E7F"/>
    <w:rsid w:val="00AE173B"/>
    <w:rsid w:val="00AF2A4A"/>
    <w:rsid w:val="00AF3F2B"/>
    <w:rsid w:val="00AF6228"/>
    <w:rsid w:val="00B04CAE"/>
    <w:rsid w:val="00B14674"/>
    <w:rsid w:val="00B50085"/>
    <w:rsid w:val="00B67667"/>
    <w:rsid w:val="00B700A7"/>
    <w:rsid w:val="00B71825"/>
    <w:rsid w:val="00B749CD"/>
    <w:rsid w:val="00B96060"/>
    <w:rsid w:val="00B97AEF"/>
    <w:rsid w:val="00BA021A"/>
    <w:rsid w:val="00BA3E69"/>
    <w:rsid w:val="00BB7A1B"/>
    <w:rsid w:val="00BD1774"/>
    <w:rsid w:val="00BE6FD0"/>
    <w:rsid w:val="00BF4043"/>
    <w:rsid w:val="00C1017E"/>
    <w:rsid w:val="00C15CC9"/>
    <w:rsid w:val="00C174DE"/>
    <w:rsid w:val="00C24C41"/>
    <w:rsid w:val="00C41BD7"/>
    <w:rsid w:val="00C94E4E"/>
    <w:rsid w:val="00CA482D"/>
    <w:rsid w:val="00CB3076"/>
    <w:rsid w:val="00CB67F3"/>
    <w:rsid w:val="00CC4ECD"/>
    <w:rsid w:val="00CC5735"/>
    <w:rsid w:val="00CC63D2"/>
    <w:rsid w:val="00CE1EB2"/>
    <w:rsid w:val="00D215B2"/>
    <w:rsid w:val="00D34299"/>
    <w:rsid w:val="00D618BA"/>
    <w:rsid w:val="00D63345"/>
    <w:rsid w:val="00D76F6D"/>
    <w:rsid w:val="00D97280"/>
    <w:rsid w:val="00DB5866"/>
    <w:rsid w:val="00DB6B5E"/>
    <w:rsid w:val="00DB747F"/>
    <w:rsid w:val="00DC6733"/>
    <w:rsid w:val="00E01F77"/>
    <w:rsid w:val="00E079C7"/>
    <w:rsid w:val="00E119EC"/>
    <w:rsid w:val="00E23E78"/>
    <w:rsid w:val="00E3370C"/>
    <w:rsid w:val="00E37659"/>
    <w:rsid w:val="00E4114C"/>
    <w:rsid w:val="00E447AB"/>
    <w:rsid w:val="00E56F54"/>
    <w:rsid w:val="00E57614"/>
    <w:rsid w:val="00E773E7"/>
    <w:rsid w:val="00E877F9"/>
    <w:rsid w:val="00EB3AC0"/>
    <w:rsid w:val="00EC071F"/>
    <w:rsid w:val="00EC2173"/>
    <w:rsid w:val="00ED10AC"/>
    <w:rsid w:val="00F122E1"/>
    <w:rsid w:val="00F40335"/>
    <w:rsid w:val="00F44B45"/>
    <w:rsid w:val="00F53153"/>
    <w:rsid w:val="00F57CED"/>
    <w:rsid w:val="00F60623"/>
    <w:rsid w:val="00F64064"/>
    <w:rsid w:val="00F66693"/>
    <w:rsid w:val="00F8206B"/>
    <w:rsid w:val="00F91153"/>
    <w:rsid w:val="00F97B06"/>
    <w:rsid w:val="00FA2514"/>
    <w:rsid w:val="00FB1AE9"/>
    <w:rsid w:val="00FB2A52"/>
    <w:rsid w:val="00FD0F86"/>
    <w:rsid w:val="00FE3989"/>
    <w:rsid w:val="00FF2D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2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4114C"/>
    <w:pPr>
      <w:tabs>
        <w:tab w:val="center" w:pos="4536"/>
        <w:tab w:val="right" w:pos="9072"/>
      </w:tabs>
      <w:spacing w:line="240" w:lineRule="auto"/>
    </w:pPr>
  </w:style>
  <w:style w:type="character" w:customStyle="1" w:styleId="HeaderChar">
    <w:name w:val="Header Char"/>
    <w:basedOn w:val="DefaultParagraphFont"/>
    <w:link w:val="Header"/>
    <w:uiPriority w:val="99"/>
    <w:rsid w:val="00E4114C"/>
    <w:rPr>
      <w:rFonts w:ascii="Verdana" w:hAnsi="Verdana"/>
      <w:color w:val="000000"/>
      <w:sz w:val="18"/>
      <w:szCs w:val="18"/>
    </w:rPr>
  </w:style>
  <w:style w:type="paragraph" w:styleId="Footer">
    <w:name w:val="footer"/>
    <w:basedOn w:val="Normal"/>
    <w:link w:val="FooterChar"/>
    <w:uiPriority w:val="99"/>
    <w:unhideWhenUsed/>
    <w:rsid w:val="00E4114C"/>
    <w:pPr>
      <w:tabs>
        <w:tab w:val="center" w:pos="4536"/>
        <w:tab w:val="right" w:pos="9072"/>
      </w:tabs>
      <w:spacing w:line="240" w:lineRule="auto"/>
    </w:pPr>
  </w:style>
  <w:style w:type="character" w:customStyle="1" w:styleId="FooterChar">
    <w:name w:val="Footer Char"/>
    <w:basedOn w:val="DefaultParagraphFont"/>
    <w:link w:val="Footer"/>
    <w:uiPriority w:val="99"/>
    <w:rsid w:val="00E4114C"/>
    <w:rPr>
      <w:rFonts w:ascii="Verdana" w:hAnsi="Verdana"/>
      <w:color w:val="000000"/>
      <w:sz w:val="18"/>
      <w:szCs w:val="18"/>
    </w:rPr>
  </w:style>
  <w:style w:type="paragraph" w:customStyle="1" w:styleId="Default">
    <w:name w:val="Default"/>
    <w:rsid w:val="00E4114C"/>
    <w:pPr>
      <w:autoSpaceDE w:val="0"/>
      <w:adjustRightInd w:val="0"/>
      <w:textAlignment w:val="auto"/>
    </w:pPr>
    <w:rPr>
      <w:rFonts w:ascii="Verdana" w:eastAsiaTheme="minorHAnsi" w:hAnsi="Verdana" w:cs="Verdana"/>
      <w:color w:val="000000"/>
      <w:sz w:val="24"/>
      <w:szCs w:val="24"/>
      <w:lang w:eastAsia="en-US"/>
      <w14:ligatures w14:val="standardContextual"/>
    </w:rPr>
  </w:style>
  <w:style w:type="paragraph" w:styleId="FootnoteText">
    <w:name w:val="footnote text"/>
    <w:basedOn w:val="Normal"/>
    <w:link w:val="FootnoteTextChar"/>
    <w:uiPriority w:val="99"/>
    <w:semiHidden/>
    <w:unhideWhenUsed/>
    <w:rsid w:val="00E4114C"/>
    <w:pPr>
      <w:spacing w:line="240" w:lineRule="auto"/>
    </w:pPr>
    <w:rPr>
      <w:sz w:val="20"/>
      <w:szCs w:val="20"/>
    </w:rPr>
  </w:style>
  <w:style w:type="character" w:customStyle="1" w:styleId="FootnoteTextChar">
    <w:name w:val="Footnote Text Char"/>
    <w:basedOn w:val="DefaultParagraphFont"/>
    <w:link w:val="FootnoteText"/>
    <w:uiPriority w:val="99"/>
    <w:semiHidden/>
    <w:rsid w:val="00E4114C"/>
    <w:rPr>
      <w:rFonts w:ascii="Verdana" w:hAnsi="Verdana"/>
      <w:color w:val="000000"/>
    </w:rPr>
  </w:style>
  <w:style w:type="character" w:styleId="FootnoteReference">
    <w:name w:val="footnote reference"/>
    <w:aliases w:val="Kop 4 Char1"/>
    <w:basedOn w:val="DefaultParagraphFont"/>
    <w:uiPriority w:val="99"/>
    <w:unhideWhenUsed/>
    <w:rsid w:val="00E4114C"/>
    <w:rPr>
      <w:vertAlign w:val="superscript"/>
    </w:rPr>
  </w:style>
  <w:style w:type="paragraph" w:styleId="ListParagraph">
    <w:name w:val="List Paragraph"/>
    <w:basedOn w:val="Normal"/>
    <w:uiPriority w:val="34"/>
    <w:qFormat/>
    <w:rsid w:val="00E4114C"/>
    <w:pPr>
      <w:autoSpaceDN/>
      <w:spacing w:line="240" w:lineRule="auto"/>
      <w:ind w:left="720"/>
      <w:contextualSpacing/>
      <w:textAlignment w:val="auto"/>
    </w:pPr>
    <w:rPr>
      <w:rFonts w:ascii="Times New Roman" w:eastAsia="Times New Roman" w:hAnsi="Times New Roman" w:cs="Times New Roman"/>
      <w:color w:val="auto"/>
      <w:sz w:val="24"/>
      <w:szCs w:val="24"/>
    </w:rPr>
  </w:style>
  <w:style w:type="paragraph" w:styleId="Revision">
    <w:name w:val="Revision"/>
    <w:hidden/>
    <w:uiPriority w:val="99"/>
    <w:semiHidden/>
    <w:rsid w:val="00660E76"/>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660E76"/>
    <w:rPr>
      <w:sz w:val="16"/>
      <w:szCs w:val="16"/>
    </w:rPr>
  </w:style>
  <w:style w:type="paragraph" w:styleId="CommentText">
    <w:name w:val="annotation text"/>
    <w:basedOn w:val="Normal"/>
    <w:link w:val="CommentTextChar"/>
    <w:uiPriority w:val="99"/>
    <w:unhideWhenUsed/>
    <w:rsid w:val="00660E76"/>
    <w:pPr>
      <w:spacing w:line="240" w:lineRule="auto"/>
    </w:pPr>
    <w:rPr>
      <w:sz w:val="20"/>
      <w:szCs w:val="20"/>
    </w:rPr>
  </w:style>
  <w:style w:type="character" w:customStyle="1" w:styleId="CommentTextChar">
    <w:name w:val="Comment Text Char"/>
    <w:basedOn w:val="DefaultParagraphFont"/>
    <w:link w:val="CommentText"/>
    <w:uiPriority w:val="99"/>
    <w:rsid w:val="00660E7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60E76"/>
    <w:rPr>
      <w:b/>
      <w:bCs/>
    </w:rPr>
  </w:style>
  <w:style w:type="character" w:customStyle="1" w:styleId="CommentSubjectChar">
    <w:name w:val="Comment Subject Char"/>
    <w:basedOn w:val="CommentTextChar"/>
    <w:link w:val="CommentSubject"/>
    <w:uiPriority w:val="99"/>
    <w:semiHidden/>
    <w:rsid w:val="00660E76"/>
    <w:rPr>
      <w:rFonts w:ascii="Verdana" w:hAnsi="Verdana"/>
      <w:b/>
      <w:bCs/>
      <w:color w:val="000000"/>
    </w:rPr>
  </w:style>
  <w:style w:type="character" w:customStyle="1" w:styleId="UnresolvedMention">
    <w:name w:val="Unresolved Mention"/>
    <w:basedOn w:val="DefaultParagraphFont"/>
    <w:uiPriority w:val="99"/>
    <w:semiHidden/>
    <w:unhideWhenUsed/>
    <w:rsid w:val="00222064"/>
    <w:rPr>
      <w:color w:val="605E5C"/>
      <w:shd w:val="clear" w:color="auto" w:fill="E1DFDD"/>
    </w:rPr>
  </w:style>
  <w:style w:type="character" w:styleId="FollowedHyperlink">
    <w:name w:val="FollowedHyperlink"/>
    <w:basedOn w:val="DefaultParagraphFont"/>
    <w:uiPriority w:val="99"/>
    <w:semiHidden/>
    <w:unhideWhenUsed/>
    <w:rsid w:val="002220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263125">
      <w:bodyDiv w:val="1"/>
      <w:marLeft w:val="0"/>
      <w:marRight w:val="0"/>
      <w:marTop w:val="0"/>
      <w:marBottom w:val="0"/>
      <w:divBdr>
        <w:top w:val="none" w:sz="0" w:space="0" w:color="auto"/>
        <w:left w:val="none" w:sz="0" w:space="0" w:color="auto"/>
        <w:bottom w:val="none" w:sz="0" w:space="0" w:color="auto"/>
        <w:right w:val="none" w:sz="0" w:space="0" w:color="auto"/>
      </w:divBdr>
      <w:divsChild>
        <w:div w:id="709302860">
          <w:marLeft w:val="0"/>
          <w:marRight w:val="0"/>
          <w:marTop w:val="0"/>
          <w:marBottom w:val="0"/>
          <w:divBdr>
            <w:top w:val="single" w:sz="6" w:space="9" w:color="CCCCCC"/>
            <w:left w:val="single" w:sz="6" w:space="6" w:color="CCCCCC"/>
            <w:bottom w:val="single" w:sz="6" w:space="9" w:color="CCCCCC"/>
            <w:right w:val="single" w:sz="6" w:space="24" w:color="CCCCCC"/>
          </w:divBdr>
          <w:divsChild>
            <w:div w:id="8382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1325</ap:Words>
  <ap:Characters>7559</ap:Characters>
  <ap:DocSecurity>0</ap:DocSecurity>
  <ap:Lines>62</ap:Lines>
  <ap:Paragraphs>17</ap:Paragraphs>
  <ap:ScaleCrop>false</ap:ScaleCrop>
  <ap:LinksUpToDate>false</ap:LinksUpToDate>
  <ap:CharactersWithSpaces>8867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2025-09-25T14:28:00.0000000Z</dcterms:created>
  <dcterms:modified xsi:type="dcterms:W3CDTF">2025-09-25T14:28:00.0000000Z</dcterms:modified>
  <dc:description>------------------------</dc:description>
  <version/>
  <category/>
</coreProperties>
</file>