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3440" w:rsidP="00FE3440" w:rsidRDefault="006A5E11" w14:paraId="3EFAE06F" w14:textId="5111BCC5">
      <w:pPr>
        <w:spacing w:after="0" w:line="276" w:lineRule="auto"/>
        <w:rPr>
          <w:rFonts w:ascii="Verdana" w:hAnsi="Verdana" w:eastAsia="MS Mincho" w:cstheme="minorHAnsi"/>
          <w:b/>
          <w:bCs/>
          <w:kern w:val="0"/>
          <w:sz w:val="18"/>
          <w:szCs w:val="18"/>
          <w:lang w:eastAsia="ja-JP"/>
          <w14:ligatures w14:val="none"/>
        </w:rPr>
      </w:pPr>
      <w:r w:rsidRPr="00FE3440">
        <w:rPr>
          <w:rFonts w:ascii="Verdana" w:hAnsi="Verdana" w:eastAsia="MS Mincho" w:cstheme="minorHAnsi"/>
          <w:b/>
          <w:bCs/>
          <w:kern w:val="0"/>
          <w:sz w:val="18"/>
          <w:szCs w:val="18"/>
          <w:lang w:eastAsia="ja-JP"/>
          <w14:ligatures w14:val="none"/>
        </w:rPr>
        <w:t xml:space="preserve">Geannoteerde Agenda </w:t>
      </w:r>
      <w:r w:rsidRPr="00FE3440" w:rsidR="00FE3440">
        <w:rPr>
          <w:rFonts w:ascii="Verdana" w:hAnsi="Verdana" w:eastAsia="MS Mincho" w:cstheme="minorHAnsi"/>
          <w:b/>
          <w:bCs/>
          <w:kern w:val="0"/>
          <w:sz w:val="18"/>
          <w:szCs w:val="18"/>
          <w:lang w:eastAsia="ja-JP"/>
          <w14:ligatures w14:val="none"/>
        </w:rPr>
        <w:t>informele Europese Raad</w:t>
      </w:r>
      <w:r w:rsidR="008D56C9">
        <w:rPr>
          <w:rFonts w:ascii="Verdana" w:hAnsi="Verdana" w:eastAsia="MS Mincho" w:cstheme="minorHAnsi"/>
          <w:b/>
          <w:bCs/>
          <w:kern w:val="0"/>
          <w:sz w:val="18"/>
          <w:szCs w:val="18"/>
          <w:lang w:eastAsia="ja-JP"/>
          <w14:ligatures w14:val="none"/>
        </w:rPr>
        <w:t xml:space="preserve"> 1 oktober </w:t>
      </w:r>
      <w:r w:rsidR="00C57876">
        <w:rPr>
          <w:rFonts w:ascii="Verdana" w:hAnsi="Verdana" w:eastAsia="MS Mincho" w:cstheme="minorHAnsi"/>
          <w:b/>
          <w:bCs/>
          <w:kern w:val="0"/>
          <w:sz w:val="18"/>
          <w:szCs w:val="18"/>
          <w:lang w:eastAsia="ja-JP"/>
          <w14:ligatures w14:val="none"/>
        </w:rPr>
        <w:t>en Europese Politieke Gemeenschap 2 oktober 2025</w:t>
      </w:r>
    </w:p>
    <w:p w:rsidR="00FE3440" w:rsidP="00FE3440" w:rsidRDefault="00FE3440" w14:paraId="6DFE79D5" w14:textId="77777777">
      <w:pPr>
        <w:spacing w:after="0" w:line="276" w:lineRule="auto"/>
        <w:rPr>
          <w:rFonts w:ascii="Verdana" w:hAnsi="Verdana" w:eastAsia="MS Mincho" w:cstheme="minorHAnsi"/>
          <w:b/>
          <w:bCs/>
          <w:kern w:val="0"/>
          <w:sz w:val="18"/>
          <w:szCs w:val="18"/>
          <w:lang w:eastAsia="ja-JP"/>
          <w14:ligatures w14:val="none"/>
        </w:rPr>
      </w:pPr>
    </w:p>
    <w:p w:rsidRPr="00363CE5" w:rsidR="00FE3440" w:rsidP="00FE3440" w:rsidRDefault="00363CE5" w14:paraId="25ACC628" w14:textId="2333C451">
      <w:pPr>
        <w:spacing w:after="0" w:line="276" w:lineRule="auto"/>
        <w:rPr>
          <w:rFonts w:ascii="Verdana" w:hAnsi="Verdana" w:eastAsia="MS Mincho" w:cstheme="minorHAnsi"/>
          <w:kern w:val="0"/>
          <w:sz w:val="18"/>
          <w:szCs w:val="18"/>
          <w:lang w:eastAsia="ja-JP"/>
          <w14:ligatures w14:val="none"/>
        </w:rPr>
      </w:pPr>
      <w:r w:rsidRPr="00363CE5">
        <w:rPr>
          <w:rFonts w:ascii="Verdana" w:hAnsi="Verdana" w:eastAsia="MS Mincho" w:cstheme="minorHAnsi"/>
          <w:kern w:val="0"/>
          <w:sz w:val="18"/>
          <w:szCs w:val="18"/>
          <w:lang w:eastAsia="ja-JP"/>
          <w14:ligatures w14:val="none"/>
        </w:rPr>
        <w:t xml:space="preserve">Op </w:t>
      </w:r>
      <w:r>
        <w:rPr>
          <w:rFonts w:ascii="Verdana" w:hAnsi="Verdana" w:eastAsia="MS Mincho" w:cstheme="minorHAnsi"/>
          <w:kern w:val="0"/>
          <w:sz w:val="18"/>
          <w:szCs w:val="18"/>
          <w:lang w:eastAsia="ja-JP"/>
          <w14:ligatures w14:val="none"/>
        </w:rPr>
        <w:t xml:space="preserve">woensdag 1 oktober a.s. </w:t>
      </w:r>
      <w:r w:rsidRPr="00363CE5">
        <w:rPr>
          <w:rFonts w:ascii="Verdana" w:hAnsi="Verdana" w:eastAsia="MS Mincho" w:cstheme="minorHAnsi"/>
          <w:kern w:val="0"/>
          <w:sz w:val="18"/>
          <w:szCs w:val="18"/>
          <w:lang w:eastAsia="ja-JP"/>
          <w14:ligatures w14:val="none"/>
        </w:rPr>
        <w:t xml:space="preserve">vindt een </w:t>
      </w:r>
      <w:r>
        <w:rPr>
          <w:rFonts w:ascii="Verdana" w:hAnsi="Verdana" w:eastAsia="MS Mincho" w:cstheme="minorHAnsi"/>
          <w:kern w:val="0"/>
          <w:sz w:val="18"/>
          <w:szCs w:val="18"/>
          <w:lang w:eastAsia="ja-JP"/>
          <w14:ligatures w14:val="none"/>
        </w:rPr>
        <w:t xml:space="preserve">informele </w:t>
      </w:r>
      <w:r w:rsidRPr="00363CE5">
        <w:rPr>
          <w:rFonts w:ascii="Verdana" w:hAnsi="Verdana" w:eastAsia="MS Mincho" w:cstheme="minorHAnsi"/>
          <w:kern w:val="0"/>
          <w:sz w:val="18"/>
          <w:szCs w:val="18"/>
          <w:lang w:eastAsia="ja-JP"/>
          <w14:ligatures w14:val="none"/>
        </w:rPr>
        <w:t xml:space="preserve">bijeenkomst van </w:t>
      </w:r>
      <w:r w:rsidR="00EE7CBD">
        <w:rPr>
          <w:rFonts w:ascii="Verdana" w:hAnsi="Verdana" w:eastAsia="MS Mincho" w:cstheme="minorHAnsi"/>
          <w:kern w:val="0"/>
          <w:sz w:val="18"/>
          <w:szCs w:val="18"/>
          <w:lang w:eastAsia="ja-JP"/>
          <w14:ligatures w14:val="none"/>
        </w:rPr>
        <w:t xml:space="preserve">de </w:t>
      </w:r>
      <w:r w:rsidRPr="00363CE5">
        <w:rPr>
          <w:rFonts w:ascii="Verdana" w:hAnsi="Verdana" w:eastAsia="MS Mincho" w:cstheme="minorHAnsi"/>
          <w:kern w:val="0"/>
          <w:sz w:val="18"/>
          <w:szCs w:val="18"/>
          <w:lang w:eastAsia="ja-JP"/>
          <w14:ligatures w14:val="none"/>
        </w:rPr>
        <w:t xml:space="preserve">leden van de Europese Raad </w:t>
      </w:r>
      <w:r w:rsidR="00C57876">
        <w:rPr>
          <w:rFonts w:ascii="Verdana" w:hAnsi="Verdana" w:eastAsia="MS Mincho" w:cstheme="minorHAnsi"/>
          <w:kern w:val="0"/>
          <w:sz w:val="18"/>
          <w:szCs w:val="18"/>
          <w:lang w:eastAsia="ja-JP"/>
          <w14:ligatures w14:val="none"/>
        </w:rPr>
        <w:t xml:space="preserve">(ER) </w:t>
      </w:r>
      <w:r w:rsidRPr="00363CE5">
        <w:rPr>
          <w:rFonts w:ascii="Verdana" w:hAnsi="Verdana" w:eastAsia="MS Mincho" w:cstheme="minorHAnsi"/>
          <w:kern w:val="0"/>
          <w:sz w:val="18"/>
          <w:szCs w:val="18"/>
          <w:lang w:eastAsia="ja-JP"/>
          <w14:ligatures w14:val="none"/>
        </w:rPr>
        <w:t>plaats</w:t>
      </w:r>
      <w:r w:rsidR="0024141C">
        <w:rPr>
          <w:rFonts w:ascii="Verdana" w:hAnsi="Verdana" w:eastAsia="MS Mincho" w:cstheme="minorHAnsi"/>
          <w:kern w:val="0"/>
          <w:sz w:val="18"/>
          <w:szCs w:val="18"/>
          <w:lang w:eastAsia="ja-JP"/>
          <w14:ligatures w14:val="none"/>
        </w:rPr>
        <w:t xml:space="preserve"> in Kopenhagen, op uitnodiging van het Deens voorzitterschap van de Raad</w:t>
      </w:r>
      <w:r w:rsidRPr="00363CE5">
        <w:rPr>
          <w:rFonts w:ascii="Verdana" w:hAnsi="Verdana" w:eastAsia="MS Mincho" w:cstheme="minorHAnsi"/>
          <w:kern w:val="0"/>
          <w:sz w:val="18"/>
          <w:szCs w:val="18"/>
          <w:lang w:eastAsia="ja-JP"/>
          <w14:ligatures w14:val="none"/>
        </w:rPr>
        <w:t>.</w:t>
      </w:r>
      <w:r>
        <w:rPr>
          <w:rFonts w:ascii="Verdana" w:hAnsi="Verdana" w:eastAsia="MS Mincho" w:cstheme="minorHAnsi"/>
          <w:kern w:val="0"/>
          <w:sz w:val="18"/>
          <w:szCs w:val="18"/>
          <w:lang w:eastAsia="ja-JP"/>
          <w14:ligatures w14:val="none"/>
        </w:rPr>
        <w:t xml:space="preserve"> </w:t>
      </w:r>
      <w:r w:rsidRPr="00363CE5">
        <w:rPr>
          <w:rFonts w:ascii="Verdana" w:hAnsi="Verdana" w:eastAsia="MS Mincho" w:cstheme="minorHAnsi"/>
          <w:kern w:val="0"/>
          <w:sz w:val="18"/>
          <w:szCs w:val="18"/>
          <w:lang w:eastAsia="ja-JP"/>
          <w14:ligatures w14:val="none"/>
        </w:rPr>
        <w:t xml:space="preserve">De </w:t>
      </w:r>
      <w:r w:rsidR="000D1FA1">
        <w:rPr>
          <w:rFonts w:ascii="Verdana" w:hAnsi="Verdana" w:eastAsia="MS Mincho" w:cstheme="minorHAnsi"/>
          <w:kern w:val="0"/>
          <w:sz w:val="18"/>
          <w:szCs w:val="18"/>
          <w:lang w:eastAsia="ja-JP"/>
          <w14:ligatures w14:val="none"/>
        </w:rPr>
        <w:t>regeringsleiders</w:t>
      </w:r>
      <w:r w:rsidRPr="00363CE5">
        <w:rPr>
          <w:rFonts w:ascii="Verdana" w:hAnsi="Verdana" w:eastAsia="MS Mincho" w:cstheme="minorHAnsi"/>
          <w:kern w:val="0"/>
          <w:sz w:val="18"/>
          <w:szCs w:val="18"/>
          <w:lang w:eastAsia="ja-JP"/>
          <w14:ligatures w14:val="none"/>
        </w:rPr>
        <w:t xml:space="preserve"> zullen spreken over Europese veiligheid en defensie en </w:t>
      </w:r>
      <w:r w:rsidR="00EE7CBD">
        <w:rPr>
          <w:rFonts w:ascii="Verdana" w:hAnsi="Verdana" w:eastAsia="MS Mincho" w:cstheme="minorHAnsi"/>
          <w:kern w:val="0"/>
          <w:sz w:val="18"/>
          <w:szCs w:val="18"/>
          <w:lang w:eastAsia="ja-JP"/>
          <w14:ligatures w14:val="none"/>
        </w:rPr>
        <w:t>de steun aan Oekraïne.</w:t>
      </w:r>
      <w:r w:rsidRPr="00363CE5">
        <w:rPr>
          <w:rFonts w:ascii="Verdana" w:hAnsi="Verdana" w:eastAsia="MS Mincho" w:cstheme="minorHAnsi"/>
          <w:kern w:val="0"/>
          <w:sz w:val="18"/>
          <w:szCs w:val="18"/>
          <w:lang w:eastAsia="ja-JP"/>
          <w14:ligatures w14:val="none"/>
        </w:rPr>
        <w:t xml:space="preserve"> Het betreft een informele bijeenkomst. Er worden geen besluiten genomen, noch conclusies of een verklaring aangenomen</w:t>
      </w:r>
      <w:r w:rsidR="00C57876">
        <w:rPr>
          <w:rFonts w:ascii="Verdana" w:hAnsi="Verdana" w:eastAsia="MS Mincho" w:cstheme="minorHAnsi"/>
          <w:kern w:val="0"/>
          <w:sz w:val="18"/>
          <w:szCs w:val="18"/>
          <w:lang w:eastAsia="ja-JP"/>
          <w14:ligatures w14:val="none"/>
        </w:rPr>
        <w:t>. Aansluitend vindt een bijeenkomst van de Europese Politieke Gemeenschap (EPG</w:t>
      </w:r>
      <w:r w:rsidR="00144B5E">
        <w:rPr>
          <w:rFonts w:ascii="Verdana" w:hAnsi="Verdana" w:eastAsia="MS Mincho" w:cstheme="minorHAnsi"/>
          <w:kern w:val="0"/>
          <w:sz w:val="18"/>
          <w:szCs w:val="18"/>
          <w:lang w:eastAsia="ja-JP"/>
          <w14:ligatures w14:val="none"/>
        </w:rPr>
        <w:t>)</w:t>
      </w:r>
      <w:r w:rsidR="00C57876">
        <w:rPr>
          <w:rFonts w:ascii="Verdana" w:hAnsi="Verdana" w:eastAsia="MS Mincho" w:cstheme="minorHAnsi"/>
          <w:kern w:val="0"/>
          <w:sz w:val="18"/>
          <w:szCs w:val="18"/>
          <w:lang w:eastAsia="ja-JP"/>
          <w14:ligatures w14:val="none"/>
        </w:rPr>
        <w:t xml:space="preserve"> plaats </w:t>
      </w:r>
      <w:r w:rsidR="000E665A">
        <w:rPr>
          <w:rFonts w:ascii="Verdana" w:hAnsi="Verdana" w:eastAsia="MS Mincho" w:cstheme="minorHAnsi"/>
          <w:kern w:val="0"/>
          <w:sz w:val="18"/>
          <w:szCs w:val="18"/>
          <w:lang w:eastAsia="ja-JP"/>
          <w14:ligatures w14:val="none"/>
        </w:rPr>
        <w:t xml:space="preserve">met als thema’s </w:t>
      </w:r>
      <w:r w:rsidR="00C57876">
        <w:rPr>
          <w:rFonts w:ascii="Verdana" w:hAnsi="Verdana" w:eastAsia="MS Mincho" w:cstheme="minorHAnsi"/>
          <w:kern w:val="0"/>
          <w:sz w:val="18"/>
          <w:szCs w:val="18"/>
          <w:lang w:eastAsia="ja-JP"/>
          <w14:ligatures w14:val="none"/>
        </w:rPr>
        <w:t xml:space="preserve">veiligheid en weerbaarheid, economische veiligheid en migratie. </w:t>
      </w:r>
    </w:p>
    <w:p w:rsidR="000E665A" w:rsidP="00FE3440" w:rsidRDefault="000E665A" w14:paraId="6A0C4191" w14:textId="77777777">
      <w:pPr>
        <w:spacing w:after="0" w:line="276" w:lineRule="auto"/>
        <w:rPr>
          <w:rFonts w:ascii="Verdana" w:hAnsi="Verdana" w:eastAsia="MS Mincho" w:cstheme="minorHAnsi"/>
          <w:kern w:val="0"/>
          <w:sz w:val="18"/>
          <w:szCs w:val="18"/>
          <w:lang w:eastAsia="ja-JP"/>
          <w14:ligatures w14:val="none"/>
        </w:rPr>
      </w:pPr>
    </w:p>
    <w:p w:rsidRPr="006C01BC" w:rsidR="000E665A" w:rsidP="00FE3440" w:rsidRDefault="000E665A" w14:paraId="73C3E3BB" w14:textId="162578C7">
      <w:pPr>
        <w:spacing w:after="0" w:line="276" w:lineRule="auto"/>
        <w:rPr>
          <w:rFonts w:ascii="Verdana" w:hAnsi="Verdana" w:eastAsia="MS Mincho" w:cstheme="minorHAnsi"/>
          <w:b/>
          <w:bCs/>
          <w:kern w:val="0"/>
          <w:sz w:val="18"/>
          <w:szCs w:val="18"/>
          <w:lang w:eastAsia="ja-JP"/>
          <w14:ligatures w14:val="none"/>
        </w:rPr>
      </w:pPr>
      <w:r w:rsidRPr="006C01BC">
        <w:rPr>
          <w:rFonts w:ascii="Verdana" w:hAnsi="Verdana" w:eastAsia="MS Mincho" w:cstheme="minorHAnsi"/>
          <w:b/>
          <w:bCs/>
          <w:kern w:val="0"/>
          <w:sz w:val="18"/>
          <w:szCs w:val="18"/>
          <w:lang w:eastAsia="ja-JP"/>
          <w14:ligatures w14:val="none"/>
        </w:rPr>
        <w:t>Informele Europese Raad</w:t>
      </w:r>
    </w:p>
    <w:p w:rsidRPr="00140F33" w:rsidR="00FE3440" w:rsidP="00FE3440" w:rsidRDefault="00FE3440" w14:paraId="085E4790" w14:textId="77777777">
      <w:pPr>
        <w:spacing w:after="0" w:line="276" w:lineRule="auto"/>
        <w:rPr>
          <w:rFonts w:ascii="Verdana" w:hAnsi="Verdana" w:eastAsia="MS Mincho" w:cstheme="minorHAnsi"/>
          <w:b/>
          <w:bCs/>
          <w:kern w:val="0"/>
          <w:sz w:val="18"/>
          <w:szCs w:val="18"/>
          <w:lang w:eastAsia="ja-JP"/>
          <w14:ligatures w14:val="none"/>
        </w:rPr>
      </w:pPr>
    </w:p>
    <w:p w:rsidR="00E15FD1" w:rsidP="00FE3440" w:rsidRDefault="00FE3440" w14:paraId="2E9C3750" w14:textId="0457FD9F">
      <w:pPr>
        <w:spacing w:after="0" w:line="276" w:lineRule="auto"/>
        <w:rPr>
          <w:rFonts w:ascii="Verdana" w:hAnsi="Verdana" w:eastAsia="MS Mincho" w:cstheme="minorHAnsi"/>
          <w:i/>
          <w:iCs/>
          <w:kern w:val="0"/>
          <w:sz w:val="18"/>
          <w:szCs w:val="18"/>
          <w:lang w:eastAsia="ja-JP"/>
          <w14:ligatures w14:val="none"/>
        </w:rPr>
      </w:pPr>
      <w:r w:rsidRPr="00AC2DD5">
        <w:rPr>
          <w:rFonts w:ascii="Verdana" w:hAnsi="Verdana" w:eastAsia="MS Mincho" w:cstheme="minorHAnsi"/>
          <w:i/>
          <w:iCs/>
          <w:kern w:val="0"/>
          <w:sz w:val="18"/>
          <w:szCs w:val="18"/>
          <w:lang w:eastAsia="ja-JP"/>
          <w14:ligatures w14:val="none"/>
        </w:rPr>
        <w:t xml:space="preserve">Europese </w:t>
      </w:r>
      <w:r w:rsidR="00E15FD1">
        <w:rPr>
          <w:rFonts w:ascii="Verdana" w:hAnsi="Verdana" w:eastAsia="MS Mincho" w:cstheme="minorHAnsi"/>
          <w:i/>
          <w:iCs/>
          <w:kern w:val="0"/>
          <w:sz w:val="18"/>
          <w:szCs w:val="18"/>
          <w:lang w:eastAsia="ja-JP"/>
          <w14:ligatures w14:val="none"/>
        </w:rPr>
        <w:t>veiligheid en defensie</w:t>
      </w:r>
    </w:p>
    <w:p w:rsidRPr="00DF7ABB" w:rsidR="00E15FD1" w:rsidP="00FE3440" w:rsidRDefault="00140F33" w14:paraId="1738D3BE" w14:textId="74A5E01D">
      <w:pPr>
        <w:spacing w:after="0" w:line="276" w:lineRule="auto"/>
        <w:rPr>
          <w:rFonts w:ascii="Verdana" w:hAnsi="Verdana" w:eastAsia="MS Mincho" w:cstheme="minorHAnsi"/>
          <w:kern w:val="0"/>
          <w:sz w:val="18"/>
          <w:szCs w:val="18"/>
          <w:lang w:eastAsia="ja-JP"/>
          <w14:ligatures w14:val="none"/>
        </w:rPr>
      </w:pPr>
      <w:r>
        <w:rPr>
          <w:rFonts w:ascii="Verdana" w:hAnsi="Verdana" w:eastAsia="MS Mincho" w:cstheme="minorHAnsi"/>
          <w:kern w:val="0"/>
          <w:sz w:val="18"/>
          <w:szCs w:val="18"/>
          <w:lang w:eastAsia="ja-JP"/>
          <w14:ligatures w14:val="none"/>
        </w:rPr>
        <w:t xml:space="preserve">Tijdens deze informele bijeenkomst van de </w:t>
      </w:r>
      <w:r w:rsidR="00646C08">
        <w:rPr>
          <w:rFonts w:ascii="Verdana" w:hAnsi="Verdana" w:eastAsia="MS Mincho" w:cstheme="minorHAnsi"/>
          <w:kern w:val="0"/>
          <w:sz w:val="18"/>
          <w:szCs w:val="18"/>
          <w:lang w:eastAsia="ja-JP"/>
          <w14:ligatures w14:val="none"/>
        </w:rPr>
        <w:t>ER</w:t>
      </w:r>
      <w:r w:rsidR="00E15FD1">
        <w:rPr>
          <w:rFonts w:ascii="Verdana" w:hAnsi="Verdana" w:eastAsia="MS Mincho" w:cstheme="minorHAnsi"/>
          <w:kern w:val="0"/>
          <w:sz w:val="18"/>
          <w:szCs w:val="18"/>
          <w:lang w:eastAsia="ja-JP"/>
          <w14:ligatures w14:val="none"/>
        </w:rPr>
        <w:t xml:space="preserve"> </w:t>
      </w:r>
      <w:r w:rsidR="00646C08">
        <w:rPr>
          <w:rFonts w:ascii="Verdana" w:hAnsi="Verdana" w:eastAsia="MS Mincho" w:cstheme="minorHAnsi"/>
          <w:kern w:val="0"/>
          <w:sz w:val="18"/>
          <w:szCs w:val="18"/>
          <w:lang w:eastAsia="ja-JP"/>
          <w14:ligatures w14:val="none"/>
        </w:rPr>
        <w:t>wordt de balans</w:t>
      </w:r>
      <w:r>
        <w:rPr>
          <w:rFonts w:ascii="Verdana" w:hAnsi="Verdana" w:eastAsia="MS Mincho" w:cstheme="minorHAnsi"/>
          <w:kern w:val="0"/>
          <w:sz w:val="18"/>
          <w:szCs w:val="18"/>
          <w:lang w:eastAsia="ja-JP"/>
          <w14:ligatures w14:val="none"/>
        </w:rPr>
        <w:t xml:space="preserve"> opgemaakt </w:t>
      </w:r>
      <w:r w:rsidR="00E15FD1">
        <w:rPr>
          <w:rFonts w:ascii="Verdana" w:hAnsi="Verdana" w:eastAsia="MS Mincho" w:cstheme="minorHAnsi"/>
          <w:kern w:val="0"/>
          <w:sz w:val="18"/>
          <w:szCs w:val="18"/>
          <w:lang w:eastAsia="ja-JP"/>
          <w14:ligatures w14:val="none"/>
        </w:rPr>
        <w:t xml:space="preserve">van </w:t>
      </w:r>
      <w:r w:rsidR="0069637B">
        <w:rPr>
          <w:rFonts w:ascii="Verdana" w:hAnsi="Verdana" w:eastAsia="MS Mincho" w:cstheme="minorHAnsi"/>
          <w:kern w:val="0"/>
          <w:sz w:val="18"/>
          <w:szCs w:val="18"/>
          <w:lang w:eastAsia="ja-JP"/>
          <w14:ligatures w14:val="none"/>
        </w:rPr>
        <w:t>d</w:t>
      </w:r>
      <w:r w:rsidR="00E15FD1">
        <w:rPr>
          <w:rFonts w:ascii="Verdana" w:hAnsi="Verdana" w:eastAsia="MS Mincho" w:cstheme="minorHAnsi"/>
          <w:kern w:val="0"/>
          <w:sz w:val="18"/>
          <w:szCs w:val="18"/>
          <w:lang w:eastAsia="ja-JP"/>
          <w14:ligatures w14:val="none"/>
        </w:rPr>
        <w:t xml:space="preserve">e lopende inspanningen ter versterking van de Europese veiligheid en defensie. De </w:t>
      </w:r>
      <w:r w:rsidR="0024141C">
        <w:rPr>
          <w:rFonts w:ascii="Verdana" w:hAnsi="Verdana" w:eastAsia="MS Mincho" w:cstheme="minorHAnsi"/>
          <w:kern w:val="0"/>
          <w:sz w:val="18"/>
          <w:szCs w:val="18"/>
          <w:lang w:eastAsia="ja-JP"/>
          <w14:ligatures w14:val="none"/>
        </w:rPr>
        <w:t>Europese</w:t>
      </w:r>
      <w:r w:rsidR="00E15FD1">
        <w:rPr>
          <w:rFonts w:ascii="Verdana" w:hAnsi="Verdana" w:eastAsia="MS Mincho" w:cstheme="minorHAnsi"/>
          <w:kern w:val="0"/>
          <w:sz w:val="18"/>
          <w:szCs w:val="18"/>
          <w:lang w:eastAsia="ja-JP"/>
          <w14:ligatures w14:val="none"/>
        </w:rPr>
        <w:t xml:space="preserve"> Commissie en de H</w:t>
      </w:r>
      <w:r w:rsidR="00646C08">
        <w:rPr>
          <w:rFonts w:ascii="Verdana" w:hAnsi="Verdana" w:eastAsia="MS Mincho" w:cstheme="minorHAnsi"/>
          <w:kern w:val="0"/>
          <w:sz w:val="18"/>
          <w:szCs w:val="18"/>
          <w:lang w:eastAsia="ja-JP"/>
          <w14:ligatures w14:val="none"/>
        </w:rPr>
        <w:t xml:space="preserve">oge Vertegenwoordiger </w:t>
      </w:r>
      <w:r w:rsidR="008D496B">
        <w:rPr>
          <w:rFonts w:ascii="Verdana" w:hAnsi="Verdana" w:eastAsia="MS Mincho" w:cstheme="minorHAnsi"/>
          <w:kern w:val="0"/>
          <w:sz w:val="18"/>
          <w:szCs w:val="18"/>
          <w:lang w:eastAsia="ja-JP"/>
          <w14:ligatures w14:val="none"/>
        </w:rPr>
        <w:t>(HV)</w:t>
      </w:r>
      <w:r w:rsidR="00646C08">
        <w:rPr>
          <w:rFonts w:ascii="Verdana" w:hAnsi="Verdana" w:eastAsia="MS Mincho" w:cstheme="minorHAnsi"/>
          <w:kern w:val="0"/>
          <w:sz w:val="18"/>
          <w:szCs w:val="18"/>
          <w:lang w:eastAsia="ja-JP"/>
          <w14:ligatures w14:val="none"/>
        </w:rPr>
        <w:t xml:space="preserve"> </w:t>
      </w:r>
      <w:r w:rsidR="00E15FD1">
        <w:rPr>
          <w:rFonts w:ascii="Verdana" w:hAnsi="Verdana" w:eastAsia="MS Mincho" w:cstheme="minorHAnsi"/>
          <w:kern w:val="0"/>
          <w:sz w:val="18"/>
          <w:szCs w:val="18"/>
          <w:lang w:eastAsia="ja-JP"/>
          <w14:ligatures w14:val="none"/>
        </w:rPr>
        <w:t xml:space="preserve">zullen op de ER van 23-24 oktober </w:t>
      </w:r>
      <w:r w:rsidR="0024141C">
        <w:rPr>
          <w:rFonts w:ascii="Verdana" w:hAnsi="Verdana" w:eastAsia="MS Mincho" w:cstheme="minorHAnsi"/>
          <w:kern w:val="0"/>
          <w:sz w:val="18"/>
          <w:szCs w:val="18"/>
          <w:lang w:eastAsia="ja-JP"/>
          <w14:ligatures w14:val="none"/>
        </w:rPr>
        <w:t>aanstaande</w:t>
      </w:r>
      <w:r w:rsidR="00E15FD1">
        <w:rPr>
          <w:rFonts w:ascii="Verdana" w:hAnsi="Verdana" w:eastAsia="MS Mincho" w:cstheme="minorHAnsi"/>
          <w:kern w:val="0"/>
          <w:sz w:val="18"/>
          <w:szCs w:val="18"/>
          <w:lang w:eastAsia="ja-JP"/>
          <w14:ligatures w14:val="none"/>
        </w:rPr>
        <w:t xml:space="preserve"> een routekaart publiceren die een overzicht moet vormen van alle inspanningen inzake defensiegereedheid 2030. Op de </w:t>
      </w:r>
      <w:r w:rsidR="00646C08">
        <w:rPr>
          <w:rFonts w:ascii="Verdana" w:hAnsi="Verdana" w:eastAsia="MS Mincho" w:cstheme="minorHAnsi"/>
          <w:kern w:val="0"/>
          <w:sz w:val="18"/>
          <w:szCs w:val="18"/>
          <w:lang w:eastAsia="ja-JP"/>
          <w14:ligatures w14:val="none"/>
        </w:rPr>
        <w:t>informele E</w:t>
      </w:r>
      <w:r w:rsidR="00E15FD1">
        <w:rPr>
          <w:rFonts w:ascii="Verdana" w:hAnsi="Verdana" w:eastAsia="MS Mincho" w:cstheme="minorHAnsi"/>
          <w:kern w:val="0"/>
          <w:sz w:val="18"/>
          <w:szCs w:val="18"/>
          <w:lang w:eastAsia="ja-JP"/>
          <w14:ligatures w14:val="none"/>
        </w:rPr>
        <w:t xml:space="preserve">R van 1 oktober </w:t>
      </w:r>
      <w:r w:rsidR="00B20D6C">
        <w:rPr>
          <w:rFonts w:ascii="Verdana" w:hAnsi="Verdana" w:eastAsia="MS Mincho" w:cstheme="minorHAnsi"/>
          <w:kern w:val="0"/>
          <w:sz w:val="18"/>
          <w:szCs w:val="18"/>
          <w:lang w:eastAsia="ja-JP"/>
          <w14:ligatures w14:val="none"/>
        </w:rPr>
        <w:t>bespreken</w:t>
      </w:r>
      <w:r w:rsidR="00E15FD1">
        <w:rPr>
          <w:rFonts w:ascii="Verdana" w:hAnsi="Verdana" w:eastAsia="MS Mincho" w:cstheme="minorHAnsi"/>
          <w:kern w:val="0"/>
          <w:sz w:val="18"/>
          <w:szCs w:val="18"/>
          <w:lang w:eastAsia="ja-JP"/>
          <w14:ligatures w14:val="none"/>
        </w:rPr>
        <w:t xml:space="preserve"> regeringsleiders welke elementen deze routekaart moet bevatten. Daarnaast zullen zij de voortgang bespreken op het gebied van de negen </w:t>
      </w:r>
      <w:r w:rsidR="00E15FD1">
        <w:rPr>
          <w:rFonts w:ascii="Verdana" w:hAnsi="Verdana" w:eastAsia="MS Mincho" w:cstheme="minorHAnsi"/>
          <w:i/>
          <w:iCs/>
          <w:kern w:val="0"/>
          <w:sz w:val="18"/>
          <w:szCs w:val="18"/>
          <w:lang w:eastAsia="ja-JP"/>
          <w14:ligatures w14:val="none"/>
        </w:rPr>
        <w:t xml:space="preserve">Prioritised </w:t>
      </w:r>
      <w:proofErr w:type="spellStart"/>
      <w:r w:rsidR="00E15FD1">
        <w:rPr>
          <w:rFonts w:ascii="Verdana" w:hAnsi="Verdana" w:eastAsia="MS Mincho" w:cstheme="minorHAnsi"/>
          <w:i/>
          <w:iCs/>
          <w:kern w:val="0"/>
          <w:sz w:val="18"/>
          <w:szCs w:val="18"/>
          <w:lang w:eastAsia="ja-JP"/>
          <w14:ligatures w14:val="none"/>
        </w:rPr>
        <w:t>Capability</w:t>
      </w:r>
      <w:proofErr w:type="spellEnd"/>
      <w:r w:rsidR="00E15FD1">
        <w:rPr>
          <w:rFonts w:ascii="Verdana" w:hAnsi="Verdana" w:eastAsia="MS Mincho" w:cstheme="minorHAnsi"/>
          <w:i/>
          <w:iCs/>
          <w:kern w:val="0"/>
          <w:sz w:val="18"/>
          <w:szCs w:val="18"/>
          <w:lang w:eastAsia="ja-JP"/>
          <w14:ligatures w14:val="none"/>
        </w:rPr>
        <w:t xml:space="preserve"> Areas </w:t>
      </w:r>
      <w:r w:rsidR="00E15FD1">
        <w:rPr>
          <w:rFonts w:ascii="Verdana" w:hAnsi="Verdana" w:eastAsia="MS Mincho" w:cstheme="minorHAnsi"/>
          <w:kern w:val="0"/>
          <w:sz w:val="18"/>
          <w:szCs w:val="18"/>
          <w:lang w:eastAsia="ja-JP"/>
          <w14:ligatures w14:val="none"/>
        </w:rPr>
        <w:t>(</w:t>
      </w:r>
      <w:proofErr w:type="spellStart"/>
      <w:r w:rsidR="00E15FD1">
        <w:rPr>
          <w:rFonts w:ascii="Verdana" w:hAnsi="Verdana" w:eastAsia="MS Mincho" w:cstheme="minorHAnsi"/>
          <w:kern w:val="0"/>
          <w:sz w:val="18"/>
          <w:szCs w:val="18"/>
          <w:lang w:eastAsia="ja-JP"/>
          <w14:ligatures w14:val="none"/>
        </w:rPr>
        <w:t>PCA’s</w:t>
      </w:r>
      <w:proofErr w:type="spellEnd"/>
      <w:r w:rsidR="00E15FD1">
        <w:rPr>
          <w:rFonts w:ascii="Verdana" w:hAnsi="Verdana" w:eastAsia="MS Mincho" w:cstheme="minorHAnsi"/>
          <w:kern w:val="0"/>
          <w:sz w:val="18"/>
          <w:szCs w:val="18"/>
          <w:lang w:eastAsia="ja-JP"/>
          <w14:ligatures w14:val="none"/>
        </w:rPr>
        <w:t xml:space="preserve">), zoals overeengekomen op de ER van </w:t>
      </w:r>
      <w:r w:rsidR="00552EE9">
        <w:rPr>
          <w:rFonts w:ascii="Verdana" w:hAnsi="Verdana" w:eastAsia="MS Mincho" w:cstheme="minorHAnsi"/>
          <w:kern w:val="0"/>
          <w:sz w:val="18"/>
          <w:szCs w:val="18"/>
          <w:lang w:eastAsia="ja-JP"/>
          <w14:ligatures w14:val="none"/>
        </w:rPr>
        <w:t>6</w:t>
      </w:r>
      <w:r w:rsidR="00E15FD1">
        <w:rPr>
          <w:rFonts w:ascii="Verdana" w:hAnsi="Verdana" w:eastAsia="MS Mincho" w:cstheme="minorHAnsi"/>
          <w:kern w:val="0"/>
          <w:sz w:val="18"/>
          <w:szCs w:val="18"/>
          <w:lang w:eastAsia="ja-JP"/>
          <w14:ligatures w14:val="none"/>
        </w:rPr>
        <w:t xml:space="preserve"> maart jl.</w:t>
      </w:r>
      <w:r w:rsidR="00646C08">
        <w:rPr>
          <w:rStyle w:val="FootnoteReference"/>
          <w:rFonts w:ascii="Verdana" w:hAnsi="Verdana" w:eastAsia="MS Mincho" w:cstheme="minorHAnsi"/>
          <w:kern w:val="0"/>
          <w:sz w:val="18"/>
          <w:szCs w:val="18"/>
          <w:lang w:eastAsia="ja-JP"/>
          <w14:ligatures w14:val="none"/>
        </w:rPr>
        <w:footnoteReference w:id="2"/>
      </w:r>
      <w:r w:rsidR="00E15FD1">
        <w:rPr>
          <w:rFonts w:ascii="Verdana" w:hAnsi="Verdana" w:eastAsia="MS Mincho" w:cstheme="minorHAnsi"/>
          <w:kern w:val="0"/>
          <w:sz w:val="18"/>
          <w:szCs w:val="18"/>
          <w:lang w:eastAsia="ja-JP"/>
          <w14:ligatures w14:val="none"/>
        </w:rPr>
        <w:t xml:space="preserve"> </w:t>
      </w:r>
      <w:r w:rsidR="00552EE9">
        <w:rPr>
          <w:rFonts w:ascii="Verdana" w:hAnsi="Verdana" w:eastAsia="MS Mincho" w:cstheme="minorHAnsi"/>
          <w:kern w:val="0"/>
          <w:sz w:val="18"/>
          <w:szCs w:val="18"/>
          <w:lang w:eastAsia="ja-JP"/>
          <w14:ligatures w14:val="none"/>
        </w:rPr>
        <w:t xml:space="preserve">en aangevuld met de </w:t>
      </w:r>
      <w:r w:rsidR="00B05CE1">
        <w:rPr>
          <w:rFonts w:ascii="Verdana" w:hAnsi="Verdana" w:eastAsia="MS Mincho" w:cstheme="minorHAnsi"/>
          <w:i/>
          <w:iCs/>
          <w:kern w:val="0"/>
          <w:sz w:val="18"/>
          <w:szCs w:val="18"/>
          <w:lang w:eastAsia="ja-JP"/>
          <w14:ligatures w14:val="none"/>
        </w:rPr>
        <w:t>Security Action for Europe</w:t>
      </w:r>
      <w:r w:rsidR="00552EE9">
        <w:rPr>
          <w:rFonts w:ascii="Verdana" w:hAnsi="Verdana" w:eastAsia="MS Mincho" w:cstheme="minorHAnsi"/>
          <w:kern w:val="0"/>
          <w:sz w:val="18"/>
          <w:szCs w:val="18"/>
          <w:lang w:eastAsia="ja-JP"/>
          <w14:ligatures w14:val="none"/>
        </w:rPr>
        <w:t>-verordening</w:t>
      </w:r>
      <w:r w:rsidR="00094A03">
        <w:rPr>
          <w:rFonts w:ascii="Verdana" w:hAnsi="Verdana" w:eastAsia="MS Mincho" w:cstheme="minorHAnsi"/>
          <w:kern w:val="0"/>
          <w:sz w:val="18"/>
          <w:szCs w:val="18"/>
          <w:lang w:eastAsia="ja-JP"/>
          <w14:ligatures w14:val="none"/>
        </w:rPr>
        <w:t xml:space="preserve"> (SAFE)</w:t>
      </w:r>
      <w:r w:rsidR="0069497C">
        <w:rPr>
          <w:rFonts w:ascii="Verdana" w:hAnsi="Verdana" w:eastAsia="MS Mincho" w:cstheme="minorHAnsi"/>
          <w:kern w:val="0"/>
          <w:sz w:val="18"/>
          <w:szCs w:val="18"/>
          <w:lang w:eastAsia="ja-JP"/>
          <w14:ligatures w14:val="none"/>
        </w:rPr>
        <w:t>.</w:t>
      </w:r>
      <w:r w:rsidR="00805A67">
        <w:rPr>
          <w:rStyle w:val="FootnoteReference"/>
          <w:rFonts w:ascii="Verdana" w:hAnsi="Verdana" w:eastAsia="MS Mincho" w:cstheme="minorHAnsi"/>
          <w:kern w:val="0"/>
          <w:sz w:val="18"/>
          <w:szCs w:val="18"/>
          <w:lang w:eastAsia="ja-JP"/>
          <w14:ligatures w14:val="none"/>
        </w:rPr>
        <w:footnoteReference w:id="3"/>
      </w:r>
      <w:r w:rsidR="00552EE9">
        <w:rPr>
          <w:rFonts w:ascii="Verdana" w:hAnsi="Verdana" w:eastAsia="MS Mincho" w:cstheme="minorHAnsi"/>
          <w:kern w:val="0"/>
          <w:sz w:val="18"/>
          <w:szCs w:val="18"/>
          <w:lang w:eastAsia="ja-JP"/>
          <w14:ligatures w14:val="none"/>
        </w:rPr>
        <w:t xml:space="preserve"> </w:t>
      </w:r>
      <w:r w:rsidR="00094A03">
        <w:rPr>
          <w:rFonts w:ascii="Verdana" w:hAnsi="Verdana" w:eastAsia="MS Mincho" w:cstheme="minorHAnsi"/>
          <w:kern w:val="0"/>
          <w:sz w:val="18"/>
          <w:szCs w:val="18"/>
          <w:lang w:eastAsia="ja-JP"/>
          <w14:ligatures w14:val="none"/>
        </w:rPr>
        <w:t>Voorafgaand aan</w:t>
      </w:r>
      <w:r w:rsidR="00E15FD1">
        <w:rPr>
          <w:rFonts w:ascii="Verdana" w:hAnsi="Verdana" w:eastAsia="MS Mincho" w:cstheme="minorHAnsi"/>
          <w:kern w:val="0"/>
          <w:sz w:val="18"/>
          <w:szCs w:val="18"/>
          <w:lang w:eastAsia="ja-JP"/>
          <w14:ligatures w14:val="none"/>
        </w:rPr>
        <w:t xml:space="preserve"> de informele RBZ-Defensie van 28-29 augustus jl. is een </w:t>
      </w:r>
      <w:r w:rsidR="00222442">
        <w:rPr>
          <w:rFonts w:ascii="Verdana" w:hAnsi="Verdana" w:eastAsia="MS Mincho" w:cstheme="minorHAnsi"/>
          <w:kern w:val="0"/>
          <w:sz w:val="18"/>
          <w:szCs w:val="18"/>
          <w:lang w:eastAsia="ja-JP"/>
          <w14:ligatures w14:val="none"/>
        </w:rPr>
        <w:t>lijst gedeeld</w:t>
      </w:r>
      <w:r w:rsidR="00E15FD1">
        <w:rPr>
          <w:rFonts w:ascii="Verdana" w:hAnsi="Verdana" w:eastAsia="MS Mincho" w:cstheme="minorHAnsi"/>
          <w:kern w:val="0"/>
          <w:sz w:val="18"/>
          <w:szCs w:val="18"/>
          <w:lang w:eastAsia="ja-JP"/>
          <w14:ligatures w14:val="none"/>
        </w:rPr>
        <w:t xml:space="preserve"> </w:t>
      </w:r>
      <w:r w:rsidR="00222442">
        <w:rPr>
          <w:rFonts w:ascii="Verdana" w:hAnsi="Verdana" w:eastAsia="MS Mincho" w:cstheme="minorHAnsi"/>
          <w:kern w:val="0"/>
          <w:sz w:val="18"/>
          <w:szCs w:val="18"/>
          <w:lang w:eastAsia="ja-JP"/>
          <w14:ligatures w14:val="none"/>
        </w:rPr>
        <w:t>met</w:t>
      </w:r>
      <w:r w:rsidR="00E15FD1">
        <w:rPr>
          <w:rFonts w:ascii="Verdana" w:hAnsi="Verdana" w:eastAsia="MS Mincho" w:cstheme="minorHAnsi"/>
          <w:kern w:val="0"/>
          <w:sz w:val="18"/>
          <w:szCs w:val="18"/>
          <w:lang w:eastAsia="ja-JP"/>
          <w14:ligatures w14:val="none"/>
        </w:rPr>
        <w:t xml:space="preserve"> EU-lidstat</w:t>
      </w:r>
      <w:r w:rsidR="00222442">
        <w:rPr>
          <w:rFonts w:ascii="Verdana" w:hAnsi="Verdana" w:eastAsia="MS Mincho" w:cstheme="minorHAnsi"/>
          <w:kern w:val="0"/>
          <w:sz w:val="18"/>
          <w:szCs w:val="18"/>
          <w:lang w:eastAsia="ja-JP"/>
          <w14:ligatures w14:val="none"/>
        </w:rPr>
        <w:t>en</w:t>
      </w:r>
      <w:r w:rsidR="00E15FD1">
        <w:rPr>
          <w:rFonts w:ascii="Verdana" w:hAnsi="Verdana" w:eastAsia="MS Mincho" w:cstheme="minorHAnsi"/>
          <w:kern w:val="0"/>
          <w:sz w:val="18"/>
          <w:szCs w:val="18"/>
          <w:lang w:eastAsia="ja-JP"/>
          <w14:ligatures w14:val="none"/>
        </w:rPr>
        <w:t xml:space="preserve"> </w:t>
      </w:r>
      <w:r w:rsidR="00222442">
        <w:rPr>
          <w:rFonts w:ascii="Verdana" w:hAnsi="Verdana" w:eastAsia="MS Mincho" w:cstheme="minorHAnsi"/>
          <w:kern w:val="0"/>
          <w:sz w:val="18"/>
          <w:szCs w:val="18"/>
          <w:lang w:eastAsia="ja-JP"/>
          <w14:ligatures w14:val="none"/>
        </w:rPr>
        <w:t>die interesse hebben om</w:t>
      </w:r>
      <w:r w:rsidR="00E15FD1">
        <w:rPr>
          <w:rFonts w:ascii="Verdana" w:hAnsi="Verdana" w:eastAsia="MS Mincho" w:cstheme="minorHAnsi"/>
          <w:kern w:val="0"/>
          <w:sz w:val="18"/>
          <w:szCs w:val="18"/>
          <w:lang w:eastAsia="ja-JP"/>
          <w14:ligatures w14:val="none"/>
        </w:rPr>
        <w:t xml:space="preserve"> (mede) de leiding </w:t>
      </w:r>
      <w:r w:rsidR="00222442">
        <w:rPr>
          <w:rFonts w:ascii="Verdana" w:hAnsi="Verdana" w:eastAsia="MS Mincho" w:cstheme="minorHAnsi"/>
          <w:kern w:val="0"/>
          <w:sz w:val="18"/>
          <w:szCs w:val="18"/>
          <w:lang w:eastAsia="ja-JP"/>
          <w14:ligatures w14:val="none"/>
        </w:rPr>
        <w:t>te</w:t>
      </w:r>
      <w:r w:rsidR="00E15FD1">
        <w:rPr>
          <w:rFonts w:ascii="Verdana" w:hAnsi="Verdana" w:eastAsia="MS Mincho" w:cstheme="minorHAnsi"/>
          <w:kern w:val="0"/>
          <w:sz w:val="18"/>
          <w:szCs w:val="18"/>
          <w:lang w:eastAsia="ja-JP"/>
          <w14:ligatures w14:val="none"/>
        </w:rPr>
        <w:t xml:space="preserve"> nemen op  de </w:t>
      </w:r>
      <w:proofErr w:type="spellStart"/>
      <w:r w:rsidR="00E15FD1">
        <w:rPr>
          <w:rFonts w:ascii="Verdana" w:hAnsi="Verdana" w:eastAsia="MS Mincho" w:cstheme="minorHAnsi"/>
          <w:kern w:val="0"/>
          <w:sz w:val="18"/>
          <w:szCs w:val="18"/>
          <w:lang w:eastAsia="ja-JP"/>
          <w14:ligatures w14:val="none"/>
        </w:rPr>
        <w:t>PCA’s</w:t>
      </w:r>
      <w:proofErr w:type="spellEnd"/>
      <w:r w:rsidR="00E15FD1">
        <w:rPr>
          <w:rFonts w:ascii="Verdana" w:hAnsi="Verdana" w:eastAsia="MS Mincho" w:cstheme="minorHAnsi"/>
          <w:kern w:val="0"/>
          <w:sz w:val="18"/>
          <w:szCs w:val="18"/>
          <w:lang w:eastAsia="ja-JP"/>
          <w14:ligatures w14:val="none"/>
        </w:rPr>
        <w:t>.</w:t>
      </w:r>
      <w:r w:rsidR="00646C08">
        <w:rPr>
          <w:rStyle w:val="FootnoteReference"/>
          <w:rFonts w:ascii="Verdana" w:hAnsi="Verdana" w:eastAsia="MS Mincho" w:cstheme="minorHAnsi"/>
          <w:kern w:val="0"/>
          <w:sz w:val="18"/>
          <w:szCs w:val="18"/>
          <w:lang w:eastAsia="ja-JP"/>
          <w14:ligatures w14:val="none"/>
        </w:rPr>
        <w:footnoteReference w:id="4"/>
      </w:r>
      <w:r w:rsidR="00E15FD1">
        <w:rPr>
          <w:rFonts w:ascii="Verdana" w:hAnsi="Verdana" w:eastAsia="MS Mincho" w:cstheme="minorHAnsi"/>
          <w:kern w:val="0"/>
          <w:sz w:val="18"/>
          <w:szCs w:val="18"/>
          <w:lang w:eastAsia="ja-JP"/>
          <w14:ligatures w14:val="none"/>
        </w:rPr>
        <w:t xml:space="preserve"> Nederland heeft aangeboden de leiding te nemen op de PCA</w:t>
      </w:r>
      <w:r w:rsidR="004A0882">
        <w:rPr>
          <w:rFonts w:ascii="Verdana" w:hAnsi="Verdana" w:eastAsia="MS Mincho" w:cstheme="minorHAnsi"/>
          <w:kern w:val="0"/>
          <w:sz w:val="18"/>
          <w:szCs w:val="18"/>
          <w:lang w:eastAsia="ja-JP"/>
          <w14:ligatures w14:val="none"/>
        </w:rPr>
        <w:t>-</w:t>
      </w:r>
      <w:r w:rsidR="00E15FD1">
        <w:rPr>
          <w:rFonts w:ascii="Verdana" w:hAnsi="Verdana" w:eastAsia="MS Mincho" w:cstheme="minorHAnsi"/>
          <w:kern w:val="0"/>
          <w:sz w:val="18"/>
          <w:szCs w:val="18"/>
          <w:lang w:eastAsia="ja-JP"/>
          <w14:ligatures w14:val="none"/>
        </w:rPr>
        <w:t xml:space="preserve">drones en counter-drones, </w:t>
      </w:r>
      <w:r w:rsidR="00BC5B85">
        <w:rPr>
          <w:rFonts w:ascii="Verdana" w:hAnsi="Verdana" w:eastAsia="MS Mincho" w:cstheme="minorHAnsi"/>
          <w:kern w:val="0"/>
          <w:sz w:val="18"/>
          <w:szCs w:val="18"/>
          <w:lang w:eastAsia="ja-JP"/>
          <w14:ligatures w14:val="none"/>
        </w:rPr>
        <w:t>evenals</w:t>
      </w:r>
      <w:r w:rsidR="000D4A71">
        <w:rPr>
          <w:rFonts w:ascii="Verdana" w:hAnsi="Verdana" w:eastAsia="MS Mincho" w:cstheme="minorHAnsi"/>
          <w:kern w:val="0"/>
          <w:sz w:val="18"/>
          <w:szCs w:val="18"/>
          <w:lang w:eastAsia="ja-JP"/>
          <w14:ligatures w14:val="none"/>
        </w:rPr>
        <w:t xml:space="preserve"> </w:t>
      </w:r>
      <w:r w:rsidR="00E15FD1">
        <w:rPr>
          <w:rFonts w:ascii="Verdana" w:hAnsi="Verdana" w:eastAsia="MS Mincho" w:cstheme="minorHAnsi"/>
          <w:kern w:val="0"/>
          <w:sz w:val="18"/>
          <w:szCs w:val="18"/>
          <w:lang w:eastAsia="ja-JP"/>
          <w14:ligatures w14:val="none"/>
        </w:rPr>
        <w:t xml:space="preserve">Letland en Kroatië, en de PCA militaire mobiliteit, </w:t>
      </w:r>
      <w:r w:rsidR="00BC5B85">
        <w:rPr>
          <w:rFonts w:ascii="Verdana" w:hAnsi="Verdana" w:eastAsia="MS Mincho" w:cstheme="minorHAnsi"/>
          <w:kern w:val="0"/>
          <w:sz w:val="18"/>
          <w:szCs w:val="18"/>
          <w:lang w:eastAsia="ja-JP"/>
          <w14:ligatures w14:val="none"/>
        </w:rPr>
        <w:t>evenals</w:t>
      </w:r>
      <w:r w:rsidR="00E15FD1">
        <w:rPr>
          <w:rFonts w:ascii="Verdana" w:hAnsi="Verdana" w:eastAsia="MS Mincho" w:cstheme="minorHAnsi"/>
          <w:kern w:val="0"/>
          <w:sz w:val="18"/>
          <w:szCs w:val="18"/>
          <w:lang w:eastAsia="ja-JP"/>
          <w14:ligatures w14:val="none"/>
        </w:rPr>
        <w:t xml:space="preserve"> Duitsland en Belgi</w:t>
      </w:r>
      <w:r w:rsidRPr="00E15FD1" w:rsidR="00E15FD1">
        <w:rPr>
          <w:rFonts w:ascii="Verdana" w:hAnsi="Verdana" w:eastAsia="MS Mincho" w:cstheme="minorHAnsi"/>
          <w:kern w:val="0"/>
          <w:sz w:val="18"/>
          <w:szCs w:val="18"/>
          <w:lang w:eastAsia="ja-JP"/>
          <w14:ligatures w14:val="none"/>
        </w:rPr>
        <w:t>ë</w:t>
      </w:r>
      <w:r w:rsidR="00E15FD1">
        <w:rPr>
          <w:rFonts w:ascii="Verdana" w:hAnsi="Verdana" w:eastAsia="MS Mincho" w:cstheme="minorHAnsi"/>
          <w:kern w:val="0"/>
          <w:sz w:val="18"/>
          <w:szCs w:val="18"/>
          <w:lang w:eastAsia="ja-JP"/>
          <w14:ligatures w14:val="none"/>
        </w:rPr>
        <w:t>.</w:t>
      </w:r>
    </w:p>
    <w:p w:rsidRPr="00DF7ABB" w:rsidR="00E412C1" w:rsidP="00FE3440" w:rsidRDefault="00E412C1" w14:paraId="2555C4FC" w14:textId="77777777">
      <w:pPr>
        <w:spacing w:after="0" w:line="276" w:lineRule="auto"/>
        <w:rPr>
          <w:rFonts w:ascii="Verdana" w:hAnsi="Verdana" w:eastAsia="MS Mincho" w:cstheme="minorHAnsi"/>
          <w:kern w:val="0"/>
          <w:sz w:val="18"/>
          <w:szCs w:val="18"/>
          <w:lang w:eastAsia="ja-JP"/>
          <w14:ligatures w14:val="none"/>
        </w:rPr>
      </w:pPr>
    </w:p>
    <w:p w:rsidRPr="00820454" w:rsidR="000710F9" w:rsidP="00FE3440" w:rsidRDefault="00420425" w14:paraId="04EEB6B3" w14:textId="4992160C">
      <w:pPr>
        <w:spacing w:after="0" w:line="276" w:lineRule="auto"/>
        <w:rPr>
          <w:rFonts w:ascii="Verdana" w:hAnsi="Verdana" w:eastAsia="MS Mincho"/>
          <w:kern w:val="0"/>
          <w:sz w:val="18"/>
          <w:szCs w:val="18"/>
          <w:lang w:eastAsia="ja-JP"/>
          <w14:ligatures w14:val="none"/>
        </w:rPr>
      </w:pPr>
      <w:r w:rsidRPr="00420425">
        <w:rPr>
          <w:rFonts w:ascii="Verdana" w:hAnsi="Verdana" w:eastAsia="MS Mincho"/>
          <w:kern w:val="0"/>
          <w:sz w:val="18"/>
          <w:szCs w:val="18"/>
          <w:lang w:eastAsia="ja-JP"/>
          <w14:ligatures w14:val="none"/>
        </w:rPr>
        <w:t xml:space="preserve">De NAVO is verantwoordelijk is voor de collectieve afschrikking en verdediging. De EU heeft een belangrijke ondersteunende en coördinerende rol in het versterken van de Europese defensiegereedheid. </w:t>
      </w:r>
      <w:r w:rsidRPr="00E32897" w:rsidR="00E412C1">
        <w:rPr>
          <w:rFonts w:ascii="Verdana" w:hAnsi="Verdana" w:eastAsia="MS Mincho"/>
          <w:kern w:val="0"/>
          <w:sz w:val="18"/>
          <w:szCs w:val="18"/>
          <w:lang w:eastAsia="ja-JP"/>
          <w14:ligatures w14:val="none"/>
        </w:rPr>
        <w:t xml:space="preserve">Het kabinet acht het van belang </w:t>
      </w:r>
      <w:r w:rsidRPr="00E32897" w:rsidR="00487455">
        <w:rPr>
          <w:rFonts w:ascii="Verdana" w:hAnsi="Verdana" w:eastAsia="MS Mincho"/>
          <w:kern w:val="0"/>
          <w:sz w:val="18"/>
          <w:szCs w:val="18"/>
          <w:lang w:eastAsia="ja-JP"/>
          <w14:ligatures w14:val="none"/>
        </w:rPr>
        <w:t>dat Europ</w:t>
      </w:r>
      <w:r w:rsidRPr="00E32897" w:rsidR="00A355EE">
        <w:rPr>
          <w:rFonts w:ascii="Verdana" w:hAnsi="Verdana" w:eastAsia="MS Mincho"/>
          <w:kern w:val="0"/>
          <w:sz w:val="18"/>
          <w:szCs w:val="18"/>
          <w:lang w:eastAsia="ja-JP"/>
          <w14:ligatures w14:val="none"/>
        </w:rPr>
        <w:t>ese landen</w:t>
      </w:r>
      <w:r w:rsidRPr="00E32897" w:rsidR="00487455">
        <w:rPr>
          <w:rFonts w:ascii="Verdana" w:hAnsi="Verdana" w:eastAsia="MS Mincho"/>
          <w:kern w:val="0"/>
          <w:sz w:val="18"/>
          <w:szCs w:val="18"/>
          <w:lang w:eastAsia="ja-JP"/>
          <w14:ligatures w14:val="none"/>
        </w:rPr>
        <w:t xml:space="preserve"> </w:t>
      </w:r>
      <w:r w:rsidRPr="00E32897" w:rsidR="00DF7ABB">
        <w:rPr>
          <w:rFonts w:ascii="Verdana" w:hAnsi="Verdana" w:eastAsia="MS Mincho"/>
          <w:kern w:val="0"/>
          <w:sz w:val="18"/>
          <w:szCs w:val="18"/>
          <w:lang w:eastAsia="ja-JP"/>
          <w14:ligatures w14:val="none"/>
        </w:rPr>
        <w:t>binnen de NAVO</w:t>
      </w:r>
      <w:r w:rsidRPr="00E32897" w:rsidR="00487455">
        <w:rPr>
          <w:rFonts w:ascii="Verdana" w:hAnsi="Verdana" w:eastAsia="MS Mincho"/>
          <w:kern w:val="0"/>
          <w:sz w:val="18"/>
          <w:szCs w:val="18"/>
          <w:lang w:eastAsia="ja-JP"/>
          <w14:ligatures w14:val="none"/>
        </w:rPr>
        <w:t xml:space="preserve"> </w:t>
      </w:r>
      <w:r w:rsidRPr="00E32897" w:rsidR="00F55820">
        <w:rPr>
          <w:rFonts w:ascii="Verdana" w:hAnsi="Verdana" w:eastAsia="MS Mincho"/>
          <w:kern w:val="0"/>
          <w:sz w:val="18"/>
          <w:szCs w:val="18"/>
          <w:lang w:eastAsia="ja-JP"/>
          <w14:ligatures w14:val="none"/>
        </w:rPr>
        <w:t xml:space="preserve">op korte termijn </w:t>
      </w:r>
      <w:r w:rsidRPr="00E32897" w:rsidR="00487455">
        <w:rPr>
          <w:rFonts w:ascii="Verdana" w:hAnsi="Verdana" w:eastAsia="MS Mincho"/>
          <w:kern w:val="0"/>
          <w:sz w:val="18"/>
          <w:szCs w:val="18"/>
          <w:lang w:eastAsia="ja-JP"/>
          <w14:ligatures w14:val="none"/>
        </w:rPr>
        <w:t xml:space="preserve">een grotere rol op zich </w:t>
      </w:r>
      <w:r w:rsidRPr="00E32897" w:rsidR="00F55820">
        <w:rPr>
          <w:rFonts w:ascii="Verdana" w:hAnsi="Verdana" w:eastAsia="MS Mincho"/>
          <w:kern w:val="0"/>
          <w:sz w:val="18"/>
          <w:szCs w:val="18"/>
          <w:lang w:eastAsia="ja-JP"/>
          <w14:ligatures w14:val="none"/>
        </w:rPr>
        <w:t>ne</w:t>
      </w:r>
      <w:r w:rsidRPr="00E32897" w:rsidR="00BA1C20">
        <w:rPr>
          <w:rFonts w:ascii="Verdana" w:hAnsi="Verdana" w:eastAsia="MS Mincho"/>
          <w:kern w:val="0"/>
          <w:sz w:val="18"/>
          <w:szCs w:val="18"/>
          <w:lang w:eastAsia="ja-JP"/>
          <w14:ligatures w14:val="none"/>
        </w:rPr>
        <w:t>men</w:t>
      </w:r>
      <w:r w:rsidRPr="00E32897" w:rsidR="00487455">
        <w:rPr>
          <w:rFonts w:ascii="Verdana" w:hAnsi="Verdana" w:eastAsia="MS Mincho"/>
          <w:kern w:val="0"/>
          <w:sz w:val="18"/>
          <w:szCs w:val="18"/>
          <w:lang w:eastAsia="ja-JP"/>
          <w14:ligatures w14:val="none"/>
        </w:rPr>
        <w:t xml:space="preserve"> </w:t>
      </w:r>
      <w:r w:rsidRPr="00E32897" w:rsidR="00B20D6C">
        <w:rPr>
          <w:rFonts w:ascii="Verdana" w:hAnsi="Verdana" w:eastAsia="MS Mincho"/>
          <w:kern w:val="0"/>
          <w:sz w:val="18"/>
          <w:szCs w:val="18"/>
          <w:lang w:eastAsia="ja-JP"/>
          <w14:ligatures w14:val="none"/>
        </w:rPr>
        <w:t>in het waarborgen</w:t>
      </w:r>
      <w:r w:rsidRPr="00E32897" w:rsidR="00487455">
        <w:rPr>
          <w:rFonts w:ascii="Verdana" w:hAnsi="Verdana" w:eastAsia="MS Mincho"/>
          <w:kern w:val="0"/>
          <w:sz w:val="18"/>
          <w:szCs w:val="18"/>
          <w:lang w:eastAsia="ja-JP"/>
          <w14:ligatures w14:val="none"/>
        </w:rPr>
        <w:t xml:space="preserve"> van de veiligheid op het </w:t>
      </w:r>
      <w:r w:rsidRPr="00E32897" w:rsidR="000E665A">
        <w:rPr>
          <w:rFonts w:ascii="Verdana" w:hAnsi="Verdana" w:eastAsia="MS Mincho"/>
          <w:kern w:val="0"/>
          <w:sz w:val="18"/>
          <w:szCs w:val="18"/>
          <w:lang w:eastAsia="ja-JP"/>
          <w14:ligatures w14:val="none"/>
        </w:rPr>
        <w:t xml:space="preserve">Europese </w:t>
      </w:r>
      <w:r w:rsidRPr="00E32897" w:rsidR="00487455">
        <w:rPr>
          <w:rFonts w:ascii="Verdana" w:hAnsi="Verdana" w:eastAsia="MS Mincho"/>
          <w:kern w:val="0"/>
          <w:sz w:val="18"/>
          <w:szCs w:val="18"/>
          <w:lang w:eastAsia="ja-JP"/>
          <w14:ligatures w14:val="none"/>
        </w:rPr>
        <w:t>continent.</w:t>
      </w:r>
      <w:r w:rsidRPr="00E32897" w:rsidR="00921DBB">
        <w:rPr>
          <w:rFonts w:ascii="Verdana" w:hAnsi="Verdana" w:eastAsia="MS Mincho"/>
          <w:kern w:val="0"/>
          <w:sz w:val="18"/>
          <w:szCs w:val="18"/>
          <w:lang w:eastAsia="ja-JP"/>
          <w14:ligatures w14:val="none"/>
        </w:rPr>
        <w:t xml:space="preserve"> Het belang hiervan wordt versterkt door recente ontwikkelingen zoals </w:t>
      </w:r>
      <w:r w:rsidRPr="00E32897" w:rsidR="000E665A">
        <w:rPr>
          <w:rFonts w:ascii="Verdana" w:hAnsi="Verdana" w:eastAsia="MS Mincho"/>
          <w:kern w:val="0"/>
          <w:sz w:val="18"/>
          <w:szCs w:val="18"/>
          <w:lang w:eastAsia="ja-JP"/>
          <w14:ligatures w14:val="none"/>
        </w:rPr>
        <w:t>de herhaaldelijke</w:t>
      </w:r>
      <w:r w:rsidRPr="00E32897" w:rsidR="00921DBB">
        <w:rPr>
          <w:rFonts w:ascii="Verdana" w:hAnsi="Verdana" w:eastAsia="MS Mincho"/>
          <w:kern w:val="0"/>
          <w:sz w:val="18"/>
          <w:szCs w:val="18"/>
          <w:lang w:eastAsia="ja-JP"/>
          <w14:ligatures w14:val="none"/>
        </w:rPr>
        <w:t xml:space="preserve"> </w:t>
      </w:r>
      <w:proofErr w:type="spellStart"/>
      <w:r w:rsidRPr="00E32897" w:rsidR="00921DBB">
        <w:rPr>
          <w:rFonts w:ascii="Verdana" w:hAnsi="Verdana" w:eastAsia="MS Mincho"/>
          <w:kern w:val="0"/>
          <w:sz w:val="18"/>
          <w:szCs w:val="18"/>
          <w:lang w:eastAsia="ja-JP"/>
          <w14:ligatures w14:val="none"/>
        </w:rPr>
        <w:t>incursies</w:t>
      </w:r>
      <w:proofErr w:type="spellEnd"/>
      <w:r w:rsidRPr="00E32897" w:rsidR="00921DBB">
        <w:rPr>
          <w:rFonts w:ascii="Verdana" w:hAnsi="Verdana" w:eastAsia="MS Mincho"/>
          <w:kern w:val="0"/>
          <w:sz w:val="18"/>
          <w:szCs w:val="18"/>
          <w:lang w:eastAsia="ja-JP"/>
          <w14:ligatures w14:val="none"/>
        </w:rPr>
        <w:t xml:space="preserve"> van het luchtruim van Europese bondgenoten.</w:t>
      </w:r>
      <w:r w:rsidRPr="00E32897" w:rsidR="00487455">
        <w:rPr>
          <w:rFonts w:ascii="Verdana" w:hAnsi="Verdana" w:eastAsia="MS Mincho"/>
          <w:kern w:val="0"/>
          <w:sz w:val="18"/>
          <w:szCs w:val="18"/>
          <w:lang w:eastAsia="ja-JP"/>
          <w14:ligatures w14:val="none"/>
        </w:rPr>
        <w:t xml:space="preserve"> </w:t>
      </w:r>
      <w:r w:rsidRPr="003975F3" w:rsidR="00487455">
        <w:rPr>
          <w:rFonts w:ascii="Verdana" w:hAnsi="Verdana" w:eastAsia="MS Mincho"/>
          <w:kern w:val="0"/>
          <w:sz w:val="18"/>
          <w:szCs w:val="18"/>
          <w:lang w:eastAsia="ja-JP"/>
          <w14:ligatures w14:val="none"/>
        </w:rPr>
        <w:t>Het</w:t>
      </w:r>
      <w:r w:rsidRPr="00820454" w:rsidR="00487455">
        <w:rPr>
          <w:rFonts w:ascii="Verdana" w:hAnsi="Verdana" w:eastAsia="MS Mincho"/>
          <w:kern w:val="0"/>
          <w:sz w:val="18"/>
          <w:szCs w:val="18"/>
          <w:lang w:eastAsia="ja-JP"/>
          <w14:ligatures w14:val="none"/>
        </w:rPr>
        <w:t xml:space="preserve"> kabinet </w:t>
      </w:r>
      <w:r>
        <w:rPr>
          <w:rFonts w:ascii="Verdana" w:hAnsi="Verdana" w:eastAsia="MS Mincho"/>
          <w:kern w:val="0"/>
          <w:sz w:val="18"/>
          <w:szCs w:val="18"/>
          <w:lang w:eastAsia="ja-JP"/>
          <w14:ligatures w14:val="none"/>
        </w:rPr>
        <w:t>vindt het</w:t>
      </w:r>
      <w:r w:rsidRPr="00820454" w:rsidR="00487455">
        <w:rPr>
          <w:rFonts w:ascii="Verdana" w:hAnsi="Verdana" w:eastAsia="MS Mincho"/>
          <w:kern w:val="0"/>
          <w:sz w:val="18"/>
          <w:szCs w:val="18"/>
          <w:lang w:eastAsia="ja-JP"/>
          <w14:ligatures w14:val="none"/>
        </w:rPr>
        <w:t xml:space="preserve"> positief dat de Commissie de voortgang </w:t>
      </w:r>
      <w:r>
        <w:rPr>
          <w:rFonts w:ascii="Verdana" w:hAnsi="Verdana" w:eastAsia="MS Mincho"/>
          <w:kern w:val="0"/>
          <w:sz w:val="18"/>
          <w:szCs w:val="18"/>
          <w:lang w:eastAsia="ja-JP"/>
          <w14:ligatures w14:val="none"/>
        </w:rPr>
        <w:t>van de initiatieven</w:t>
      </w:r>
      <w:r w:rsidRPr="00820454" w:rsidR="00487455">
        <w:rPr>
          <w:rFonts w:ascii="Verdana" w:hAnsi="Verdana" w:eastAsia="MS Mincho"/>
          <w:kern w:val="0"/>
          <w:sz w:val="18"/>
          <w:szCs w:val="18"/>
          <w:lang w:eastAsia="ja-JP"/>
          <w14:ligatures w14:val="none"/>
        </w:rPr>
        <w:t xml:space="preserve"> gaat monitoren via de aangekondigde routekaart voor defensiegereedheid</w:t>
      </w:r>
      <w:r w:rsidRPr="00820454" w:rsidR="00F55820">
        <w:rPr>
          <w:rFonts w:ascii="Verdana" w:hAnsi="Verdana" w:eastAsia="MS Mincho"/>
          <w:kern w:val="0"/>
          <w:sz w:val="18"/>
          <w:szCs w:val="18"/>
          <w:lang w:eastAsia="ja-JP"/>
          <w14:ligatures w14:val="none"/>
        </w:rPr>
        <w:t>. Het is wenselijk</w:t>
      </w:r>
      <w:r w:rsidRPr="00820454" w:rsidR="00487455">
        <w:rPr>
          <w:rFonts w:ascii="Verdana" w:hAnsi="Verdana" w:eastAsia="MS Mincho"/>
          <w:kern w:val="0"/>
          <w:sz w:val="18"/>
          <w:szCs w:val="18"/>
          <w:lang w:eastAsia="ja-JP"/>
          <w14:ligatures w14:val="none"/>
        </w:rPr>
        <w:t xml:space="preserve"> </w:t>
      </w:r>
      <w:r w:rsidRPr="00820454" w:rsidR="0046049F">
        <w:rPr>
          <w:rFonts w:ascii="Verdana" w:hAnsi="Verdana" w:eastAsia="MS Mincho"/>
          <w:kern w:val="0"/>
          <w:sz w:val="18"/>
          <w:szCs w:val="18"/>
          <w:lang w:eastAsia="ja-JP"/>
          <w14:ligatures w14:val="none"/>
        </w:rPr>
        <w:t xml:space="preserve">dat </w:t>
      </w:r>
      <w:r w:rsidRPr="00820454" w:rsidR="00487455">
        <w:rPr>
          <w:rFonts w:ascii="Verdana" w:hAnsi="Verdana" w:eastAsia="MS Mincho"/>
          <w:kern w:val="0"/>
          <w:sz w:val="18"/>
          <w:szCs w:val="18"/>
          <w:lang w:eastAsia="ja-JP"/>
          <w14:ligatures w14:val="none"/>
        </w:rPr>
        <w:t xml:space="preserve">hierover regulier wordt gerapporteerd aan de ER en aan de RBZ-Defensie. </w:t>
      </w:r>
      <w:r w:rsidRPr="00820454" w:rsidR="00696462">
        <w:rPr>
          <w:rFonts w:ascii="Verdana" w:hAnsi="Verdana" w:eastAsia="MS Mincho"/>
          <w:kern w:val="0"/>
          <w:sz w:val="18"/>
          <w:szCs w:val="18"/>
          <w:lang w:eastAsia="ja-JP"/>
          <w14:ligatures w14:val="none"/>
        </w:rPr>
        <w:t xml:space="preserve">Het is van belang dat bij het opstellen en evalueren van de routekaart zoveel mogelijk gebruik wordt gemaakt van bestaande monitoringsmechanismen en -processen. </w:t>
      </w:r>
      <w:r w:rsidRPr="00820454" w:rsidR="00011ED3">
        <w:rPr>
          <w:rFonts w:ascii="Verdana" w:hAnsi="Verdana" w:eastAsia="MS Mincho"/>
          <w:kern w:val="0"/>
          <w:sz w:val="18"/>
          <w:szCs w:val="18"/>
          <w:lang w:eastAsia="ja-JP"/>
          <w14:ligatures w14:val="none"/>
        </w:rPr>
        <w:t>Duplicatie dient te worden voorkomen.</w:t>
      </w:r>
      <w:r w:rsidRPr="00820454" w:rsidR="00F65859">
        <w:rPr>
          <w:rFonts w:ascii="Verdana" w:hAnsi="Verdana" w:eastAsia="MS Mincho"/>
          <w:kern w:val="0"/>
          <w:sz w:val="18"/>
          <w:szCs w:val="18"/>
          <w:lang w:eastAsia="ja-JP"/>
          <w14:ligatures w14:val="none"/>
        </w:rPr>
        <w:t xml:space="preserve"> Het kabinet ziet in de routekaart graag indicatoren </w:t>
      </w:r>
      <w:r w:rsidRPr="00820454" w:rsidR="002369C8">
        <w:rPr>
          <w:rFonts w:ascii="Verdana" w:hAnsi="Verdana" w:eastAsia="MS Mincho"/>
          <w:kern w:val="0"/>
          <w:sz w:val="18"/>
          <w:szCs w:val="18"/>
          <w:lang w:eastAsia="ja-JP"/>
          <w14:ligatures w14:val="none"/>
        </w:rPr>
        <w:t>voor mili</w:t>
      </w:r>
      <w:r w:rsidRPr="00820454" w:rsidR="00F65859">
        <w:rPr>
          <w:rFonts w:ascii="Verdana" w:hAnsi="Verdana" w:eastAsia="MS Mincho"/>
          <w:kern w:val="0"/>
          <w:sz w:val="18"/>
          <w:szCs w:val="18"/>
          <w:lang w:eastAsia="ja-JP"/>
          <w14:ligatures w14:val="none"/>
        </w:rPr>
        <w:t>taire steun aan Oekraïne</w:t>
      </w:r>
      <w:r w:rsidR="00434DBD">
        <w:rPr>
          <w:rFonts w:ascii="Verdana" w:hAnsi="Verdana" w:eastAsia="MS Mincho"/>
          <w:kern w:val="0"/>
          <w:sz w:val="18"/>
          <w:szCs w:val="18"/>
          <w:lang w:eastAsia="ja-JP"/>
          <w14:ligatures w14:val="none"/>
        </w:rPr>
        <w:t xml:space="preserve"> en </w:t>
      </w:r>
      <w:r w:rsidR="00434DBD">
        <w:rPr>
          <w:rFonts w:ascii="Verdana" w:hAnsi="Verdana" w:eastAsia="MS Mincho"/>
          <w:i/>
          <w:iCs/>
          <w:kern w:val="0"/>
          <w:sz w:val="18"/>
          <w:szCs w:val="18"/>
          <w:lang w:eastAsia="ja-JP"/>
          <w14:ligatures w14:val="none"/>
        </w:rPr>
        <w:t>burden sharing</w:t>
      </w:r>
      <w:r w:rsidR="00434DBD">
        <w:rPr>
          <w:rFonts w:ascii="Verdana" w:hAnsi="Verdana" w:eastAsia="MS Mincho"/>
          <w:kern w:val="0"/>
          <w:sz w:val="18"/>
          <w:szCs w:val="18"/>
          <w:lang w:eastAsia="ja-JP"/>
          <w14:ligatures w14:val="none"/>
        </w:rPr>
        <w:t xml:space="preserve"> onder lidstaten</w:t>
      </w:r>
      <w:r w:rsidRPr="00820454" w:rsidR="00F65859">
        <w:rPr>
          <w:rFonts w:ascii="Verdana" w:hAnsi="Verdana" w:eastAsia="MS Mincho"/>
          <w:kern w:val="0"/>
          <w:sz w:val="18"/>
          <w:szCs w:val="18"/>
          <w:lang w:eastAsia="ja-JP"/>
          <w14:ligatures w14:val="none"/>
        </w:rPr>
        <w:t>, versterking van de defensie-industrie en vereenvoudiging van wetgeving.</w:t>
      </w:r>
      <w:r w:rsidRPr="00820454" w:rsidR="000710F9">
        <w:rPr>
          <w:rFonts w:ascii="Verdana" w:hAnsi="Verdana" w:eastAsia="MS Mincho"/>
          <w:kern w:val="0"/>
          <w:sz w:val="18"/>
          <w:szCs w:val="18"/>
          <w:lang w:eastAsia="ja-JP"/>
          <w14:ligatures w14:val="none"/>
        </w:rPr>
        <w:t xml:space="preserve"> Voor de verdere uitwerking van de </w:t>
      </w:r>
      <w:proofErr w:type="spellStart"/>
      <w:r w:rsidRPr="00820454" w:rsidR="000710F9">
        <w:rPr>
          <w:rFonts w:ascii="Verdana" w:hAnsi="Verdana" w:eastAsia="MS Mincho"/>
          <w:kern w:val="0"/>
          <w:sz w:val="18"/>
          <w:szCs w:val="18"/>
          <w:lang w:eastAsia="ja-JP"/>
          <w14:ligatures w14:val="none"/>
        </w:rPr>
        <w:t>PCA’s</w:t>
      </w:r>
      <w:proofErr w:type="spellEnd"/>
      <w:r w:rsidRPr="00820454" w:rsidR="000710F9">
        <w:rPr>
          <w:rFonts w:ascii="Verdana" w:hAnsi="Verdana" w:eastAsia="MS Mincho"/>
          <w:kern w:val="0"/>
          <w:sz w:val="18"/>
          <w:szCs w:val="18"/>
          <w:lang w:eastAsia="ja-JP"/>
          <w14:ligatures w14:val="none"/>
        </w:rPr>
        <w:t xml:space="preserve"> ziet het kabinet graag dat zoveel mogelijk bestaande </w:t>
      </w:r>
      <w:r w:rsidRPr="00820454" w:rsidR="00840EBB">
        <w:rPr>
          <w:rFonts w:ascii="Verdana" w:hAnsi="Verdana" w:eastAsia="MS Mincho"/>
          <w:kern w:val="0"/>
          <w:sz w:val="18"/>
          <w:szCs w:val="18"/>
          <w:lang w:eastAsia="ja-JP"/>
          <w14:ligatures w14:val="none"/>
        </w:rPr>
        <w:t xml:space="preserve">structuren van het </w:t>
      </w:r>
      <w:r w:rsidRPr="00820454" w:rsidR="000710F9">
        <w:rPr>
          <w:rFonts w:ascii="Verdana" w:hAnsi="Verdana" w:eastAsia="MS Mincho"/>
          <w:kern w:val="0"/>
          <w:sz w:val="18"/>
          <w:szCs w:val="18"/>
          <w:lang w:eastAsia="ja-JP"/>
          <w14:ligatures w14:val="none"/>
        </w:rPr>
        <w:t>E</w:t>
      </w:r>
      <w:r w:rsidRPr="00820454" w:rsidR="0052236B">
        <w:rPr>
          <w:rFonts w:ascii="Verdana" w:hAnsi="Verdana" w:eastAsia="MS Mincho"/>
          <w:kern w:val="0"/>
          <w:sz w:val="18"/>
          <w:szCs w:val="18"/>
          <w:lang w:eastAsia="ja-JP"/>
          <w14:ligatures w14:val="none"/>
        </w:rPr>
        <w:t xml:space="preserve">uropese Defensie Agentschap (EDA) </w:t>
      </w:r>
      <w:r w:rsidRPr="00820454" w:rsidR="000710F9">
        <w:rPr>
          <w:rFonts w:ascii="Verdana" w:hAnsi="Verdana" w:eastAsia="MS Mincho"/>
          <w:kern w:val="0"/>
          <w:sz w:val="18"/>
          <w:szCs w:val="18"/>
          <w:lang w:eastAsia="ja-JP"/>
          <w14:ligatures w14:val="none"/>
        </w:rPr>
        <w:t>worden gebruikt.</w:t>
      </w:r>
    </w:p>
    <w:p w:rsidR="007A06D7" w:rsidP="00FE3440" w:rsidRDefault="007A06D7" w14:paraId="33F0F334" w14:textId="77777777">
      <w:pPr>
        <w:spacing w:after="0" w:line="276" w:lineRule="auto"/>
        <w:rPr>
          <w:rFonts w:ascii="Verdana" w:hAnsi="Verdana" w:eastAsia="MS Mincho" w:cstheme="minorHAnsi"/>
          <w:kern w:val="0"/>
          <w:sz w:val="18"/>
          <w:szCs w:val="18"/>
          <w:lang w:eastAsia="ja-JP"/>
          <w14:ligatures w14:val="none"/>
        </w:rPr>
      </w:pPr>
    </w:p>
    <w:p w:rsidR="00315BC2" w:rsidP="00100622" w:rsidRDefault="007A06D7" w14:paraId="608DF393" w14:textId="11E01FB0">
      <w:pPr>
        <w:spacing w:after="0" w:line="276" w:lineRule="auto"/>
        <w:rPr>
          <w:rFonts w:ascii="Verdana" w:hAnsi="Verdana" w:eastAsia="MS Mincho" w:cstheme="minorHAnsi"/>
          <w:kern w:val="0"/>
          <w:sz w:val="18"/>
          <w:szCs w:val="18"/>
          <w:lang w:eastAsia="ja-JP"/>
          <w14:ligatures w14:val="none"/>
        </w:rPr>
      </w:pPr>
      <w:r>
        <w:rPr>
          <w:rFonts w:ascii="Verdana" w:hAnsi="Verdana" w:eastAsia="MS Mincho" w:cstheme="minorHAnsi"/>
          <w:kern w:val="0"/>
          <w:sz w:val="18"/>
          <w:szCs w:val="18"/>
          <w:lang w:eastAsia="ja-JP"/>
          <w14:ligatures w14:val="none"/>
        </w:rPr>
        <w:t>Het kabinet zal</w:t>
      </w:r>
      <w:r w:rsidR="0084603F">
        <w:rPr>
          <w:rFonts w:ascii="Verdana" w:hAnsi="Verdana" w:eastAsia="MS Mincho" w:cstheme="minorHAnsi"/>
          <w:kern w:val="0"/>
          <w:sz w:val="18"/>
          <w:szCs w:val="18"/>
          <w:lang w:eastAsia="ja-JP"/>
          <w14:ligatures w14:val="none"/>
        </w:rPr>
        <w:t xml:space="preserve"> daarnaast</w:t>
      </w:r>
      <w:r>
        <w:rPr>
          <w:rFonts w:ascii="Verdana" w:hAnsi="Verdana" w:eastAsia="MS Mincho" w:cstheme="minorHAnsi"/>
          <w:kern w:val="0"/>
          <w:sz w:val="18"/>
          <w:szCs w:val="18"/>
          <w:lang w:eastAsia="ja-JP"/>
          <w14:ligatures w14:val="none"/>
        </w:rPr>
        <w:t xml:space="preserve"> oproepen tot spoedige afronding van de </w:t>
      </w:r>
      <w:proofErr w:type="spellStart"/>
      <w:r>
        <w:rPr>
          <w:rFonts w:ascii="Verdana" w:hAnsi="Verdana" w:eastAsia="MS Mincho" w:cstheme="minorHAnsi"/>
          <w:kern w:val="0"/>
          <w:sz w:val="18"/>
          <w:szCs w:val="18"/>
          <w:lang w:eastAsia="ja-JP"/>
          <w14:ligatures w14:val="none"/>
        </w:rPr>
        <w:t>triloog</w:t>
      </w:r>
      <w:proofErr w:type="spellEnd"/>
      <w:r>
        <w:rPr>
          <w:rFonts w:ascii="Verdana" w:hAnsi="Verdana" w:eastAsia="MS Mincho" w:cstheme="minorHAnsi"/>
          <w:kern w:val="0"/>
          <w:sz w:val="18"/>
          <w:szCs w:val="18"/>
          <w:lang w:eastAsia="ja-JP"/>
          <w14:ligatures w14:val="none"/>
        </w:rPr>
        <w:t>-fase van het Europees Defensie-Industrie Programma</w:t>
      </w:r>
      <w:r w:rsidR="0052236B">
        <w:rPr>
          <w:rFonts w:ascii="Verdana" w:hAnsi="Verdana" w:eastAsia="MS Mincho" w:cstheme="minorHAnsi"/>
          <w:kern w:val="0"/>
          <w:sz w:val="18"/>
          <w:szCs w:val="18"/>
          <w:lang w:eastAsia="ja-JP"/>
          <w14:ligatures w14:val="none"/>
        </w:rPr>
        <w:t xml:space="preserve"> (EDIP)</w:t>
      </w:r>
      <w:r>
        <w:rPr>
          <w:rFonts w:ascii="Verdana" w:hAnsi="Verdana" w:eastAsia="MS Mincho" w:cstheme="minorHAnsi"/>
          <w:kern w:val="0"/>
          <w:sz w:val="18"/>
          <w:szCs w:val="18"/>
          <w:lang w:eastAsia="ja-JP"/>
          <w14:ligatures w14:val="none"/>
        </w:rPr>
        <w:t>.</w:t>
      </w:r>
      <w:r w:rsidR="004B0756">
        <w:rPr>
          <w:rFonts w:ascii="Verdana" w:hAnsi="Verdana" w:eastAsia="MS Mincho" w:cstheme="minorHAnsi"/>
          <w:kern w:val="0"/>
          <w:sz w:val="18"/>
          <w:szCs w:val="18"/>
          <w:lang w:eastAsia="ja-JP"/>
          <w14:ligatures w14:val="none"/>
        </w:rPr>
        <w:t xml:space="preserve"> Inzake het </w:t>
      </w:r>
      <w:r w:rsidR="0052236B">
        <w:rPr>
          <w:rFonts w:ascii="Verdana" w:hAnsi="Verdana" w:eastAsia="MS Mincho" w:cstheme="minorHAnsi"/>
          <w:i/>
          <w:iCs/>
          <w:kern w:val="0"/>
          <w:sz w:val="18"/>
          <w:szCs w:val="18"/>
          <w:lang w:eastAsia="ja-JP"/>
          <w14:ligatures w14:val="none"/>
        </w:rPr>
        <w:t>SAFE</w:t>
      </w:r>
      <w:r w:rsidR="004B0756">
        <w:rPr>
          <w:rFonts w:ascii="Verdana" w:hAnsi="Verdana" w:eastAsia="MS Mincho" w:cstheme="minorHAnsi"/>
          <w:kern w:val="0"/>
          <w:sz w:val="18"/>
          <w:szCs w:val="18"/>
          <w:lang w:eastAsia="ja-JP"/>
          <w14:ligatures w14:val="none"/>
        </w:rPr>
        <w:t>-instrument zijn recent onderhandelingen gestart met het V</w:t>
      </w:r>
      <w:r w:rsidR="0052236B">
        <w:rPr>
          <w:rFonts w:ascii="Verdana" w:hAnsi="Verdana" w:eastAsia="MS Mincho" w:cstheme="minorHAnsi"/>
          <w:kern w:val="0"/>
          <w:sz w:val="18"/>
          <w:szCs w:val="18"/>
          <w:lang w:eastAsia="ja-JP"/>
          <w14:ligatures w14:val="none"/>
        </w:rPr>
        <w:t>erenigd Koninkrijk</w:t>
      </w:r>
      <w:r w:rsidR="004B0756">
        <w:rPr>
          <w:rFonts w:ascii="Verdana" w:hAnsi="Verdana" w:eastAsia="MS Mincho" w:cstheme="minorHAnsi"/>
          <w:kern w:val="0"/>
          <w:sz w:val="18"/>
          <w:szCs w:val="18"/>
          <w:lang w:eastAsia="ja-JP"/>
          <w14:ligatures w14:val="none"/>
        </w:rPr>
        <w:t xml:space="preserve"> en Canada voor aanvullende toegang voor de defensie-industrie van beide landen. Het kabinet zal </w:t>
      </w:r>
      <w:r w:rsidR="00434DBD">
        <w:rPr>
          <w:rFonts w:ascii="Verdana" w:hAnsi="Verdana" w:eastAsia="MS Mincho" w:cstheme="minorHAnsi"/>
          <w:kern w:val="0"/>
          <w:sz w:val="18"/>
          <w:szCs w:val="18"/>
          <w:lang w:eastAsia="ja-JP"/>
          <w14:ligatures w14:val="none"/>
        </w:rPr>
        <w:t>eveneens</w:t>
      </w:r>
      <w:r w:rsidR="004B0756">
        <w:rPr>
          <w:rFonts w:ascii="Verdana" w:hAnsi="Verdana" w:eastAsia="MS Mincho" w:cstheme="minorHAnsi"/>
          <w:kern w:val="0"/>
          <w:sz w:val="18"/>
          <w:szCs w:val="18"/>
          <w:lang w:eastAsia="ja-JP"/>
          <w14:ligatures w14:val="none"/>
        </w:rPr>
        <w:t xml:space="preserve"> oproepen tot spoedige afronding van deze onderhandelingen.</w:t>
      </w:r>
      <w:r>
        <w:rPr>
          <w:rFonts w:ascii="Verdana" w:hAnsi="Verdana" w:eastAsia="MS Mincho" w:cstheme="minorHAnsi"/>
          <w:kern w:val="0"/>
          <w:sz w:val="18"/>
          <w:szCs w:val="18"/>
          <w:lang w:eastAsia="ja-JP"/>
          <w14:ligatures w14:val="none"/>
        </w:rPr>
        <w:t xml:space="preserve"> Wat betreft de defensie-industriepilaar binnen het voorstel voor het volgende meerjarig financieel kader </w:t>
      </w:r>
      <w:r w:rsidR="000F6200">
        <w:rPr>
          <w:rFonts w:ascii="Verdana" w:hAnsi="Verdana" w:eastAsia="MS Mincho" w:cstheme="minorHAnsi"/>
          <w:kern w:val="0"/>
          <w:sz w:val="18"/>
          <w:szCs w:val="18"/>
          <w:lang w:eastAsia="ja-JP"/>
          <w14:ligatures w14:val="none"/>
        </w:rPr>
        <w:t xml:space="preserve">(MFK) </w:t>
      </w:r>
      <w:r>
        <w:rPr>
          <w:rFonts w:ascii="Verdana" w:hAnsi="Verdana" w:eastAsia="MS Mincho" w:cstheme="minorHAnsi"/>
          <w:kern w:val="0"/>
          <w:sz w:val="18"/>
          <w:szCs w:val="18"/>
          <w:lang w:eastAsia="ja-JP"/>
          <w14:ligatures w14:val="none"/>
        </w:rPr>
        <w:t>steunt het kabinet het ambitieniveau</w:t>
      </w:r>
      <w:r w:rsidR="000E665A">
        <w:rPr>
          <w:rFonts w:ascii="Verdana" w:hAnsi="Verdana" w:eastAsia="MS Mincho" w:cstheme="minorHAnsi"/>
          <w:kern w:val="0"/>
          <w:sz w:val="18"/>
          <w:szCs w:val="18"/>
          <w:lang w:eastAsia="ja-JP"/>
          <w14:ligatures w14:val="none"/>
        </w:rPr>
        <w:t xml:space="preserve"> van de Commissie</w:t>
      </w:r>
      <w:r w:rsidR="00B96D12">
        <w:rPr>
          <w:rStyle w:val="FootnoteReference"/>
          <w:rFonts w:ascii="Verdana" w:hAnsi="Verdana" w:eastAsia="MS Mincho" w:cstheme="minorHAnsi"/>
          <w:kern w:val="0"/>
          <w:sz w:val="18"/>
          <w:szCs w:val="18"/>
          <w:lang w:eastAsia="ja-JP"/>
          <w14:ligatures w14:val="none"/>
        </w:rPr>
        <w:footnoteReference w:id="5"/>
      </w:r>
      <w:r>
        <w:rPr>
          <w:rFonts w:ascii="Verdana" w:hAnsi="Verdana" w:eastAsia="MS Mincho" w:cstheme="minorHAnsi"/>
          <w:kern w:val="0"/>
          <w:sz w:val="18"/>
          <w:szCs w:val="18"/>
          <w:lang w:eastAsia="ja-JP"/>
          <w14:ligatures w14:val="none"/>
        </w:rPr>
        <w:t xml:space="preserve">. </w:t>
      </w:r>
      <w:r w:rsidR="000F6200">
        <w:rPr>
          <w:rFonts w:ascii="Verdana" w:hAnsi="Verdana" w:eastAsia="MS Mincho" w:cstheme="minorHAnsi"/>
          <w:kern w:val="0"/>
          <w:sz w:val="18"/>
          <w:szCs w:val="18"/>
          <w:lang w:eastAsia="ja-JP"/>
          <w14:ligatures w14:val="none"/>
        </w:rPr>
        <w:t>H</w:t>
      </w:r>
      <w:r>
        <w:rPr>
          <w:rFonts w:ascii="Verdana" w:hAnsi="Verdana" w:eastAsia="MS Mincho" w:cstheme="minorHAnsi"/>
          <w:kern w:val="0"/>
          <w:sz w:val="18"/>
          <w:szCs w:val="18"/>
          <w:lang w:eastAsia="ja-JP"/>
          <w14:ligatures w14:val="none"/>
        </w:rPr>
        <w:t xml:space="preserve">et kabinet </w:t>
      </w:r>
      <w:r w:rsidR="000F6200">
        <w:rPr>
          <w:rFonts w:ascii="Verdana" w:hAnsi="Verdana" w:eastAsia="MS Mincho" w:cstheme="minorHAnsi"/>
          <w:kern w:val="0"/>
          <w:sz w:val="18"/>
          <w:szCs w:val="18"/>
          <w:lang w:eastAsia="ja-JP"/>
          <w14:ligatures w14:val="none"/>
        </w:rPr>
        <w:t>zal oproepen tot</w:t>
      </w:r>
      <w:r>
        <w:rPr>
          <w:rFonts w:ascii="Verdana" w:hAnsi="Verdana" w:eastAsia="MS Mincho" w:cstheme="minorHAnsi"/>
          <w:kern w:val="0"/>
          <w:sz w:val="18"/>
          <w:szCs w:val="18"/>
          <w:lang w:eastAsia="ja-JP"/>
          <w14:ligatures w14:val="none"/>
        </w:rPr>
        <w:t xml:space="preserve"> het</w:t>
      </w:r>
      <w:r w:rsidR="000F6200">
        <w:rPr>
          <w:rFonts w:ascii="Verdana" w:hAnsi="Verdana" w:eastAsia="MS Mincho" w:cstheme="minorHAnsi"/>
          <w:kern w:val="0"/>
          <w:sz w:val="18"/>
          <w:szCs w:val="18"/>
          <w:lang w:eastAsia="ja-JP"/>
          <w14:ligatures w14:val="none"/>
        </w:rPr>
        <w:t xml:space="preserve"> via het MFK waarborgen van verdere</w:t>
      </w:r>
      <w:r>
        <w:rPr>
          <w:rFonts w:ascii="Verdana" w:hAnsi="Verdana" w:eastAsia="MS Mincho" w:cstheme="minorHAnsi"/>
          <w:kern w:val="0"/>
          <w:sz w:val="18"/>
          <w:szCs w:val="18"/>
          <w:lang w:eastAsia="ja-JP"/>
          <w14:ligatures w14:val="none"/>
        </w:rPr>
        <w:t xml:space="preserve"> Europeaniser</w:t>
      </w:r>
      <w:r w:rsidR="000F6200">
        <w:rPr>
          <w:rFonts w:ascii="Verdana" w:hAnsi="Verdana" w:eastAsia="MS Mincho" w:cstheme="minorHAnsi"/>
          <w:kern w:val="0"/>
          <w:sz w:val="18"/>
          <w:szCs w:val="18"/>
          <w:lang w:eastAsia="ja-JP"/>
          <w14:ligatures w14:val="none"/>
        </w:rPr>
        <w:t>ing</w:t>
      </w:r>
      <w:r>
        <w:rPr>
          <w:rFonts w:ascii="Verdana" w:hAnsi="Verdana" w:eastAsia="MS Mincho" w:cstheme="minorHAnsi"/>
          <w:kern w:val="0"/>
          <w:sz w:val="18"/>
          <w:szCs w:val="18"/>
          <w:lang w:eastAsia="ja-JP"/>
          <w14:ligatures w14:val="none"/>
        </w:rPr>
        <w:t xml:space="preserve"> van de </w:t>
      </w:r>
      <w:r w:rsidR="0011223C">
        <w:rPr>
          <w:rFonts w:ascii="Verdana" w:hAnsi="Verdana" w:eastAsia="MS Mincho" w:cstheme="minorHAnsi"/>
          <w:kern w:val="0"/>
          <w:sz w:val="18"/>
          <w:szCs w:val="18"/>
          <w:lang w:eastAsia="ja-JP"/>
          <w14:ligatures w14:val="none"/>
        </w:rPr>
        <w:t xml:space="preserve">defensieproductieketens, zodat toeleveranciers uit de gehele EU op basis van eerlijke concurrentie </w:t>
      </w:r>
      <w:r w:rsidR="0011223C">
        <w:rPr>
          <w:rFonts w:ascii="Verdana" w:hAnsi="Verdana" w:eastAsia="MS Mincho" w:cstheme="minorHAnsi"/>
          <w:kern w:val="0"/>
          <w:sz w:val="18"/>
          <w:szCs w:val="18"/>
          <w:lang w:eastAsia="ja-JP"/>
          <w14:ligatures w14:val="none"/>
        </w:rPr>
        <w:lastRenderedPageBreak/>
        <w:t xml:space="preserve">onderdeel kunnen worden van de toeleveringsketens van grote Europese </w:t>
      </w:r>
      <w:r w:rsidR="004B0756">
        <w:rPr>
          <w:rFonts w:ascii="Verdana" w:hAnsi="Verdana" w:eastAsia="MS Mincho" w:cstheme="minorHAnsi"/>
          <w:kern w:val="0"/>
          <w:sz w:val="18"/>
          <w:szCs w:val="18"/>
          <w:lang w:eastAsia="ja-JP"/>
          <w14:ligatures w14:val="none"/>
        </w:rPr>
        <w:t>producenten</w:t>
      </w:r>
      <w:r w:rsidR="0011223C">
        <w:rPr>
          <w:rFonts w:ascii="Verdana" w:hAnsi="Verdana" w:eastAsia="MS Mincho" w:cstheme="minorHAnsi"/>
          <w:kern w:val="0"/>
          <w:sz w:val="18"/>
          <w:szCs w:val="18"/>
          <w:lang w:eastAsia="ja-JP"/>
          <w14:ligatures w14:val="none"/>
        </w:rPr>
        <w:t>.</w:t>
      </w:r>
      <w:r w:rsidR="004B0756">
        <w:rPr>
          <w:rFonts w:ascii="Verdana" w:hAnsi="Verdana" w:eastAsia="MS Mincho" w:cstheme="minorHAnsi"/>
          <w:kern w:val="0"/>
          <w:sz w:val="18"/>
          <w:szCs w:val="18"/>
          <w:lang w:eastAsia="ja-JP"/>
          <w14:ligatures w14:val="none"/>
        </w:rPr>
        <w:t xml:space="preserve"> Het kabinet </w:t>
      </w:r>
      <w:r w:rsidR="00D53F56">
        <w:rPr>
          <w:rFonts w:ascii="Verdana" w:hAnsi="Verdana" w:eastAsia="MS Mincho" w:cstheme="minorHAnsi"/>
          <w:kern w:val="0"/>
          <w:sz w:val="18"/>
          <w:szCs w:val="18"/>
          <w:lang w:eastAsia="ja-JP"/>
          <w14:ligatures w14:val="none"/>
        </w:rPr>
        <w:t xml:space="preserve">zal ook </w:t>
      </w:r>
      <w:r w:rsidR="005405FA">
        <w:rPr>
          <w:rFonts w:ascii="Verdana" w:hAnsi="Verdana" w:eastAsia="MS Mincho" w:cstheme="minorHAnsi"/>
          <w:kern w:val="0"/>
          <w:sz w:val="18"/>
          <w:szCs w:val="18"/>
          <w:lang w:eastAsia="ja-JP"/>
          <w14:ligatures w14:val="none"/>
        </w:rPr>
        <w:t xml:space="preserve">pleiten </w:t>
      </w:r>
      <w:r w:rsidR="00D53F56">
        <w:rPr>
          <w:rFonts w:ascii="Verdana" w:hAnsi="Verdana" w:eastAsia="MS Mincho" w:cstheme="minorHAnsi"/>
          <w:kern w:val="0"/>
          <w:sz w:val="18"/>
          <w:szCs w:val="18"/>
          <w:lang w:eastAsia="ja-JP"/>
          <w14:ligatures w14:val="none"/>
        </w:rPr>
        <w:t>voor</w:t>
      </w:r>
      <w:r w:rsidR="004B0756">
        <w:rPr>
          <w:rFonts w:ascii="Verdana" w:hAnsi="Verdana" w:eastAsia="MS Mincho" w:cstheme="minorHAnsi"/>
          <w:kern w:val="0"/>
          <w:sz w:val="18"/>
          <w:szCs w:val="18"/>
          <w:lang w:eastAsia="ja-JP"/>
          <w14:ligatures w14:val="none"/>
        </w:rPr>
        <w:t xml:space="preserve"> </w:t>
      </w:r>
      <w:r w:rsidR="00025F05">
        <w:rPr>
          <w:rFonts w:ascii="Verdana" w:hAnsi="Verdana" w:eastAsia="MS Mincho" w:cstheme="minorHAnsi"/>
          <w:kern w:val="0"/>
          <w:sz w:val="18"/>
          <w:szCs w:val="18"/>
          <w:lang w:eastAsia="ja-JP"/>
          <w14:ligatures w14:val="none"/>
        </w:rPr>
        <w:t>de</w:t>
      </w:r>
      <w:r w:rsidR="004B0756">
        <w:rPr>
          <w:rFonts w:ascii="Verdana" w:hAnsi="Verdana" w:eastAsia="MS Mincho" w:cstheme="minorHAnsi"/>
          <w:kern w:val="0"/>
          <w:sz w:val="18"/>
          <w:szCs w:val="18"/>
          <w:lang w:eastAsia="ja-JP"/>
          <w14:ligatures w14:val="none"/>
        </w:rPr>
        <w:t xml:space="preserve"> stimulering van de integratie van mkb en </w:t>
      </w:r>
      <w:r w:rsidR="004B0756">
        <w:rPr>
          <w:rFonts w:ascii="Verdana" w:hAnsi="Verdana" w:eastAsia="MS Mincho" w:cstheme="minorHAnsi"/>
          <w:i/>
          <w:iCs/>
          <w:kern w:val="0"/>
          <w:sz w:val="18"/>
          <w:szCs w:val="18"/>
          <w:lang w:eastAsia="ja-JP"/>
          <w14:ligatures w14:val="none"/>
        </w:rPr>
        <w:t xml:space="preserve">start- </w:t>
      </w:r>
      <w:r w:rsidR="004B0756">
        <w:rPr>
          <w:rFonts w:ascii="Verdana" w:hAnsi="Verdana" w:eastAsia="MS Mincho" w:cstheme="minorHAnsi"/>
          <w:kern w:val="0"/>
          <w:sz w:val="18"/>
          <w:szCs w:val="18"/>
          <w:lang w:eastAsia="ja-JP"/>
          <w14:ligatures w14:val="none"/>
        </w:rPr>
        <w:t xml:space="preserve">en </w:t>
      </w:r>
      <w:r w:rsidR="004B0756">
        <w:rPr>
          <w:rFonts w:ascii="Verdana" w:hAnsi="Verdana" w:eastAsia="MS Mincho" w:cstheme="minorHAnsi"/>
          <w:i/>
          <w:iCs/>
          <w:kern w:val="0"/>
          <w:sz w:val="18"/>
          <w:szCs w:val="18"/>
          <w:lang w:eastAsia="ja-JP"/>
          <w14:ligatures w14:val="none"/>
        </w:rPr>
        <w:t>scale-ups</w:t>
      </w:r>
      <w:r w:rsidR="004B0756">
        <w:rPr>
          <w:rFonts w:ascii="Verdana" w:hAnsi="Verdana" w:eastAsia="MS Mincho" w:cstheme="minorHAnsi"/>
          <w:kern w:val="0"/>
          <w:sz w:val="18"/>
          <w:szCs w:val="18"/>
          <w:lang w:eastAsia="ja-JP"/>
          <w14:ligatures w14:val="none"/>
        </w:rPr>
        <w:t xml:space="preserve"> in deze waardeketens</w:t>
      </w:r>
      <w:r w:rsidR="00565DFA">
        <w:rPr>
          <w:rFonts w:ascii="Verdana" w:hAnsi="Verdana" w:eastAsia="MS Mincho" w:cstheme="minorHAnsi"/>
          <w:kern w:val="0"/>
          <w:sz w:val="18"/>
          <w:szCs w:val="18"/>
          <w:lang w:eastAsia="ja-JP"/>
          <w14:ligatures w14:val="none"/>
        </w:rPr>
        <w:t xml:space="preserve"> en het voldoende openstellen van het MFK voor defensie-industrie uit derde landen</w:t>
      </w:r>
      <w:r w:rsidR="004B0756">
        <w:rPr>
          <w:rFonts w:ascii="Verdana" w:hAnsi="Verdana" w:eastAsia="MS Mincho" w:cstheme="minorHAnsi"/>
          <w:kern w:val="0"/>
          <w:sz w:val="18"/>
          <w:szCs w:val="18"/>
          <w:lang w:eastAsia="ja-JP"/>
          <w14:ligatures w14:val="none"/>
        </w:rPr>
        <w:t>.</w:t>
      </w:r>
      <w:r w:rsidR="00685177">
        <w:rPr>
          <w:rFonts w:ascii="Verdana" w:hAnsi="Verdana" w:eastAsia="MS Mincho" w:cstheme="minorHAnsi"/>
          <w:kern w:val="0"/>
          <w:sz w:val="18"/>
          <w:szCs w:val="18"/>
          <w:lang w:eastAsia="ja-JP"/>
          <w14:ligatures w14:val="none"/>
        </w:rPr>
        <w:t xml:space="preserve"> Tot slot acht het kabinet het van belang dat er geen nieuwe financieringsinstrumenten worden gecre</w:t>
      </w:r>
      <w:r w:rsidRPr="00685177" w:rsidR="00685177">
        <w:rPr>
          <w:rFonts w:ascii="Verdana" w:hAnsi="Verdana" w:eastAsia="MS Mincho" w:cstheme="minorHAnsi"/>
          <w:kern w:val="0"/>
          <w:sz w:val="18"/>
          <w:szCs w:val="18"/>
          <w:lang w:eastAsia="ja-JP"/>
          <w14:ligatures w14:val="none"/>
        </w:rPr>
        <w:t>ë</w:t>
      </w:r>
      <w:r w:rsidR="00685177">
        <w:rPr>
          <w:rFonts w:ascii="Verdana" w:hAnsi="Verdana" w:eastAsia="MS Mincho" w:cstheme="minorHAnsi"/>
          <w:kern w:val="0"/>
          <w:sz w:val="18"/>
          <w:szCs w:val="18"/>
          <w:lang w:eastAsia="ja-JP"/>
          <w14:ligatures w14:val="none"/>
        </w:rPr>
        <w:t>erd</w:t>
      </w:r>
      <w:r w:rsidR="00847565">
        <w:rPr>
          <w:rFonts w:ascii="Verdana" w:hAnsi="Verdana" w:eastAsia="MS Mincho" w:cstheme="minorHAnsi"/>
          <w:kern w:val="0"/>
          <w:sz w:val="18"/>
          <w:szCs w:val="18"/>
          <w:lang w:eastAsia="ja-JP"/>
          <w14:ligatures w14:val="none"/>
        </w:rPr>
        <w:t>,</w:t>
      </w:r>
      <w:r w:rsidR="000E665A">
        <w:rPr>
          <w:rFonts w:ascii="Verdana" w:hAnsi="Verdana" w:eastAsia="MS Mincho" w:cstheme="minorHAnsi"/>
          <w:kern w:val="0"/>
          <w:sz w:val="18"/>
          <w:szCs w:val="18"/>
          <w:lang w:eastAsia="ja-JP"/>
          <w14:ligatures w14:val="none"/>
        </w:rPr>
        <w:t xml:space="preserve"> bovenop alles dat reeds voorhanden is op gebied van defensie </w:t>
      </w:r>
      <w:r w:rsidR="00847565">
        <w:rPr>
          <w:rFonts w:ascii="Verdana" w:hAnsi="Verdana" w:eastAsia="MS Mincho" w:cstheme="minorHAnsi"/>
          <w:kern w:val="0"/>
          <w:sz w:val="18"/>
          <w:szCs w:val="18"/>
          <w:lang w:eastAsia="ja-JP"/>
          <w14:ligatures w14:val="none"/>
        </w:rPr>
        <w:t>zoals het SAFE-instrument, het aanstaande</w:t>
      </w:r>
      <w:r w:rsidR="000E665A">
        <w:rPr>
          <w:rFonts w:ascii="Verdana" w:hAnsi="Verdana" w:eastAsia="MS Mincho" w:cstheme="minorHAnsi"/>
          <w:kern w:val="0"/>
          <w:sz w:val="18"/>
          <w:szCs w:val="18"/>
          <w:lang w:eastAsia="ja-JP"/>
          <w14:ligatures w14:val="none"/>
        </w:rPr>
        <w:t xml:space="preserve"> EDIP</w:t>
      </w:r>
      <w:r w:rsidR="00847565">
        <w:rPr>
          <w:rFonts w:ascii="Verdana" w:hAnsi="Verdana" w:eastAsia="MS Mincho" w:cstheme="minorHAnsi"/>
          <w:kern w:val="0"/>
          <w:sz w:val="18"/>
          <w:szCs w:val="18"/>
          <w:lang w:eastAsia="ja-JP"/>
          <w14:ligatures w14:val="none"/>
        </w:rPr>
        <w:t xml:space="preserve"> en het Europees Defensiefonds</w:t>
      </w:r>
      <w:r w:rsidR="00685177">
        <w:rPr>
          <w:rFonts w:ascii="Verdana" w:hAnsi="Verdana" w:eastAsia="MS Mincho" w:cstheme="minorHAnsi"/>
          <w:kern w:val="0"/>
          <w:sz w:val="18"/>
          <w:szCs w:val="18"/>
          <w:lang w:eastAsia="ja-JP"/>
          <w14:ligatures w14:val="none"/>
        </w:rPr>
        <w:t>.</w:t>
      </w:r>
    </w:p>
    <w:p w:rsidR="0056794E" w:rsidP="00100622" w:rsidRDefault="0056794E" w14:paraId="72AA774D" w14:textId="77777777">
      <w:pPr>
        <w:spacing w:after="0" w:line="276" w:lineRule="auto"/>
        <w:rPr>
          <w:rFonts w:ascii="Verdana" w:hAnsi="Verdana" w:eastAsia="MS Mincho" w:cstheme="minorHAnsi"/>
          <w:kern w:val="0"/>
          <w:sz w:val="18"/>
          <w:szCs w:val="18"/>
          <w:lang w:eastAsia="ja-JP"/>
          <w14:ligatures w14:val="none"/>
        </w:rPr>
      </w:pPr>
    </w:p>
    <w:p w:rsidR="00363CE5" w:rsidP="00363CE5" w:rsidRDefault="00363CE5" w14:paraId="48CFE546" w14:textId="55D25104">
      <w:pPr>
        <w:spacing w:after="0" w:line="276" w:lineRule="auto"/>
        <w:rPr>
          <w:rFonts w:ascii="Verdana" w:hAnsi="Verdana" w:eastAsia="MS Mincho" w:cstheme="minorHAnsi"/>
          <w:i/>
          <w:iCs/>
          <w:kern w:val="0"/>
          <w:sz w:val="18"/>
          <w:szCs w:val="18"/>
          <w:lang w:eastAsia="ja-JP"/>
          <w14:ligatures w14:val="none"/>
        </w:rPr>
      </w:pPr>
      <w:r w:rsidRPr="00AC2DD5">
        <w:rPr>
          <w:rFonts w:ascii="Verdana" w:hAnsi="Verdana" w:eastAsia="MS Mincho" w:cstheme="minorHAnsi"/>
          <w:i/>
          <w:iCs/>
          <w:kern w:val="0"/>
          <w:sz w:val="18"/>
          <w:szCs w:val="18"/>
          <w:lang w:eastAsia="ja-JP"/>
          <w14:ligatures w14:val="none"/>
        </w:rPr>
        <w:t>Oekraïne</w:t>
      </w:r>
    </w:p>
    <w:p w:rsidR="00216C63" w:rsidP="00420425" w:rsidRDefault="00865DE0" w14:paraId="22675151" w14:textId="08D3314F">
      <w:pPr>
        <w:spacing w:after="0" w:line="276" w:lineRule="auto"/>
        <w:rPr>
          <w:rFonts w:ascii="Verdana" w:hAnsi="Verdana" w:eastAsia="MS Mincho" w:cstheme="minorHAnsi"/>
          <w:iCs/>
          <w:kern w:val="0"/>
          <w:sz w:val="18"/>
          <w:szCs w:val="18"/>
          <w:lang w:eastAsia="ja-JP"/>
          <w14:ligatures w14:val="none"/>
        </w:rPr>
      </w:pPr>
      <w:r w:rsidRPr="00820454">
        <w:rPr>
          <w:rFonts w:ascii="Verdana" w:hAnsi="Verdana" w:eastAsia="MS Mincho"/>
          <w:kern w:val="0"/>
          <w:sz w:val="18"/>
          <w:szCs w:val="18"/>
          <w:lang w:eastAsia="ja-JP"/>
          <w14:ligatures w14:val="none"/>
        </w:rPr>
        <w:t>De Russische agressieoorlog blijft onverminderd</w:t>
      </w:r>
      <w:r w:rsidRPr="00820454" w:rsidR="00CF06C3">
        <w:rPr>
          <w:rFonts w:ascii="Verdana" w:hAnsi="Verdana" w:eastAsia="MS Mincho"/>
          <w:kern w:val="0"/>
          <w:sz w:val="18"/>
          <w:szCs w:val="18"/>
          <w:lang w:eastAsia="ja-JP"/>
          <w14:ligatures w14:val="none"/>
        </w:rPr>
        <w:t xml:space="preserve"> doorgaan</w:t>
      </w:r>
      <w:r w:rsidRPr="00820454">
        <w:rPr>
          <w:rFonts w:ascii="Verdana" w:hAnsi="Verdana" w:eastAsia="MS Mincho"/>
          <w:kern w:val="0"/>
          <w:sz w:val="18"/>
          <w:szCs w:val="18"/>
          <w:lang w:eastAsia="ja-JP"/>
          <w14:ligatures w14:val="none"/>
        </w:rPr>
        <w:t xml:space="preserve">, met dagelijkse luchtaanvallen op Oekraïense steden. </w:t>
      </w:r>
      <w:r w:rsidRPr="00820454" w:rsidR="00F048C2">
        <w:rPr>
          <w:rFonts w:ascii="Verdana" w:hAnsi="Verdana" w:eastAsia="MS Mincho"/>
          <w:kern w:val="0"/>
          <w:sz w:val="18"/>
          <w:szCs w:val="18"/>
          <w:lang w:eastAsia="ja-JP"/>
          <w14:ligatures w14:val="none"/>
        </w:rPr>
        <w:t xml:space="preserve">De luchtruimschendingen in Polen en Estland </w:t>
      </w:r>
      <w:r w:rsidRPr="00820454" w:rsidR="00432165">
        <w:rPr>
          <w:rFonts w:ascii="Verdana" w:hAnsi="Verdana" w:eastAsia="MS Mincho"/>
          <w:kern w:val="0"/>
          <w:sz w:val="18"/>
          <w:szCs w:val="18"/>
          <w:lang w:eastAsia="ja-JP"/>
          <w14:ligatures w14:val="none"/>
        </w:rPr>
        <w:t xml:space="preserve">in september hebben </w:t>
      </w:r>
      <w:r w:rsidRPr="00820454" w:rsidR="00852E3F">
        <w:rPr>
          <w:rFonts w:ascii="Verdana" w:hAnsi="Verdana" w:eastAsia="MS Mincho"/>
          <w:kern w:val="0"/>
          <w:sz w:val="18"/>
          <w:szCs w:val="18"/>
          <w:lang w:eastAsia="ja-JP"/>
          <w14:ligatures w14:val="none"/>
        </w:rPr>
        <w:t>nogmaals</w:t>
      </w:r>
      <w:r w:rsidRPr="00820454" w:rsidR="00432165">
        <w:rPr>
          <w:rFonts w:ascii="Verdana" w:hAnsi="Verdana" w:eastAsia="MS Mincho"/>
          <w:kern w:val="0"/>
          <w:sz w:val="18"/>
          <w:szCs w:val="18"/>
          <w:lang w:eastAsia="ja-JP"/>
          <w14:ligatures w14:val="none"/>
        </w:rPr>
        <w:t xml:space="preserve"> laten zien</w:t>
      </w:r>
      <w:r w:rsidRPr="00820454" w:rsidR="002F4E25">
        <w:rPr>
          <w:rFonts w:ascii="Verdana" w:hAnsi="Verdana" w:eastAsia="MS Mincho"/>
          <w:kern w:val="0"/>
          <w:sz w:val="18"/>
          <w:szCs w:val="18"/>
          <w:lang w:eastAsia="ja-JP"/>
          <w14:ligatures w14:val="none"/>
        </w:rPr>
        <w:t xml:space="preserve"> dat de Europese en Oekraïense veiligheid onlosmakelijk met elkaar verbonden zijn</w:t>
      </w:r>
      <w:r w:rsidRPr="00820454" w:rsidR="00F048C2">
        <w:rPr>
          <w:rFonts w:ascii="Verdana" w:hAnsi="Verdana" w:eastAsia="MS Mincho"/>
          <w:kern w:val="0"/>
          <w:sz w:val="18"/>
          <w:szCs w:val="18"/>
          <w:lang w:eastAsia="ja-JP"/>
          <w14:ligatures w14:val="none"/>
        </w:rPr>
        <w:t>.</w:t>
      </w:r>
      <w:r w:rsidRPr="00820454" w:rsidR="001341C7">
        <w:rPr>
          <w:rFonts w:ascii="Verdana" w:hAnsi="Verdana" w:eastAsia="MS Mincho"/>
          <w:kern w:val="0"/>
          <w:sz w:val="18"/>
          <w:szCs w:val="18"/>
          <w:lang w:eastAsia="ja-JP"/>
          <w14:ligatures w14:val="none"/>
        </w:rPr>
        <w:t xml:space="preserve"> </w:t>
      </w:r>
      <w:r w:rsidRPr="00820454" w:rsidR="00AC4562">
        <w:rPr>
          <w:rFonts w:ascii="Verdana" w:hAnsi="Verdana" w:eastAsia="MS Mincho"/>
          <w:kern w:val="0"/>
          <w:sz w:val="18"/>
          <w:szCs w:val="18"/>
          <w:lang w:eastAsia="ja-JP"/>
          <w14:ligatures w14:val="none"/>
        </w:rPr>
        <w:t>De</w:t>
      </w:r>
      <w:r w:rsidRPr="00820454">
        <w:rPr>
          <w:rFonts w:ascii="Verdana" w:hAnsi="Verdana" w:eastAsia="MS Mincho"/>
          <w:kern w:val="0"/>
          <w:sz w:val="18"/>
          <w:szCs w:val="18"/>
          <w:lang w:eastAsia="ja-JP"/>
          <w14:ligatures w14:val="none"/>
        </w:rPr>
        <w:t xml:space="preserve"> </w:t>
      </w:r>
      <w:r w:rsidRPr="00820454" w:rsidR="002F4E25">
        <w:rPr>
          <w:rFonts w:ascii="Verdana" w:hAnsi="Verdana" w:eastAsia="MS Mincho"/>
          <w:kern w:val="0"/>
          <w:sz w:val="18"/>
          <w:szCs w:val="18"/>
          <w:lang w:eastAsia="ja-JP"/>
          <w14:ligatures w14:val="none"/>
        </w:rPr>
        <w:t xml:space="preserve">voortgezette militaire en niet-militaire </w:t>
      </w:r>
      <w:r w:rsidRPr="00820454">
        <w:rPr>
          <w:rFonts w:ascii="Verdana" w:hAnsi="Verdana" w:eastAsia="MS Mincho"/>
          <w:kern w:val="0"/>
          <w:sz w:val="18"/>
          <w:szCs w:val="18"/>
          <w:lang w:eastAsia="ja-JP"/>
          <w14:ligatures w14:val="none"/>
        </w:rPr>
        <w:t>steun aan Oekraïne blijft daarom cruciaal</w:t>
      </w:r>
      <w:r w:rsidRPr="00820454" w:rsidR="002F4E25">
        <w:rPr>
          <w:rFonts w:ascii="Verdana" w:hAnsi="Verdana" w:eastAsia="MS Mincho"/>
          <w:kern w:val="0"/>
          <w:sz w:val="18"/>
          <w:szCs w:val="18"/>
          <w:lang w:eastAsia="ja-JP"/>
          <w14:ligatures w14:val="none"/>
        </w:rPr>
        <w:t>: juist nu is het van belang om Oekraïne sterk te positioneren</w:t>
      </w:r>
      <w:r w:rsidRPr="00820454">
        <w:rPr>
          <w:rFonts w:ascii="Verdana" w:hAnsi="Verdana" w:eastAsia="MS Mincho"/>
          <w:kern w:val="0"/>
          <w:sz w:val="18"/>
          <w:szCs w:val="18"/>
          <w:lang w:eastAsia="ja-JP"/>
          <w14:ligatures w14:val="none"/>
        </w:rPr>
        <w:t>. Het kabinet zal</w:t>
      </w:r>
      <w:r w:rsidRPr="00820454" w:rsidR="002F4E25">
        <w:rPr>
          <w:rFonts w:ascii="Verdana" w:hAnsi="Verdana" w:eastAsia="MS Mincho"/>
          <w:kern w:val="0"/>
          <w:sz w:val="18"/>
          <w:szCs w:val="18"/>
          <w:lang w:eastAsia="ja-JP"/>
          <w14:ligatures w14:val="none"/>
        </w:rPr>
        <w:t xml:space="preserve"> tijdens de Europese Raad de EU-lidstaten oproepen hun militaire steun voor Oekraïne te intensiveren</w:t>
      </w:r>
      <w:r w:rsidRPr="00820454">
        <w:rPr>
          <w:rFonts w:ascii="Verdana" w:hAnsi="Verdana" w:eastAsia="MS Mincho"/>
          <w:kern w:val="0"/>
          <w:sz w:val="18"/>
          <w:szCs w:val="18"/>
          <w:lang w:eastAsia="ja-JP"/>
          <w14:ligatures w14:val="none"/>
        </w:rPr>
        <w:t xml:space="preserve"> </w:t>
      </w:r>
      <w:r w:rsidRPr="00820454" w:rsidR="002F4E25">
        <w:rPr>
          <w:rFonts w:ascii="Verdana" w:hAnsi="Verdana" w:eastAsia="MS Mincho"/>
          <w:kern w:val="0"/>
          <w:sz w:val="18"/>
          <w:szCs w:val="18"/>
          <w:lang w:eastAsia="ja-JP"/>
          <w14:ligatures w14:val="none"/>
        </w:rPr>
        <w:t>en zorg te dragen voor voldoende en voorspelbare begrotingssteun om tegemoet te komen aan de financieringsnoden van Oekraïne. Hierbij is het van belang dat alle lidstaten hun bijdrage leveren en de verantwoordelijkheid voor de Europese samenwerking gezamenlijk wordt gedragen, met oog voor een eerlijke lastenverdeling</w:t>
      </w:r>
      <w:r w:rsidRPr="00820454" w:rsidR="00B12927">
        <w:rPr>
          <w:rFonts w:ascii="Verdana" w:hAnsi="Verdana" w:eastAsia="MS Mincho"/>
          <w:kern w:val="0"/>
          <w:sz w:val="18"/>
          <w:szCs w:val="18"/>
          <w:lang w:eastAsia="ja-JP"/>
          <w14:ligatures w14:val="none"/>
        </w:rPr>
        <w:t xml:space="preserve"> (</w:t>
      </w:r>
      <w:r w:rsidRPr="00820454" w:rsidR="00B12927">
        <w:rPr>
          <w:rFonts w:ascii="Verdana" w:hAnsi="Verdana" w:eastAsia="MS Mincho"/>
          <w:i/>
          <w:kern w:val="0"/>
          <w:sz w:val="18"/>
          <w:szCs w:val="18"/>
          <w:lang w:eastAsia="ja-JP"/>
          <w14:ligatures w14:val="none"/>
        </w:rPr>
        <w:t>burden sharing</w:t>
      </w:r>
      <w:bookmarkStart w:name="_Hlk209530558" w:id="0"/>
      <w:bookmarkStart w:name="_Hlk209529069" w:id="1"/>
      <w:r w:rsidRPr="007E353E" w:rsidR="00B12927">
        <w:rPr>
          <w:rFonts w:ascii="Verdana" w:hAnsi="Verdana" w:eastAsia="MS Mincho"/>
          <w:kern w:val="0"/>
          <w:sz w:val="18"/>
          <w:szCs w:val="18"/>
          <w:lang w:eastAsia="ja-JP"/>
          <w14:ligatures w14:val="none"/>
        </w:rPr>
        <w:t>)</w:t>
      </w:r>
      <w:r w:rsidRPr="007E353E" w:rsidR="002F4E25">
        <w:rPr>
          <w:rFonts w:ascii="Verdana" w:hAnsi="Verdana" w:eastAsia="MS Mincho"/>
          <w:kern w:val="0"/>
          <w:sz w:val="18"/>
          <w:szCs w:val="18"/>
          <w:lang w:eastAsia="ja-JP"/>
          <w14:ligatures w14:val="none"/>
        </w:rPr>
        <w:t xml:space="preserve">. </w:t>
      </w:r>
      <w:r w:rsidRPr="00820454" w:rsidR="002F4E25">
        <w:rPr>
          <w:rFonts w:ascii="Verdana" w:hAnsi="Verdana" w:eastAsia="MS Mincho"/>
          <w:kern w:val="0"/>
          <w:sz w:val="18"/>
          <w:szCs w:val="18"/>
          <w:lang w:eastAsia="ja-JP"/>
          <w14:ligatures w14:val="none"/>
        </w:rPr>
        <w:t xml:space="preserve">Daarnaast blijft het van groot belang dat er zoveel mogelijk druk wordt gezet op de Russische overheid om de agressieoorlog te </w:t>
      </w:r>
      <w:r w:rsidRPr="00820454" w:rsidR="00852E3F">
        <w:rPr>
          <w:rFonts w:ascii="Verdana" w:hAnsi="Verdana" w:eastAsia="MS Mincho"/>
          <w:kern w:val="0"/>
          <w:sz w:val="18"/>
          <w:szCs w:val="18"/>
          <w:lang w:eastAsia="ja-JP"/>
          <w14:ligatures w14:val="none"/>
        </w:rPr>
        <w:t>beëindigen</w:t>
      </w:r>
      <w:r w:rsidRPr="00820454" w:rsidR="002F4E25">
        <w:rPr>
          <w:rFonts w:ascii="Verdana" w:hAnsi="Verdana" w:eastAsia="MS Mincho"/>
          <w:kern w:val="0"/>
          <w:sz w:val="18"/>
          <w:szCs w:val="18"/>
          <w:lang w:eastAsia="ja-JP"/>
          <w14:ligatures w14:val="none"/>
        </w:rPr>
        <w:t xml:space="preserve"> en het vermogen om de oorlog te financieren. Nederland zal ervoor pleiten de druk op Rusland nog verder op te voeren, waaronder door middel van spoedige aanname van een stevig negentiende sanctiepakket. </w:t>
      </w:r>
      <w:r w:rsidR="00216C63">
        <w:rPr>
          <w:rFonts w:ascii="Verdana" w:hAnsi="Verdana" w:eastAsia="MS Mincho" w:cstheme="minorHAnsi"/>
          <w:iCs/>
          <w:kern w:val="0"/>
          <w:sz w:val="18"/>
          <w:szCs w:val="18"/>
          <w:lang w:eastAsia="ja-JP"/>
          <w14:ligatures w14:val="none"/>
        </w:rPr>
        <w:t xml:space="preserve">Daarnaast zal Nederland pleiten voor concrete stappen naar de </w:t>
      </w:r>
      <w:r w:rsidR="00430F34">
        <w:rPr>
          <w:rFonts w:ascii="Verdana" w:hAnsi="Verdana" w:eastAsia="MS Mincho" w:cstheme="minorHAnsi"/>
          <w:iCs/>
          <w:kern w:val="0"/>
          <w:sz w:val="18"/>
          <w:szCs w:val="18"/>
          <w:lang w:eastAsia="ja-JP"/>
          <w14:ligatures w14:val="none"/>
        </w:rPr>
        <w:t>volledige</w:t>
      </w:r>
      <w:r w:rsidR="00216C63">
        <w:rPr>
          <w:rFonts w:ascii="Verdana" w:hAnsi="Verdana" w:eastAsia="MS Mincho" w:cstheme="minorHAnsi"/>
          <w:iCs/>
          <w:kern w:val="0"/>
          <w:sz w:val="18"/>
          <w:szCs w:val="18"/>
          <w:lang w:eastAsia="ja-JP"/>
          <w14:ligatures w14:val="none"/>
        </w:rPr>
        <w:t xml:space="preserve"> uitfasering van </w:t>
      </w:r>
      <w:r w:rsidR="00430F34">
        <w:rPr>
          <w:rFonts w:ascii="Verdana" w:hAnsi="Verdana" w:eastAsia="MS Mincho" w:cstheme="minorHAnsi"/>
          <w:iCs/>
          <w:kern w:val="0"/>
          <w:sz w:val="18"/>
          <w:szCs w:val="18"/>
          <w:lang w:eastAsia="ja-JP"/>
          <w14:ligatures w14:val="none"/>
        </w:rPr>
        <w:t>invoer van R</w:t>
      </w:r>
      <w:r w:rsidR="00216C63">
        <w:rPr>
          <w:rFonts w:ascii="Verdana" w:hAnsi="Verdana" w:eastAsia="MS Mincho" w:cstheme="minorHAnsi"/>
          <w:iCs/>
          <w:kern w:val="0"/>
          <w:sz w:val="18"/>
          <w:szCs w:val="18"/>
          <w:lang w:eastAsia="ja-JP"/>
          <w14:ligatures w14:val="none"/>
        </w:rPr>
        <w:t xml:space="preserve">ussische olie in de EU. </w:t>
      </w:r>
      <w:bookmarkEnd w:id="0"/>
    </w:p>
    <w:bookmarkEnd w:id="1"/>
    <w:p w:rsidRPr="0019239F" w:rsidR="0019239F" w:rsidP="00420425" w:rsidRDefault="002F4E25" w14:paraId="4BD75C8D" w14:textId="0D3759D9">
      <w:pPr>
        <w:spacing w:after="0" w:line="276" w:lineRule="auto"/>
        <w:rPr>
          <w:rFonts w:ascii="Verdana" w:hAnsi="Verdana" w:eastAsia="MS Mincho" w:cstheme="minorHAnsi"/>
          <w:kern w:val="0"/>
          <w:sz w:val="18"/>
          <w:szCs w:val="18"/>
          <w:lang w:eastAsia="ja-JP"/>
          <w14:ligatures w14:val="none"/>
        </w:rPr>
      </w:pPr>
      <w:r w:rsidDel="00216C63">
        <w:rPr>
          <w:rFonts w:ascii="Verdana" w:hAnsi="Verdana" w:eastAsia="MS Mincho" w:cstheme="minorHAnsi"/>
          <w:iCs/>
          <w:kern w:val="0"/>
          <w:sz w:val="18"/>
          <w:szCs w:val="18"/>
          <w:lang w:eastAsia="ja-JP"/>
          <w14:ligatures w14:val="none"/>
        </w:rPr>
        <w:t xml:space="preserve"> </w:t>
      </w:r>
    </w:p>
    <w:p w:rsidRPr="0019239F" w:rsidR="0019239F" w:rsidP="00420425" w:rsidRDefault="007004B9" w14:paraId="14CFB49D" w14:textId="34E5F2F1">
      <w:pPr>
        <w:spacing w:after="0" w:line="276" w:lineRule="auto"/>
        <w:rPr>
          <w:rFonts w:ascii="Verdana" w:hAnsi="Verdana" w:eastAsia="MS Mincho" w:cstheme="minorHAnsi"/>
          <w:kern w:val="0"/>
          <w:sz w:val="18"/>
          <w:szCs w:val="18"/>
          <w:lang w:eastAsia="ja-JP"/>
          <w14:ligatures w14:val="none"/>
        </w:rPr>
      </w:pPr>
      <w:r>
        <w:rPr>
          <w:rFonts w:ascii="Verdana" w:hAnsi="Verdana"/>
          <w:sz w:val="18"/>
          <w:szCs w:val="18"/>
        </w:rPr>
        <w:t xml:space="preserve">Mogelijk zal tijdens de bijeenkomst het </w:t>
      </w:r>
      <w:r w:rsidR="0024141C">
        <w:rPr>
          <w:rFonts w:ascii="Verdana" w:hAnsi="Verdana"/>
          <w:sz w:val="18"/>
          <w:szCs w:val="18"/>
        </w:rPr>
        <w:t>toetreding</w:t>
      </w:r>
      <w:r>
        <w:rPr>
          <w:rFonts w:ascii="Verdana" w:hAnsi="Verdana"/>
          <w:sz w:val="18"/>
          <w:szCs w:val="18"/>
        </w:rPr>
        <w:t xml:space="preserve">sperspectief voor </w:t>
      </w:r>
      <w:r w:rsidR="00F737A6">
        <w:rPr>
          <w:rFonts w:ascii="Verdana" w:hAnsi="Verdana"/>
          <w:sz w:val="18"/>
          <w:szCs w:val="18"/>
        </w:rPr>
        <w:t>Oekraïne</w:t>
      </w:r>
      <w:r>
        <w:rPr>
          <w:rFonts w:ascii="Verdana" w:hAnsi="Verdana"/>
          <w:sz w:val="18"/>
          <w:szCs w:val="18"/>
        </w:rPr>
        <w:t xml:space="preserve"> en </w:t>
      </w:r>
      <w:r w:rsidR="00F737A6">
        <w:rPr>
          <w:rFonts w:ascii="Verdana" w:hAnsi="Verdana"/>
          <w:sz w:val="18"/>
          <w:szCs w:val="18"/>
        </w:rPr>
        <w:t>Moldavië</w:t>
      </w:r>
      <w:r w:rsidR="00C0798F">
        <w:rPr>
          <w:rFonts w:ascii="Verdana" w:hAnsi="Verdana"/>
          <w:sz w:val="18"/>
          <w:szCs w:val="18"/>
        </w:rPr>
        <w:t xml:space="preserve"> </w:t>
      </w:r>
      <w:r>
        <w:rPr>
          <w:rFonts w:ascii="Verdana" w:hAnsi="Verdana"/>
          <w:sz w:val="18"/>
          <w:szCs w:val="18"/>
        </w:rPr>
        <w:t>ter tafel komen, zonder dat hier</w:t>
      </w:r>
      <w:r w:rsidR="0024141C">
        <w:rPr>
          <w:rFonts w:ascii="Verdana" w:hAnsi="Verdana"/>
          <w:sz w:val="18"/>
          <w:szCs w:val="18"/>
        </w:rPr>
        <w:t>over</w:t>
      </w:r>
      <w:r>
        <w:rPr>
          <w:rFonts w:ascii="Verdana" w:hAnsi="Verdana"/>
          <w:sz w:val="18"/>
          <w:szCs w:val="18"/>
        </w:rPr>
        <w:t xml:space="preserve"> concrete besluiten worden genomen. </w:t>
      </w:r>
      <w:r w:rsidRPr="004E3170" w:rsidR="004E3170">
        <w:rPr>
          <w:rFonts w:ascii="Verdana" w:hAnsi="Verdana"/>
          <w:sz w:val="18"/>
          <w:szCs w:val="18"/>
        </w:rPr>
        <w:t>Zoals aangegeven in de kabinetsappreciatie van het uitbreidingspakket</w:t>
      </w:r>
      <w:r w:rsidRPr="004E3170" w:rsidR="004E3170">
        <w:rPr>
          <w:rStyle w:val="FootnoteReference"/>
          <w:rFonts w:ascii="Verdana" w:hAnsi="Verdana"/>
          <w:sz w:val="18"/>
          <w:szCs w:val="18"/>
        </w:rPr>
        <w:footnoteReference w:id="6"/>
      </w:r>
      <w:r w:rsidRPr="004E3170" w:rsidR="004E3170">
        <w:rPr>
          <w:rFonts w:ascii="Verdana" w:hAnsi="Verdana"/>
          <w:sz w:val="18"/>
          <w:szCs w:val="18"/>
        </w:rPr>
        <w:t xml:space="preserve">, geldt voor Oekraïne en Moldavië dat wanneer de Commissie het voorstel doet om Cluster 1 </w:t>
      </w:r>
      <w:r w:rsidRPr="004E3170" w:rsidR="004E3170">
        <w:rPr>
          <w:rFonts w:ascii="Verdana" w:hAnsi="Verdana"/>
          <w:i/>
          <w:iCs/>
          <w:sz w:val="18"/>
          <w:szCs w:val="18"/>
        </w:rPr>
        <w:t xml:space="preserve">(Fundamentals) </w:t>
      </w:r>
      <w:r w:rsidRPr="004E3170" w:rsidR="004E3170">
        <w:rPr>
          <w:rFonts w:ascii="Verdana" w:hAnsi="Verdana"/>
          <w:sz w:val="18"/>
          <w:szCs w:val="18"/>
        </w:rPr>
        <w:t>te openen, het kabinet hier kritisch-constructie</w:t>
      </w:r>
      <w:r w:rsidR="004E3170">
        <w:rPr>
          <w:rFonts w:ascii="Verdana" w:hAnsi="Verdana"/>
          <w:sz w:val="18"/>
          <w:szCs w:val="18"/>
        </w:rPr>
        <w:t>f</w:t>
      </w:r>
      <w:r w:rsidRPr="004E3170" w:rsidR="004E3170">
        <w:rPr>
          <w:rFonts w:ascii="Verdana" w:hAnsi="Verdana"/>
          <w:sz w:val="18"/>
          <w:szCs w:val="18"/>
        </w:rPr>
        <w:t xml:space="preserve"> tegenover staat. Tijdens de ER van juni jl. werd nota genomen van de beoordeling van de Commissie dat Cluster 1 klaar is om geopend te worden. Het kabinet is voornemens in te stemmen met het openen van Cluster 1 wanneer dit besluit voorligt en door de Raad wordt geconcludeerd dat aan de gestelde voorwaarden is voldaan. Het kabinet zet daarbij in op strikte verankering van prioritaire thema’s in de </w:t>
      </w:r>
      <w:r w:rsidRPr="004E3170" w:rsidR="004E3170">
        <w:rPr>
          <w:rFonts w:ascii="Verdana" w:hAnsi="Verdana"/>
          <w:i/>
          <w:iCs/>
          <w:sz w:val="18"/>
          <w:szCs w:val="18"/>
        </w:rPr>
        <w:t>benchmarks</w:t>
      </w:r>
      <w:r w:rsidRPr="004E3170" w:rsidR="004E3170">
        <w:rPr>
          <w:rFonts w:ascii="Verdana" w:hAnsi="Verdana"/>
          <w:sz w:val="18"/>
          <w:szCs w:val="18"/>
        </w:rPr>
        <w:t xml:space="preserve"> – vereisten binnen Cluster 1 waar Oekraïne en Moldavië aan moeten voldoen tijdens het toetredingsproces. Rechtstatelijke hervormingen en anti-corruptie maatregelen hebben de expliciete aandacht van het kabinet. Pas nadat de </w:t>
      </w:r>
      <w:r w:rsidRPr="004E3170" w:rsidR="004E3170">
        <w:rPr>
          <w:rFonts w:ascii="Verdana" w:hAnsi="Verdana"/>
          <w:i/>
          <w:iCs/>
          <w:sz w:val="18"/>
          <w:szCs w:val="18"/>
        </w:rPr>
        <w:t>benchmarks</w:t>
      </w:r>
      <w:r w:rsidRPr="004E3170" w:rsidR="004E3170">
        <w:rPr>
          <w:rFonts w:ascii="Verdana" w:hAnsi="Verdana"/>
          <w:sz w:val="18"/>
          <w:szCs w:val="18"/>
        </w:rPr>
        <w:t xml:space="preserve"> door de Raad worden vastgesteld, kan Cluster 1 geopend worden. Binnen de Raad wordt van gedachten gewisseld over de omgang met de Hongaarse blokkade </w:t>
      </w:r>
      <w:r w:rsidR="009F0925">
        <w:rPr>
          <w:rFonts w:ascii="Verdana" w:hAnsi="Verdana"/>
          <w:sz w:val="18"/>
          <w:szCs w:val="18"/>
        </w:rPr>
        <w:t xml:space="preserve">op de opening van </w:t>
      </w:r>
      <w:r w:rsidR="00C0798F">
        <w:rPr>
          <w:rFonts w:ascii="Verdana" w:hAnsi="Verdana"/>
          <w:sz w:val="18"/>
          <w:szCs w:val="18"/>
        </w:rPr>
        <w:t>C</w:t>
      </w:r>
      <w:r w:rsidR="009F0925">
        <w:rPr>
          <w:rFonts w:ascii="Verdana" w:hAnsi="Verdana"/>
          <w:sz w:val="18"/>
          <w:szCs w:val="18"/>
        </w:rPr>
        <w:t>luster 1 met Oekraïne</w:t>
      </w:r>
      <w:r w:rsidRPr="004E3170" w:rsidR="004E3170">
        <w:rPr>
          <w:rFonts w:ascii="Verdana" w:hAnsi="Verdana"/>
          <w:sz w:val="18"/>
          <w:szCs w:val="18"/>
        </w:rPr>
        <w:t>. Het kabinet stelt zich hierbij constructief op en geeft aan dat oneigenlijke bilaterale blokkades de geloofwaardigheid van het op merites gebaseerde uitbreidingsproces aantast</w:t>
      </w:r>
      <w:r w:rsidR="009F0925">
        <w:rPr>
          <w:rFonts w:ascii="Verdana" w:hAnsi="Verdana"/>
          <w:sz w:val="18"/>
          <w:szCs w:val="18"/>
        </w:rPr>
        <w:t>en</w:t>
      </w:r>
      <w:r w:rsidRPr="004E3170" w:rsidR="004E3170">
        <w:rPr>
          <w:rFonts w:ascii="Verdana" w:hAnsi="Verdana"/>
          <w:sz w:val="18"/>
          <w:szCs w:val="18"/>
        </w:rPr>
        <w:t>. In algemene zin staat het kabinet zeer kritisch tegenover uitbreiding van de EU en houdt het streng vast aan de eisen voor EU-lidmaatschap, inclusief de zogenoemde Kopenhagen-criteria. Bovendien benadrukt het kabinet steevast dat de geldende uitbreidingsmethodologie en besluitvormingsprocedures in stand moeten worden gehouden. Dit betekent dat er geen formele besluitvormingsstappen overgeslagen kunnen worden en dat unanimiteit bij besluitvorming een vereiste blijft.</w:t>
      </w:r>
    </w:p>
    <w:p w:rsidRPr="0019239F" w:rsidR="0030565F" w:rsidP="00420425" w:rsidRDefault="0030565F" w14:paraId="39FAFF7D" w14:textId="77777777">
      <w:pPr>
        <w:spacing w:after="0" w:line="276" w:lineRule="auto"/>
        <w:rPr>
          <w:rFonts w:ascii="Verdana" w:hAnsi="Verdana" w:eastAsia="MS Mincho" w:cstheme="minorHAnsi"/>
          <w:kern w:val="0"/>
          <w:sz w:val="18"/>
          <w:szCs w:val="18"/>
          <w:lang w:eastAsia="ja-JP"/>
          <w14:ligatures w14:val="none"/>
        </w:rPr>
      </w:pPr>
    </w:p>
    <w:p w:rsidRPr="00363CE5" w:rsidR="0056794E" w:rsidP="00100622" w:rsidRDefault="0047738B" w14:paraId="40F5AF10" w14:textId="687EBDB0">
      <w:pPr>
        <w:spacing w:after="0" w:line="276" w:lineRule="auto"/>
        <w:rPr>
          <w:rFonts w:ascii="Verdana" w:hAnsi="Verdana" w:eastAsia="MS Mincho" w:cstheme="minorHAnsi"/>
          <w:b/>
          <w:bCs/>
          <w:kern w:val="0"/>
          <w:sz w:val="18"/>
          <w:szCs w:val="18"/>
          <w:lang w:eastAsia="ja-JP"/>
          <w14:ligatures w14:val="none"/>
        </w:rPr>
      </w:pPr>
      <w:r w:rsidRPr="00363CE5">
        <w:rPr>
          <w:rFonts w:ascii="Verdana" w:hAnsi="Verdana" w:eastAsia="MS Mincho" w:cstheme="minorHAnsi"/>
          <w:b/>
          <w:bCs/>
          <w:kern w:val="0"/>
          <w:sz w:val="18"/>
          <w:szCs w:val="18"/>
          <w:lang w:eastAsia="ja-JP"/>
          <w14:ligatures w14:val="none"/>
        </w:rPr>
        <w:t xml:space="preserve">Bijeenkomst </w:t>
      </w:r>
      <w:r w:rsidRPr="00363CE5" w:rsidR="0056794E">
        <w:rPr>
          <w:rFonts w:ascii="Verdana" w:hAnsi="Verdana" w:eastAsia="MS Mincho" w:cstheme="minorHAnsi"/>
          <w:b/>
          <w:bCs/>
          <w:kern w:val="0"/>
          <w:sz w:val="18"/>
          <w:szCs w:val="18"/>
          <w:lang w:eastAsia="ja-JP"/>
          <w14:ligatures w14:val="none"/>
        </w:rPr>
        <w:t>Europese Politieke Gemeenschap (EPG)</w:t>
      </w:r>
      <w:r w:rsidRPr="00363CE5">
        <w:rPr>
          <w:rFonts w:ascii="Verdana" w:hAnsi="Verdana" w:eastAsia="MS Mincho" w:cstheme="minorHAnsi"/>
          <w:b/>
          <w:bCs/>
          <w:kern w:val="0"/>
          <w:sz w:val="18"/>
          <w:szCs w:val="18"/>
          <w:lang w:eastAsia="ja-JP"/>
          <w14:ligatures w14:val="none"/>
        </w:rPr>
        <w:t xml:space="preserve"> op 2 oktober</w:t>
      </w:r>
    </w:p>
    <w:p w:rsidR="0047738B" w:rsidP="00100622" w:rsidRDefault="0047738B" w14:paraId="34D57D08" w14:textId="77777777">
      <w:pPr>
        <w:spacing w:after="0" w:line="276" w:lineRule="auto"/>
        <w:rPr>
          <w:rFonts w:ascii="Verdana" w:hAnsi="Verdana" w:eastAsia="MS Mincho" w:cstheme="minorHAnsi"/>
          <w:i/>
          <w:iCs/>
          <w:kern w:val="0"/>
          <w:sz w:val="18"/>
          <w:szCs w:val="18"/>
          <w:lang w:eastAsia="ja-JP"/>
          <w14:ligatures w14:val="none"/>
        </w:rPr>
      </w:pPr>
    </w:p>
    <w:p w:rsidRPr="0047738B" w:rsidR="0047738B" w:rsidP="0047738B" w:rsidRDefault="0047738B" w14:paraId="1E843041" w14:textId="60FCAAB7">
      <w:pPr>
        <w:spacing w:after="0" w:line="276" w:lineRule="auto"/>
        <w:rPr>
          <w:rFonts w:ascii="Verdana" w:hAnsi="Verdana" w:eastAsia="MS Mincho" w:cstheme="minorHAnsi"/>
          <w:kern w:val="0"/>
          <w:sz w:val="18"/>
          <w:szCs w:val="18"/>
          <w:lang w:eastAsia="ja-JP"/>
          <w14:ligatures w14:val="none"/>
        </w:rPr>
      </w:pPr>
      <w:r w:rsidRPr="0047738B">
        <w:rPr>
          <w:rFonts w:ascii="Verdana" w:hAnsi="Verdana" w:eastAsia="MS Mincho" w:cstheme="minorHAnsi"/>
          <w:kern w:val="0"/>
          <w:sz w:val="18"/>
          <w:szCs w:val="18"/>
          <w:lang w:eastAsia="ja-JP"/>
          <w14:ligatures w14:val="none"/>
        </w:rPr>
        <w:t>Op</w:t>
      </w:r>
      <w:r w:rsidR="00A4647A">
        <w:rPr>
          <w:rFonts w:ascii="Verdana" w:hAnsi="Verdana" w:eastAsia="MS Mincho" w:cstheme="minorHAnsi"/>
          <w:kern w:val="0"/>
          <w:sz w:val="18"/>
          <w:szCs w:val="18"/>
          <w:lang w:eastAsia="ja-JP"/>
          <w14:ligatures w14:val="none"/>
        </w:rPr>
        <w:t xml:space="preserve"> </w:t>
      </w:r>
      <w:r>
        <w:rPr>
          <w:rFonts w:ascii="Verdana" w:hAnsi="Verdana" w:eastAsia="MS Mincho" w:cstheme="minorHAnsi"/>
          <w:kern w:val="0"/>
          <w:sz w:val="18"/>
          <w:szCs w:val="18"/>
          <w:lang w:eastAsia="ja-JP"/>
          <w14:ligatures w14:val="none"/>
        </w:rPr>
        <w:t>2 oktober</w:t>
      </w:r>
      <w:r w:rsidR="00C57876">
        <w:rPr>
          <w:rFonts w:ascii="Verdana" w:hAnsi="Verdana" w:eastAsia="MS Mincho" w:cstheme="minorHAnsi"/>
          <w:kern w:val="0"/>
          <w:sz w:val="18"/>
          <w:szCs w:val="18"/>
          <w:lang w:eastAsia="ja-JP"/>
          <w14:ligatures w14:val="none"/>
        </w:rPr>
        <w:t xml:space="preserve"> a.s.</w:t>
      </w:r>
      <w:r w:rsidRPr="0047738B">
        <w:rPr>
          <w:rFonts w:ascii="Verdana" w:hAnsi="Verdana" w:eastAsia="MS Mincho" w:cstheme="minorHAnsi"/>
          <w:kern w:val="0"/>
          <w:sz w:val="18"/>
          <w:szCs w:val="18"/>
          <w:lang w:eastAsia="ja-JP"/>
          <w14:ligatures w14:val="none"/>
        </w:rPr>
        <w:t xml:space="preserve"> zal de </w:t>
      </w:r>
      <w:r>
        <w:rPr>
          <w:rFonts w:ascii="Verdana" w:hAnsi="Verdana" w:eastAsia="MS Mincho" w:cstheme="minorHAnsi"/>
          <w:kern w:val="0"/>
          <w:sz w:val="18"/>
          <w:szCs w:val="18"/>
          <w:lang w:eastAsia="ja-JP"/>
          <w14:ligatures w14:val="none"/>
        </w:rPr>
        <w:t>zevende</w:t>
      </w:r>
      <w:r w:rsidRPr="0047738B">
        <w:rPr>
          <w:rFonts w:ascii="Verdana" w:hAnsi="Verdana" w:eastAsia="MS Mincho" w:cstheme="minorHAnsi"/>
          <w:kern w:val="0"/>
          <w:sz w:val="18"/>
          <w:szCs w:val="18"/>
          <w:lang w:eastAsia="ja-JP"/>
          <w14:ligatures w14:val="none"/>
        </w:rPr>
        <w:t xml:space="preserve"> bijeenkomst van de Europese Politieke Gemeen</w:t>
      </w:r>
      <w:r w:rsidR="00EF371C">
        <w:rPr>
          <w:rFonts w:ascii="Verdana" w:hAnsi="Verdana" w:eastAsia="MS Mincho" w:cstheme="minorHAnsi"/>
          <w:kern w:val="0"/>
          <w:sz w:val="18"/>
          <w:szCs w:val="18"/>
          <w:lang w:eastAsia="ja-JP"/>
          <w14:ligatures w14:val="none"/>
        </w:rPr>
        <w:t>s</w:t>
      </w:r>
      <w:r w:rsidRPr="0047738B">
        <w:rPr>
          <w:rFonts w:ascii="Verdana" w:hAnsi="Verdana" w:eastAsia="MS Mincho" w:cstheme="minorHAnsi"/>
          <w:kern w:val="0"/>
          <w:sz w:val="18"/>
          <w:szCs w:val="18"/>
          <w:lang w:eastAsia="ja-JP"/>
          <w14:ligatures w14:val="none"/>
        </w:rPr>
        <w:t xml:space="preserve">chap (EPG) plaatsvinden in </w:t>
      </w:r>
      <w:r>
        <w:rPr>
          <w:rFonts w:ascii="Verdana" w:hAnsi="Verdana" w:eastAsia="MS Mincho" w:cstheme="minorHAnsi"/>
          <w:kern w:val="0"/>
          <w:sz w:val="18"/>
          <w:szCs w:val="18"/>
          <w:lang w:eastAsia="ja-JP"/>
          <w14:ligatures w14:val="none"/>
        </w:rPr>
        <w:t>Kopenhagen</w:t>
      </w:r>
      <w:r w:rsidRPr="0047738B">
        <w:rPr>
          <w:rFonts w:ascii="Verdana" w:hAnsi="Verdana" w:eastAsia="MS Mincho" w:cstheme="minorHAnsi"/>
          <w:kern w:val="0"/>
          <w:sz w:val="18"/>
          <w:szCs w:val="18"/>
          <w:lang w:eastAsia="ja-JP"/>
          <w14:ligatures w14:val="none"/>
        </w:rPr>
        <w:t>. Gedurende de top zullen</w:t>
      </w:r>
      <w:r w:rsidR="00883756">
        <w:rPr>
          <w:rFonts w:ascii="Verdana" w:hAnsi="Verdana" w:eastAsia="MS Mincho" w:cstheme="minorHAnsi"/>
          <w:kern w:val="0"/>
          <w:sz w:val="18"/>
          <w:szCs w:val="18"/>
          <w:lang w:eastAsia="ja-JP"/>
          <w14:ligatures w14:val="none"/>
        </w:rPr>
        <w:t xml:space="preserve"> </w:t>
      </w:r>
      <w:r w:rsidRPr="0047738B">
        <w:rPr>
          <w:rFonts w:ascii="Verdana" w:hAnsi="Verdana" w:eastAsia="MS Mincho" w:cstheme="minorHAnsi"/>
          <w:kern w:val="0"/>
          <w:sz w:val="18"/>
          <w:szCs w:val="18"/>
          <w:lang w:eastAsia="ja-JP"/>
          <w14:ligatures w14:val="none"/>
        </w:rPr>
        <w:t>regeringsleiders van meer dan veertig Europese landen met elkaar</w:t>
      </w:r>
      <w:r w:rsidR="00883756">
        <w:rPr>
          <w:rFonts w:ascii="Verdana" w:hAnsi="Verdana" w:eastAsia="MS Mincho" w:cstheme="minorHAnsi"/>
          <w:kern w:val="0"/>
          <w:sz w:val="18"/>
          <w:szCs w:val="18"/>
          <w:lang w:eastAsia="ja-JP"/>
          <w14:ligatures w14:val="none"/>
        </w:rPr>
        <w:t xml:space="preserve"> </w:t>
      </w:r>
      <w:r w:rsidRPr="0047738B">
        <w:rPr>
          <w:rFonts w:ascii="Verdana" w:hAnsi="Verdana" w:eastAsia="MS Mincho" w:cstheme="minorHAnsi"/>
          <w:kern w:val="0"/>
          <w:sz w:val="18"/>
          <w:szCs w:val="18"/>
          <w:lang w:eastAsia="ja-JP"/>
          <w14:ligatures w14:val="none"/>
        </w:rPr>
        <w:t>spreken over gezamenlijke uitdagingen en kansen. Naast de zevenen-</w:t>
      </w:r>
    </w:p>
    <w:p w:rsidR="00883756" w:rsidP="0047738B" w:rsidRDefault="0047738B" w14:paraId="01004C26" w14:textId="139984AF">
      <w:pPr>
        <w:spacing w:after="0" w:line="276" w:lineRule="auto"/>
        <w:rPr>
          <w:rFonts w:ascii="Verdana" w:hAnsi="Verdana" w:eastAsia="MS Mincho" w:cstheme="minorHAnsi"/>
          <w:kern w:val="0"/>
          <w:sz w:val="18"/>
          <w:szCs w:val="18"/>
          <w:lang w:eastAsia="ja-JP"/>
          <w14:ligatures w14:val="none"/>
        </w:rPr>
      </w:pPr>
      <w:r w:rsidRPr="0047738B">
        <w:rPr>
          <w:rFonts w:ascii="Verdana" w:hAnsi="Verdana" w:eastAsia="MS Mincho" w:cstheme="minorHAnsi"/>
          <w:kern w:val="0"/>
          <w:sz w:val="18"/>
          <w:szCs w:val="18"/>
          <w:lang w:eastAsia="ja-JP"/>
          <w14:ligatures w14:val="none"/>
        </w:rPr>
        <w:lastRenderedPageBreak/>
        <w:t>twintig lidstaten van de EU is een groot aantal andere Europese landen</w:t>
      </w:r>
      <w:r w:rsidR="00883756">
        <w:rPr>
          <w:rFonts w:ascii="Verdana" w:hAnsi="Verdana" w:eastAsia="MS Mincho" w:cstheme="minorHAnsi"/>
          <w:kern w:val="0"/>
          <w:sz w:val="18"/>
          <w:szCs w:val="18"/>
          <w:lang w:eastAsia="ja-JP"/>
          <w14:ligatures w14:val="none"/>
        </w:rPr>
        <w:t xml:space="preserve"> </w:t>
      </w:r>
      <w:r w:rsidRPr="0047738B">
        <w:rPr>
          <w:rFonts w:ascii="Verdana" w:hAnsi="Verdana" w:eastAsia="MS Mincho" w:cstheme="minorHAnsi"/>
          <w:kern w:val="0"/>
          <w:sz w:val="18"/>
          <w:szCs w:val="18"/>
          <w:lang w:eastAsia="ja-JP"/>
          <w14:ligatures w14:val="none"/>
        </w:rPr>
        <w:t>aanwezig, waaronder het Verenigd Koninkrijk, Noorwegen, IJsland, de</w:t>
      </w:r>
      <w:r w:rsidR="00883756">
        <w:rPr>
          <w:rFonts w:ascii="Verdana" w:hAnsi="Verdana" w:eastAsia="MS Mincho" w:cstheme="minorHAnsi"/>
          <w:kern w:val="0"/>
          <w:sz w:val="18"/>
          <w:szCs w:val="18"/>
          <w:lang w:eastAsia="ja-JP"/>
          <w14:ligatures w14:val="none"/>
        </w:rPr>
        <w:t xml:space="preserve"> </w:t>
      </w:r>
      <w:r w:rsidRPr="0047738B">
        <w:rPr>
          <w:rFonts w:ascii="Verdana" w:hAnsi="Verdana" w:eastAsia="MS Mincho" w:cstheme="minorHAnsi"/>
          <w:kern w:val="0"/>
          <w:sz w:val="18"/>
          <w:szCs w:val="18"/>
          <w:lang w:eastAsia="ja-JP"/>
          <w14:ligatures w14:val="none"/>
        </w:rPr>
        <w:t>tien kandidaat-lidstaten van de EU, Armenië en Azerbeidzjan.</w:t>
      </w:r>
      <w:r w:rsidR="00883756">
        <w:rPr>
          <w:rFonts w:ascii="Verdana" w:hAnsi="Verdana" w:eastAsia="MS Mincho" w:cstheme="minorHAnsi"/>
          <w:kern w:val="0"/>
          <w:sz w:val="18"/>
          <w:szCs w:val="18"/>
          <w:lang w:eastAsia="ja-JP"/>
          <w14:ligatures w14:val="none"/>
        </w:rPr>
        <w:t xml:space="preserve"> </w:t>
      </w:r>
    </w:p>
    <w:p w:rsidR="00883756" w:rsidP="0047738B" w:rsidRDefault="00883756" w14:paraId="625DEA58" w14:textId="77777777">
      <w:pPr>
        <w:spacing w:after="0" w:line="276" w:lineRule="auto"/>
        <w:rPr>
          <w:rFonts w:ascii="Verdana" w:hAnsi="Verdana" w:eastAsia="MS Mincho" w:cstheme="minorHAnsi"/>
          <w:kern w:val="0"/>
          <w:sz w:val="18"/>
          <w:szCs w:val="18"/>
          <w:lang w:eastAsia="ja-JP"/>
          <w14:ligatures w14:val="none"/>
        </w:rPr>
      </w:pPr>
    </w:p>
    <w:p w:rsidR="0047738B" w:rsidP="0047738B" w:rsidRDefault="0047738B" w14:paraId="707D0F10" w14:textId="4607B0EE">
      <w:pPr>
        <w:spacing w:after="0" w:line="276" w:lineRule="auto"/>
        <w:rPr>
          <w:rFonts w:ascii="Verdana" w:hAnsi="Verdana" w:eastAsia="MS Mincho" w:cstheme="minorHAnsi"/>
          <w:kern w:val="0"/>
          <w:sz w:val="18"/>
          <w:szCs w:val="18"/>
          <w:lang w:eastAsia="ja-JP"/>
          <w14:ligatures w14:val="none"/>
        </w:rPr>
      </w:pPr>
      <w:r w:rsidRPr="0047738B">
        <w:rPr>
          <w:rFonts w:ascii="Verdana" w:hAnsi="Verdana" w:eastAsia="MS Mincho" w:cstheme="minorHAnsi"/>
          <w:kern w:val="0"/>
          <w:sz w:val="18"/>
          <w:szCs w:val="18"/>
          <w:lang w:eastAsia="ja-JP"/>
          <w14:ligatures w14:val="none"/>
        </w:rPr>
        <w:t>De EPG is in 2022 opgericht om in de context van geopolitieke spanningen</w:t>
      </w:r>
      <w:r w:rsidR="00883756">
        <w:rPr>
          <w:rFonts w:ascii="Verdana" w:hAnsi="Verdana" w:eastAsia="MS Mincho" w:cstheme="minorHAnsi"/>
          <w:kern w:val="0"/>
          <w:sz w:val="18"/>
          <w:szCs w:val="18"/>
          <w:lang w:eastAsia="ja-JP"/>
          <w14:ligatures w14:val="none"/>
        </w:rPr>
        <w:t xml:space="preserve"> </w:t>
      </w:r>
      <w:r w:rsidRPr="0047738B">
        <w:rPr>
          <w:rFonts w:ascii="Verdana" w:hAnsi="Verdana" w:eastAsia="MS Mincho" w:cstheme="minorHAnsi"/>
          <w:kern w:val="0"/>
          <w:sz w:val="18"/>
          <w:szCs w:val="18"/>
          <w:lang w:eastAsia="ja-JP"/>
          <w14:ligatures w14:val="none"/>
        </w:rPr>
        <w:t>een forum te creëren voor politieke dialoog en samenwerking tussen</w:t>
      </w:r>
      <w:r w:rsidR="00883756">
        <w:rPr>
          <w:rFonts w:ascii="Verdana" w:hAnsi="Verdana" w:eastAsia="MS Mincho" w:cstheme="minorHAnsi"/>
          <w:kern w:val="0"/>
          <w:sz w:val="18"/>
          <w:szCs w:val="18"/>
          <w:lang w:eastAsia="ja-JP"/>
          <w14:ligatures w14:val="none"/>
        </w:rPr>
        <w:t xml:space="preserve"> </w:t>
      </w:r>
      <w:r w:rsidRPr="0047738B">
        <w:rPr>
          <w:rFonts w:ascii="Verdana" w:hAnsi="Verdana" w:eastAsia="MS Mincho" w:cstheme="minorHAnsi"/>
          <w:kern w:val="0"/>
          <w:sz w:val="18"/>
          <w:szCs w:val="18"/>
          <w:lang w:eastAsia="ja-JP"/>
          <w14:ligatures w14:val="none"/>
        </w:rPr>
        <w:t>EU-lidstaten en naastgelegen landen uit de «ring rond Europa». Het kabinet ziet de toegevoegde waarde van de EPG</w:t>
      </w:r>
      <w:r w:rsidR="007C52B6">
        <w:rPr>
          <w:rFonts w:ascii="Verdana" w:hAnsi="Verdana" w:eastAsia="MS Mincho" w:cstheme="minorHAnsi"/>
          <w:kern w:val="0"/>
          <w:sz w:val="18"/>
          <w:szCs w:val="18"/>
          <w:lang w:eastAsia="ja-JP"/>
          <w14:ligatures w14:val="none"/>
        </w:rPr>
        <w:t xml:space="preserve"> </w:t>
      </w:r>
      <w:r w:rsidRPr="0047738B">
        <w:rPr>
          <w:rFonts w:ascii="Verdana" w:hAnsi="Verdana" w:eastAsia="MS Mincho" w:cstheme="minorHAnsi"/>
          <w:kern w:val="0"/>
          <w:sz w:val="18"/>
          <w:szCs w:val="18"/>
          <w:lang w:eastAsia="ja-JP"/>
          <w14:ligatures w14:val="none"/>
        </w:rPr>
        <w:t>als een forum voor uitwisseling en samenwerking en geeft de voorkeur</w:t>
      </w:r>
      <w:r w:rsidR="007C52B6">
        <w:rPr>
          <w:rFonts w:ascii="Verdana" w:hAnsi="Verdana" w:eastAsia="MS Mincho" w:cstheme="minorHAnsi"/>
          <w:kern w:val="0"/>
          <w:sz w:val="18"/>
          <w:szCs w:val="18"/>
          <w:lang w:eastAsia="ja-JP"/>
          <w14:ligatures w14:val="none"/>
        </w:rPr>
        <w:t xml:space="preserve"> </w:t>
      </w:r>
      <w:r w:rsidRPr="0047738B">
        <w:rPr>
          <w:rFonts w:ascii="Verdana" w:hAnsi="Verdana" w:eastAsia="MS Mincho" w:cstheme="minorHAnsi"/>
          <w:kern w:val="0"/>
          <w:sz w:val="18"/>
          <w:szCs w:val="18"/>
          <w:lang w:eastAsia="ja-JP"/>
          <w14:ligatures w14:val="none"/>
        </w:rPr>
        <w:t>aan een flexibele en lichte structuur om duplicatie met andere multila</w:t>
      </w:r>
      <w:r w:rsidR="007C52B6">
        <w:rPr>
          <w:rFonts w:ascii="Verdana" w:hAnsi="Verdana" w:eastAsia="MS Mincho" w:cstheme="minorHAnsi"/>
          <w:kern w:val="0"/>
          <w:sz w:val="18"/>
          <w:szCs w:val="18"/>
          <w:lang w:eastAsia="ja-JP"/>
          <w14:ligatures w14:val="none"/>
        </w:rPr>
        <w:t>t</w:t>
      </w:r>
      <w:r w:rsidRPr="0047738B">
        <w:rPr>
          <w:rFonts w:ascii="Verdana" w:hAnsi="Verdana" w:eastAsia="MS Mincho" w:cstheme="minorHAnsi"/>
          <w:kern w:val="0"/>
          <w:sz w:val="18"/>
          <w:szCs w:val="18"/>
          <w:lang w:eastAsia="ja-JP"/>
          <w14:ligatures w14:val="none"/>
        </w:rPr>
        <w:t xml:space="preserve">erale fora te voorkomen. Er zal geen gezamenlijke </w:t>
      </w:r>
      <w:r w:rsidR="008E3E03">
        <w:rPr>
          <w:rFonts w:ascii="Verdana" w:hAnsi="Verdana" w:eastAsia="MS Mincho" w:cstheme="minorHAnsi"/>
          <w:kern w:val="0"/>
          <w:sz w:val="18"/>
          <w:szCs w:val="18"/>
          <w:lang w:eastAsia="ja-JP"/>
          <w14:ligatures w14:val="none"/>
        </w:rPr>
        <w:t>EPG-</w:t>
      </w:r>
      <w:r w:rsidRPr="0047738B">
        <w:rPr>
          <w:rFonts w:ascii="Verdana" w:hAnsi="Verdana" w:eastAsia="MS Mincho" w:cstheme="minorHAnsi"/>
          <w:kern w:val="0"/>
          <w:sz w:val="18"/>
          <w:szCs w:val="18"/>
          <w:lang w:eastAsia="ja-JP"/>
          <w14:ligatures w14:val="none"/>
        </w:rPr>
        <w:t>verklaring worden</w:t>
      </w:r>
      <w:r w:rsidR="007C52B6">
        <w:rPr>
          <w:rFonts w:ascii="Verdana" w:hAnsi="Verdana" w:eastAsia="MS Mincho" w:cstheme="minorHAnsi"/>
          <w:kern w:val="0"/>
          <w:sz w:val="18"/>
          <w:szCs w:val="18"/>
          <w:lang w:eastAsia="ja-JP"/>
          <w14:ligatures w14:val="none"/>
        </w:rPr>
        <w:t xml:space="preserve"> </w:t>
      </w:r>
      <w:r w:rsidRPr="0047738B">
        <w:rPr>
          <w:rFonts w:ascii="Verdana" w:hAnsi="Verdana" w:eastAsia="MS Mincho" w:cstheme="minorHAnsi"/>
          <w:kern w:val="0"/>
          <w:sz w:val="18"/>
          <w:szCs w:val="18"/>
          <w:lang w:eastAsia="ja-JP"/>
          <w14:ligatures w14:val="none"/>
        </w:rPr>
        <w:t>aangenomen en er is geen concrete besluitvorming voorzien.</w:t>
      </w:r>
    </w:p>
    <w:p w:rsidRPr="0047738B" w:rsidR="008E3E03" w:rsidP="0047738B" w:rsidRDefault="00F014E3" w14:paraId="1564D5D4" w14:textId="6E0A5AEA">
      <w:pPr>
        <w:spacing w:after="0" w:line="276" w:lineRule="auto"/>
        <w:rPr>
          <w:rFonts w:ascii="Verdana" w:hAnsi="Verdana" w:eastAsia="MS Mincho" w:cstheme="minorHAnsi"/>
          <w:kern w:val="0"/>
          <w:sz w:val="18"/>
          <w:szCs w:val="18"/>
          <w:lang w:eastAsia="ja-JP"/>
          <w14:ligatures w14:val="none"/>
        </w:rPr>
      </w:pPr>
      <w:r>
        <w:rPr>
          <w:rFonts w:ascii="Verdana" w:hAnsi="Verdana" w:eastAsia="MS Mincho" w:cstheme="minorHAnsi"/>
          <w:kern w:val="0"/>
          <w:sz w:val="18"/>
          <w:szCs w:val="18"/>
          <w:lang w:eastAsia="ja-JP"/>
          <w14:ligatures w14:val="none"/>
        </w:rPr>
        <w:t xml:space="preserve"> </w:t>
      </w:r>
    </w:p>
    <w:p w:rsidR="0047738B" w:rsidP="0047738B" w:rsidRDefault="0047738B" w14:paraId="07F377B2" w14:textId="38BB6A59">
      <w:pPr>
        <w:spacing w:after="0" w:line="276" w:lineRule="auto"/>
        <w:rPr>
          <w:rFonts w:ascii="Verdana" w:hAnsi="Verdana" w:eastAsia="MS Mincho" w:cstheme="minorHAnsi"/>
          <w:kern w:val="0"/>
          <w:sz w:val="18"/>
          <w:szCs w:val="18"/>
          <w:lang w:eastAsia="ja-JP"/>
          <w14:ligatures w14:val="none"/>
        </w:rPr>
      </w:pPr>
      <w:r w:rsidRPr="0047738B">
        <w:rPr>
          <w:rFonts w:ascii="Verdana" w:hAnsi="Verdana" w:eastAsia="MS Mincho" w:cstheme="minorHAnsi"/>
          <w:kern w:val="0"/>
          <w:sz w:val="18"/>
          <w:szCs w:val="18"/>
          <w:lang w:eastAsia="ja-JP"/>
          <w14:ligatures w14:val="none"/>
        </w:rPr>
        <w:t>Het thema van deze EPG-top i</w:t>
      </w:r>
      <w:r w:rsidR="00473F53">
        <w:rPr>
          <w:rFonts w:ascii="Verdana" w:hAnsi="Verdana" w:eastAsia="MS Mincho" w:cstheme="minorHAnsi"/>
          <w:kern w:val="0"/>
          <w:sz w:val="18"/>
          <w:szCs w:val="18"/>
          <w:lang w:eastAsia="ja-JP"/>
          <w14:ligatures w14:val="none"/>
        </w:rPr>
        <w:t>s de veiligheidssituatie in Europa</w:t>
      </w:r>
      <w:r w:rsidRPr="0047738B">
        <w:rPr>
          <w:rFonts w:ascii="Verdana" w:hAnsi="Verdana" w:eastAsia="MS Mincho" w:cstheme="minorHAnsi"/>
          <w:kern w:val="0"/>
          <w:sz w:val="18"/>
          <w:szCs w:val="18"/>
          <w:lang w:eastAsia="ja-JP"/>
          <w14:ligatures w14:val="none"/>
        </w:rPr>
        <w:t xml:space="preserve">. </w:t>
      </w:r>
      <w:r w:rsidR="00580CA6">
        <w:rPr>
          <w:rFonts w:ascii="Verdana" w:hAnsi="Verdana" w:eastAsia="MS Mincho" w:cstheme="minorHAnsi"/>
          <w:kern w:val="0"/>
          <w:sz w:val="18"/>
          <w:szCs w:val="18"/>
          <w:lang w:eastAsia="ja-JP"/>
          <w14:ligatures w14:val="none"/>
        </w:rPr>
        <w:t>Voortbouwend op de eerdere bijeenkomsten van de</w:t>
      </w:r>
      <w:r w:rsidRPr="0047738B">
        <w:rPr>
          <w:rFonts w:ascii="Verdana" w:hAnsi="Verdana" w:eastAsia="MS Mincho" w:cstheme="minorHAnsi"/>
          <w:kern w:val="0"/>
          <w:sz w:val="18"/>
          <w:szCs w:val="18"/>
          <w:lang w:eastAsia="ja-JP"/>
          <w14:ligatures w14:val="none"/>
        </w:rPr>
        <w:t xml:space="preserve"> EPG zal </w:t>
      </w:r>
      <w:r w:rsidR="00580CA6">
        <w:rPr>
          <w:rFonts w:ascii="Verdana" w:hAnsi="Verdana" w:eastAsia="MS Mincho" w:cstheme="minorHAnsi"/>
          <w:kern w:val="0"/>
          <w:sz w:val="18"/>
          <w:szCs w:val="18"/>
          <w:lang w:eastAsia="ja-JP"/>
          <w14:ligatures w14:val="none"/>
        </w:rPr>
        <w:t xml:space="preserve">deze Top </w:t>
      </w:r>
      <w:r w:rsidRPr="0047738B">
        <w:rPr>
          <w:rFonts w:ascii="Verdana" w:hAnsi="Verdana" w:eastAsia="MS Mincho" w:cstheme="minorHAnsi"/>
          <w:kern w:val="0"/>
          <w:sz w:val="18"/>
          <w:szCs w:val="18"/>
          <w:lang w:eastAsia="ja-JP"/>
          <w14:ligatures w14:val="none"/>
        </w:rPr>
        <w:t>worden</w:t>
      </w:r>
      <w:r w:rsidR="00580CA6">
        <w:rPr>
          <w:rFonts w:ascii="Verdana" w:hAnsi="Verdana" w:eastAsia="MS Mincho" w:cstheme="minorHAnsi"/>
          <w:kern w:val="0"/>
          <w:sz w:val="18"/>
          <w:szCs w:val="18"/>
          <w:lang w:eastAsia="ja-JP"/>
          <w14:ligatures w14:val="none"/>
        </w:rPr>
        <w:t xml:space="preserve"> </w:t>
      </w:r>
      <w:r w:rsidRPr="0047738B">
        <w:rPr>
          <w:rFonts w:ascii="Verdana" w:hAnsi="Verdana" w:eastAsia="MS Mincho" w:cstheme="minorHAnsi"/>
          <w:kern w:val="0"/>
          <w:sz w:val="18"/>
          <w:szCs w:val="18"/>
          <w:lang w:eastAsia="ja-JP"/>
          <w14:ligatures w14:val="none"/>
        </w:rPr>
        <w:t xml:space="preserve">geopend met een plenaire sessie over Oekraïne en Europese </w:t>
      </w:r>
      <w:r w:rsidR="004A4923">
        <w:rPr>
          <w:rFonts w:ascii="Verdana" w:hAnsi="Verdana" w:eastAsia="MS Mincho" w:cstheme="minorHAnsi"/>
          <w:kern w:val="0"/>
          <w:sz w:val="18"/>
          <w:szCs w:val="18"/>
          <w:lang w:eastAsia="ja-JP"/>
          <w14:ligatures w14:val="none"/>
        </w:rPr>
        <w:t>v</w:t>
      </w:r>
      <w:r w:rsidRPr="0047738B">
        <w:rPr>
          <w:rFonts w:ascii="Verdana" w:hAnsi="Verdana" w:eastAsia="MS Mincho" w:cstheme="minorHAnsi"/>
          <w:kern w:val="0"/>
          <w:sz w:val="18"/>
          <w:szCs w:val="18"/>
          <w:lang w:eastAsia="ja-JP"/>
          <w14:ligatures w14:val="none"/>
        </w:rPr>
        <w:t>eiligheidsuitdagingen. Een beperkt aantal regeringsleiders en staatshoofden zal</w:t>
      </w:r>
      <w:r w:rsidR="004A4923">
        <w:rPr>
          <w:rFonts w:ascii="Verdana" w:hAnsi="Verdana" w:eastAsia="MS Mincho" w:cstheme="minorHAnsi"/>
          <w:kern w:val="0"/>
          <w:sz w:val="18"/>
          <w:szCs w:val="18"/>
          <w:lang w:eastAsia="ja-JP"/>
          <w14:ligatures w14:val="none"/>
        </w:rPr>
        <w:t xml:space="preserve"> </w:t>
      </w:r>
      <w:r w:rsidRPr="0047738B">
        <w:rPr>
          <w:rFonts w:ascii="Verdana" w:hAnsi="Verdana" w:eastAsia="MS Mincho" w:cstheme="minorHAnsi"/>
          <w:kern w:val="0"/>
          <w:sz w:val="18"/>
          <w:szCs w:val="18"/>
          <w:lang w:eastAsia="ja-JP"/>
          <w14:ligatures w14:val="none"/>
        </w:rPr>
        <w:t>spreken.</w:t>
      </w:r>
    </w:p>
    <w:p w:rsidRPr="0047738B" w:rsidR="0040728A" w:rsidP="0047738B" w:rsidRDefault="0040728A" w14:paraId="6ABF38B5" w14:textId="77777777">
      <w:pPr>
        <w:spacing w:after="0" w:line="276" w:lineRule="auto"/>
        <w:rPr>
          <w:rFonts w:ascii="Verdana" w:hAnsi="Verdana" w:eastAsia="MS Mincho" w:cstheme="minorHAnsi"/>
          <w:kern w:val="0"/>
          <w:sz w:val="18"/>
          <w:szCs w:val="18"/>
          <w:lang w:eastAsia="ja-JP"/>
          <w14:ligatures w14:val="none"/>
        </w:rPr>
      </w:pPr>
    </w:p>
    <w:p w:rsidRPr="0047738B" w:rsidR="0047738B" w:rsidP="0047738B" w:rsidRDefault="0047738B" w14:paraId="15E8AE29" w14:textId="746BE13E">
      <w:pPr>
        <w:spacing w:after="0" w:line="276" w:lineRule="auto"/>
        <w:rPr>
          <w:rFonts w:ascii="Verdana" w:hAnsi="Verdana" w:eastAsia="MS Mincho" w:cstheme="minorHAnsi"/>
          <w:kern w:val="0"/>
          <w:sz w:val="18"/>
          <w:szCs w:val="18"/>
          <w:lang w:eastAsia="ja-JP"/>
          <w14:ligatures w14:val="none"/>
        </w:rPr>
      </w:pPr>
      <w:r w:rsidRPr="0047738B">
        <w:rPr>
          <w:rFonts w:ascii="Verdana" w:hAnsi="Verdana" w:eastAsia="MS Mincho" w:cstheme="minorHAnsi"/>
          <w:kern w:val="0"/>
          <w:sz w:val="18"/>
          <w:szCs w:val="18"/>
          <w:lang w:eastAsia="ja-JP"/>
          <w14:ligatures w14:val="none"/>
        </w:rPr>
        <w:t>Na de plenaire sessie zullen drie thematische rondetafelgesprekken</w:t>
      </w:r>
      <w:r w:rsidR="00A216BA">
        <w:rPr>
          <w:rFonts w:ascii="Verdana" w:hAnsi="Verdana" w:eastAsia="MS Mincho" w:cstheme="minorHAnsi"/>
          <w:kern w:val="0"/>
          <w:sz w:val="18"/>
          <w:szCs w:val="18"/>
          <w:lang w:eastAsia="ja-JP"/>
          <w14:ligatures w14:val="none"/>
        </w:rPr>
        <w:t xml:space="preserve"> </w:t>
      </w:r>
      <w:r w:rsidRPr="0047738B">
        <w:rPr>
          <w:rFonts w:ascii="Verdana" w:hAnsi="Verdana" w:eastAsia="MS Mincho" w:cstheme="minorHAnsi"/>
          <w:kern w:val="0"/>
          <w:sz w:val="18"/>
          <w:szCs w:val="18"/>
          <w:lang w:eastAsia="ja-JP"/>
          <w14:ligatures w14:val="none"/>
        </w:rPr>
        <w:t>plaatsvinden</w:t>
      </w:r>
      <w:r w:rsidR="00D21700">
        <w:rPr>
          <w:rFonts w:ascii="Verdana" w:hAnsi="Verdana" w:eastAsia="MS Mincho" w:cstheme="minorHAnsi"/>
          <w:kern w:val="0"/>
          <w:sz w:val="18"/>
          <w:szCs w:val="18"/>
          <w:lang w:eastAsia="ja-JP"/>
          <w14:ligatures w14:val="none"/>
        </w:rPr>
        <w:t xml:space="preserve"> over veiligheid en weerbaarheid, economische veiligheid en migratie. </w:t>
      </w:r>
    </w:p>
    <w:p w:rsidRPr="0047738B" w:rsidR="0040728A" w:rsidP="0047738B" w:rsidRDefault="0040728A" w14:paraId="2D5ED747" w14:textId="77777777">
      <w:pPr>
        <w:spacing w:after="0" w:line="276" w:lineRule="auto"/>
        <w:rPr>
          <w:rFonts w:ascii="Verdana" w:hAnsi="Verdana" w:eastAsia="MS Mincho" w:cstheme="minorHAnsi"/>
          <w:kern w:val="0"/>
          <w:sz w:val="18"/>
          <w:szCs w:val="18"/>
          <w:lang w:eastAsia="ja-JP"/>
          <w14:ligatures w14:val="none"/>
        </w:rPr>
      </w:pPr>
    </w:p>
    <w:p w:rsidRPr="0047738B" w:rsidR="0047738B" w:rsidP="0047738B" w:rsidRDefault="0047738B" w14:paraId="61F6A66B" w14:textId="6DCEA8D7">
      <w:pPr>
        <w:spacing w:after="0" w:line="276" w:lineRule="auto"/>
        <w:rPr>
          <w:rFonts w:ascii="Verdana" w:hAnsi="Verdana" w:eastAsia="MS Mincho" w:cstheme="minorHAnsi"/>
          <w:kern w:val="0"/>
          <w:sz w:val="18"/>
          <w:szCs w:val="18"/>
          <w:lang w:eastAsia="ja-JP"/>
          <w14:ligatures w14:val="none"/>
        </w:rPr>
      </w:pPr>
      <w:r w:rsidRPr="0047738B">
        <w:rPr>
          <w:rFonts w:ascii="Verdana" w:hAnsi="Verdana" w:eastAsia="MS Mincho" w:cstheme="minorHAnsi"/>
          <w:kern w:val="0"/>
          <w:sz w:val="18"/>
          <w:szCs w:val="18"/>
          <w:lang w:eastAsia="ja-JP"/>
          <w14:ligatures w14:val="none"/>
        </w:rPr>
        <w:t xml:space="preserve">De </w:t>
      </w:r>
      <w:r w:rsidR="00635ACD">
        <w:rPr>
          <w:rFonts w:ascii="Verdana" w:hAnsi="Verdana" w:eastAsia="MS Mincho" w:cstheme="minorHAnsi"/>
          <w:kern w:val="0"/>
          <w:sz w:val="18"/>
          <w:szCs w:val="18"/>
          <w:lang w:eastAsia="ja-JP"/>
          <w14:ligatures w14:val="none"/>
        </w:rPr>
        <w:t>m</w:t>
      </w:r>
      <w:r w:rsidRPr="0047738B">
        <w:rPr>
          <w:rFonts w:ascii="Verdana" w:hAnsi="Verdana" w:eastAsia="MS Mincho" w:cstheme="minorHAnsi"/>
          <w:kern w:val="0"/>
          <w:sz w:val="18"/>
          <w:szCs w:val="18"/>
          <w:lang w:eastAsia="ja-JP"/>
          <w14:ligatures w14:val="none"/>
        </w:rPr>
        <w:t>inister-</w:t>
      </w:r>
      <w:r w:rsidR="00635ACD">
        <w:rPr>
          <w:rFonts w:ascii="Verdana" w:hAnsi="Verdana" w:eastAsia="MS Mincho" w:cstheme="minorHAnsi"/>
          <w:kern w:val="0"/>
          <w:sz w:val="18"/>
          <w:szCs w:val="18"/>
          <w:lang w:eastAsia="ja-JP"/>
          <w14:ligatures w14:val="none"/>
        </w:rPr>
        <w:t>p</w:t>
      </w:r>
      <w:r w:rsidRPr="0047738B">
        <w:rPr>
          <w:rFonts w:ascii="Verdana" w:hAnsi="Verdana" w:eastAsia="MS Mincho" w:cstheme="minorHAnsi"/>
          <w:kern w:val="0"/>
          <w:sz w:val="18"/>
          <w:szCs w:val="18"/>
          <w:lang w:eastAsia="ja-JP"/>
          <w14:ligatures w14:val="none"/>
        </w:rPr>
        <w:t>resident is voornemens deel te nemen aan de ronde tafel</w:t>
      </w:r>
      <w:r w:rsidR="000729BD">
        <w:rPr>
          <w:rFonts w:ascii="Verdana" w:hAnsi="Verdana" w:eastAsia="MS Mincho" w:cstheme="minorHAnsi"/>
          <w:kern w:val="0"/>
          <w:sz w:val="18"/>
          <w:szCs w:val="18"/>
          <w:lang w:eastAsia="ja-JP"/>
          <w14:ligatures w14:val="none"/>
        </w:rPr>
        <w:t xml:space="preserve"> </w:t>
      </w:r>
      <w:r w:rsidRPr="0047738B">
        <w:rPr>
          <w:rFonts w:ascii="Verdana" w:hAnsi="Verdana" w:eastAsia="MS Mincho" w:cstheme="minorHAnsi"/>
          <w:kern w:val="0"/>
          <w:sz w:val="18"/>
          <w:szCs w:val="18"/>
          <w:lang w:eastAsia="ja-JP"/>
          <w14:ligatures w14:val="none"/>
        </w:rPr>
        <w:t xml:space="preserve">over veiligheid en </w:t>
      </w:r>
      <w:r w:rsidR="000729BD">
        <w:rPr>
          <w:rFonts w:ascii="Verdana" w:hAnsi="Verdana" w:eastAsia="MS Mincho" w:cstheme="minorHAnsi"/>
          <w:kern w:val="0"/>
          <w:sz w:val="18"/>
          <w:szCs w:val="18"/>
          <w:lang w:eastAsia="ja-JP"/>
          <w14:ligatures w14:val="none"/>
        </w:rPr>
        <w:t>weerbaarheid</w:t>
      </w:r>
      <w:r w:rsidRPr="0047738B">
        <w:rPr>
          <w:rFonts w:ascii="Verdana" w:hAnsi="Verdana" w:eastAsia="MS Mincho" w:cstheme="minorHAnsi"/>
          <w:kern w:val="0"/>
          <w:sz w:val="18"/>
          <w:szCs w:val="18"/>
          <w:lang w:eastAsia="ja-JP"/>
          <w14:ligatures w14:val="none"/>
        </w:rPr>
        <w:t xml:space="preserve">. </w:t>
      </w:r>
      <w:r w:rsidR="00662C10">
        <w:rPr>
          <w:rFonts w:ascii="Verdana" w:hAnsi="Verdana" w:eastAsia="MS Mincho" w:cstheme="minorHAnsi"/>
          <w:kern w:val="0"/>
          <w:sz w:val="18"/>
          <w:szCs w:val="18"/>
          <w:lang w:eastAsia="ja-JP"/>
          <w14:ligatures w14:val="none"/>
        </w:rPr>
        <w:t xml:space="preserve">Nederland zal </w:t>
      </w:r>
      <w:r w:rsidR="009F0925">
        <w:rPr>
          <w:rFonts w:ascii="Verdana" w:hAnsi="Verdana" w:eastAsia="MS Mincho" w:cstheme="minorHAnsi"/>
          <w:kern w:val="0"/>
          <w:sz w:val="18"/>
          <w:szCs w:val="18"/>
          <w:lang w:eastAsia="ja-JP"/>
          <w14:ligatures w14:val="none"/>
        </w:rPr>
        <w:t xml:space="preserve">in </w:t>
      </w:r>
      <w:r w:rsidR="00851428">
        <w:rPr>
          <w:rFonts w:ascii="Verdana" w:hAnsi="Verdana" w:eastAsia="MS Mincho" w:cstheme="minorHAnsi"/>
          <w:kern w:val="0"/>
          <w:sz w:val="18"/>
          <w:szCs w:val="18"/>
          <w:lang w:eastAsia="ja-JP"/>
          <w14:ligatures w14:val="none"/>
        </w:rPr>
        <w:t xml:space="preserve">deze ronde tafel </w:t>
      </w:r>
      <w:r w:rsidR="00662C10">
        <w:rPr>
          <w:rFonts w:ascii="Verdana" w:hAnsi="Verdana" w:eastAsia="MS Mincho" w:cstheme="minorHAnsi"/>
          <w:kern w:val="0"/>
          <w:sz w:val="18"/>
          <w:szCs w:val="18"/>
          <w:lang w:eastAsia="ja-JP"/>
          <w14:ligatures w14:val="none"/>
        </w:rPr>
        <w:t>onderstrepen dat het nodig is om</w:t>
      </w:r>
      <w:r w:rsidRPr="00662C10" w:rsidR="00662C10">
        <w:rPr>
          <w:rFonts w:ascii="Verdana" w:hAnsi="Verdana" w:eastAsia="MS Mincho" w:cstheme="minorHAnsi"/>
          <w:kern w:val="0"/>
          <w:sz w:val="18"/>
          <w:szCs w:val="18"/>
          <w:lang w:eastAsia="ja-JP"/>
          <w14:ligatures w14:val="none"/>
        </w:rPr>
        <w:t xml:space="preserve"> vaart maken met het ontwikkelen van Europese capaciteiten.</w:t>
      </w:r>
      <w:r w:rsidRPr="00866AAD" w:rsidR="00866AAD">
        <w:t xml:space="preserve"> </w:t>
      </w:r>
      <w:r w:rsidR="00866AAD">
        <w:rPr>
          <w:rFonts w:ascii="Verdana" w:hAnsi="Verdana" w:eastAsia="MS Mincho" w:cstheme="minorHAnsi"/>
          <w:kern w:val="0"/>
          <w:sz w:val="18"/>
          <w:szCs w:val="18"/>
          <w:lang w:eastAsia="ja-JP"/>
          <w14:ligatures w14:val="none"/>
        </w:rPr>
        <w:t>V</w:t>
      </w:r>
      <w:r w:rsidRPr="00866AAD" w:rsidR="00866AAD">
        <w:rPr>
          <w:rFonts w:ascii="Verdana" w:hAnsi="Verdana" w:eastAsia="MS Mincho" w:cstheme="minorHAnsi"/>
          <w:kern w:val="0"/>
          <w:sz w:val="18"/>
          <w:szCs w:val="18"/>
          <w:lang w:eastAsia="ja-JP"/>
          <w14:ligatures w14:val="none"/>
        </w:rPr>
        <w:t xml:space="preserve">eiligheid van </w:t>
      </w:r>
      <w:r w:rsidR="00866AAD">
        <w:rPr>
          <w:rFonts w:ascii="Verdana" w:hAnsi="Verdana" w:eastAsia="MS Mincho" w:cstheme="minorHAnsi"/>
          <w:kern w:val="0"/>
          <w:sz w:val="18"/>
          <w:szCs w:val="18"/>
          <w:lang w:eastAsia="ja-JP"/>
          <w14:ligatures w14:val="none"/>
        </w:rPr>
        <w:t>Oekraïne</w:t>
      </w:r>
      <w:r w:rsidRPr="00866AAD" w:rsidR="00866AAD">
        <w:rPr>
          <w:rFonts w:ascii="Verdana" w:hAnsi="Verdana" w:eastAsia="MS Mincho" w:cstheme="minorHAnsi"/>
          <w:kern w:val="0"/>
          <w:sz w:val="18"/>
          <w:szCs w:val="18"/>
          <w:lang w:eastAsia="ja-JP"/>
          <w14:ligatures w14:val="none"/>
        </w:rPr>
        <w:t xml:space="preserve"> </w:t>
      </w:r>
      <w:r w:rsidR="00866AAD">
        <w:rPr>
          <w:rFonts w:ascii="Verdana" w:hAnsi="Verdana" w:eastAsia="MS Mincho" w:cstheme="minorHAnsi"/>
          <w:kern w:val="0"/>
          <w:sz w:val="18"/>
          <w:szCs w:val="18"/>
          <w:lang w:eastAsia="ja-JP"/>
          <w14:ligatures w14:val="none"/>
        </w:rPr>
        <w:t xml:space="preserve">is </w:t>
      </w:r>
      <w:r w:rsidRPr="00866AAD" w:rsidR="00866AAD">
        <w:rPr>
          <w:rFonts w:ascii="Verdana" w:hAnsi="Verdana" w:eastAsia="MS Mincho" w:cstheme="minorHAnsi"/>
          <w:kern w:val="0"/>
          <w:sz w:val="18"/>
          <w:szCs w:val="18"/>
          <w:lang w:eastAsia="ja-JP"/>
          <w14:ligatures w14:val="none"/>
        </w:rPr>
        <w:t xml:space="preserve">direct verbonden met veiligheid van Europa, daarom zal </w:t>
      </w:r>
      <w:r w:rsidR="00AC676E">
        <w:rPr>
          <w:rFonts w:ascii="Verdana" w:hAnsi="Verdana" w:eastAsia="MS Mincho" w:cstheme="minorHAnsi"/>
          <w:kern w:val="0"/>
          <w:sz w:val="18"/>
          <w:szCs w:val="18"/>
          <w:lang w:eastAsia="ja-JP"/>
          <w14:ligatures w14:val="none"/>
        </w:rPr>
        <w:t>Nederland ook in dit verband</w:t>
      </w:r>
      <w:r w:rsidRPr="00866AAD" w:rsidR="00866AAD">
        <w:rPr>
          <w:rFonts w:ascii="Verdana" w:hAnsi="Verdana" w:eastAsia="MS Mincho" w:cstheme="minorHAnsi"/>
          <w:kern w:val="0"/>
          <w:sz w:val="18"/>
          <w:szCs w:val="18"/>
          <w:lang w:eastAsia="ja-JP"/>
          <w14:ligatures w14:val="none"/>
        </w:rPr>
        <w:t xml:space="preserve"> oproepen tot doorzetten en verhogen van steun aan </w:t>
      </w:r>
      <w:r w:rsidR="00CA069C">
        <w:rPr>
          <w:rFonts w:ascii="Verdana" w:hAnsi="Verdana" w:eastAsia="MS Mincho" w:cstheme="minorHAnsi"/>
          <w:kern w:val="0"/>
          <w:sz w:val="18"/>
          <w:szCs w:val="18"/>
          <w:lang w:eastAsia="ja-JP"/>
          <w14:ligatures w14:val="none"/>
        </w:rPr>
        <w:t>Oekraïne</w:t>
      </w:r>
      <w:r w:rsidRPr="00866AAD" w:rsidR="00866AAD">
        <w:rPr>
          <w:rFonts w:ascii="Verdana" w:hAnsi="Verdana" w:eastAsia="MS Mincho" w:cstheme="minorHAnsi"/>
          <w:kern w:val="0"/>
          <w:sz w:val="18"/>
          <w:szCs w:val="18"/>
          <w:lang w:eastAsia="ja-JP"/>
          <w14:ligatures w14:val="none"/>
        </w:rPr>
        <w:t xml:space="preserve"> en het belang van </w:t>
      </w:r>
      <w:r w:rsidRPr="008A034B" w:rsidR="003A5C4E">
        <w:rPr>
          <w:rFonts w:ascii="Verdana" w:hAnsi="Verdana" w:eastAsia="MS Mincho" w:cstheme="minorHAnsi"/>
          <w:i/>
          <w:iCs/>
          <w:kern w:val="0"/>
          <w:sz w:val="18"/>
          <w:szCs w:val="18"/>
          <w:lang w:eastAsia="ja-JP"/>
          <w14:ligatures w14:val="none"/>
        </w:rPr>
        <w:t>burden sharing</w:t>
      </w:r>
      <w:r w:rsidR="009F0925">
        <w:rPr>
          <w:rFonts w:ascii="Verdana" w:hAnsi="Verdana" w:eastAsia="MS Mincho" w:cstheme="minorHAnsi"/>
          <w:kern w:val="0"/>
          <w:sz w:val="18"/>
          <w:szCs w:val="18"/>
          <w:lang w:eastAsia="ja-JP"/>
          <w14:ligatures w14:val="none"/>
        </w:rPr>
        <w:t xml:space="preserve"> onderstrepen.</w:t>
      </w:r>
      <w:r w:rsidR="00C0798F">
        <w:rPr>
          <w:rFonts w:ascii="Verdana" w:hAnsi="Verdana" w:eastAsia="MS Mincho" w:cstheme="minorHAnsi"/>
          <w:kern w:val="0"/>
          <w:sz w:val="18"/>
          <w:szCs w:val="18"/>
          <w:lang w:eastAsia="ja-JP"/>
          <w14:ligatures w14:val="none"/>
        </w:rPr>
        <w:t xml:space="preserve"> </w:t>
      </w:r>
      <w:r w:rsidR="009F0925">
        <w:rPr>
          <w:rFonts w:ascii="Verdana" w:hAnsi="Verdana" w:eastAsia="MS Mincho" w:cstheme="minorHAnsi"/>
          <w:kern w:val="0"/>
          <w:sz w:val="18"/>
          <w:szCs w:val="18"/>
          <w:lang w:eastAsia="ja-JP"/>
          <w14:ligatures w14:val="none"/>
        </w:rPr>
        <w:t>D</w:t>
      </w:r>
      <w:r w:rsidR="00CA069C">
        <w:rPr>
          <w:rFonts w:ascii="Verdana" w:hAnsi="Verdana" w:eastAsia="MS Mincho" w:cstheme="minorHAnsi"/>
          <w:kern w:val="0"/>
          <w:sz w:val="18"/>
          <w:szCs w:val="18"/>
          <w:lang w:eastAsia="ja-JP"/>
          <w14:ligatures w14:val="none"/>
        </w:rPr>
        <w:t xml:space="preserve">aarnaast zal naar verwachting worden stilgestaan bij hybride dreigingen. Nederland zal hier aandacht vragen voor voldoende structurele steun voor partnerlanden die op dit vlak een risico lopen. </w:t>
      </w:r>
    </w:p>
    <w:sectPr w:rsidRPr="0047738B" w:rsidR="0047738B" w:rsidSect="007C3E4E">
      <w:footerReference w:type="default" r:id="rId12"/>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A190B" w14:textId="77777777" w:rsidR="009F3C4D" w:rsidRDefault="009F3C4D" w:rsidP="006E1085">
      <w:pPr>
        <w:spacing w:after="0" w:line="240" w:lineRule="auto"/>
      </w:pPr>
      <w:r>
        <w:separator/>
      </w:r>
    </w:p>
  </w:endnote>
  <w:endnote w:type="continuationSeparator" w:id="0">
    <w:p w14:paraId="559F0BFF" w14:textId="77777777" w:rsidR="009F3C4D" w:rsidRDefault="009F3C4D" w:rsidP="006E1085">
      <w:pPr>
        <w:spacing w:after="0" w:line="240" w:lineRule="auto"/>
      </w:pPr>
      <w:r>
        <w:continuationSeparator/>
      </w:r>
    </w:p>
  </w:endnote>
  <w:endnote w:type="continuationNotice" w:id="1">
    <w:p w14:paraId="6C46BEC4" w14:textId="77777777" w:rsidR="009F3C4D" w:rsidRDefault="009F3C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408616"/>
      <w:docPartObj>
        <w:docPartGallery w:val="Page Numbers (Bottom of Page)"/>
        <w:docPartUnique/>
      </w:docPartObj>
    </w:sdtPr>
    <w:sdtEndPr>
      <w:rPr>
        <w:rFonts w:ascii="Verdana" w:hAnsi="Verdana"/>
        <w:sz w:val="14"/>
        <w:szCs w:val="14"/>
      </w:rPr>
    </w:sdtEndPr>
    <w:sdtContent>
      <w:sdt>
        <w:sdtPr>
          <w:id w:val="-1769616900"/>
          <w:docPartObj>
            <w:docPartGallery w:val="Page Numbers (Top of Page)"/>
            <w:docPartUnique/>
          </w:docPartObj>
        </w:sdtPr>
        <w:sdtEndPr>
          <w:rPr>
            <w:rFonts w:ascii="Verdana" w:hAnsi="Verdana"/>
            <w:sz w:val="14"/>
            <w:szCs w:val="14"/>
          </w:rPr>
        </w:sdtEndPr>
        <w:sdtContent>
          <w:p w14:paraId="61690575" w14:textId="3850F792" w:rsidR="006E1085" w:rsidRPr="006E1085" w:rsidRDefault="006E1085">
            <w:pPr>
              <w:pStyle w:val="Footer"/>
              <w:jc w:val="right"/>
              <w:rPr>
                <w:rFonts w:ascii="Verdana" w:hAnsi="Verdana"/>
                <w:sz w:val="14"/>
                <w:szCs w:val="14"/>
              </w:rPr>
            </w:pPr>
            <w:r w:rsidRPr="006E1085">
              <w:rPr>
                <w:rFonts w:ascii="Verdana" w:hAnsi="Verdana"/>
                <w:sz w:val="14"/>
                <w:szCs w:val="14"/>
              </w:rPr>
              <w:t xml:space="preserve">Pagina </w:t>
            </w:r>
            <w:r w:rsidRPr="006E1085">
              <w:rPr>
                <w:rFonts w:ascii="Verdana" w:hAnsi="Verdana"/>
                <w:sz w:val="16"/>
                <w:szCs w:val="16"/>
              </w:rPr>
              <w:fldChar w:fldCharType="begin"/>
            </w:r>
            <w:r w:rsidRPr="006E1085">
              <w:rPr>
                <w:rFonts w:ascii="Verdana" w:hAnsi="Verdana"/>
                <w:sz w:val="14"/>
                <w:szCs w:val="14"/>
              </w:rPr>
              <w:instrText>PAGE</w:instrText>
            </w:r>
            <w:r w:rsidRPr="006E1085">
              <w:rPr>
                <w:rFonts w:ascii="Verdana" w:hAnsi="Verdana"/>
                <w:sz w:val="16"/>
                <w:szCs w:val="16"/>
              </w:rPr>
              <w:fldChar w:fldCharType="separate"/>
            </w:r>
            <w:r w:rsidRPr="006E1085">
              <w:rPr>
                <w:rFonts w:ascii="Verdana" w:hAnsi="Verdana"/>
                <w:sz w:val="14"/>
                <w:szCs w:val="14"/>
              </w:rPr>
              <w:t>2</w:t>
            </w:r>
            <w:r w:rsidRPr="006E1085">
              <w:rPr>
                <w:rFonts w:ascii="Verdana" w:hAnsi="Verdana"/>
                <w:sz w:val="16"/>
                <w:szCs w:val="16"/>
              </w:rPr>
              <w:fldChar w:fldCharType="end"/>
            </w:r>
            <w:r w:rsidRPr="006E1085">
              <w:rPr>
                <w:rFonts w:ascii="Verdana" w:hAnsi="Verdana"/>
                <w:sz w:val="14"/>
                <w:szCs w:val="14"/>
              </w:rPr>
              <w:t xml:space="preserve"> van </w:t>
            </w:r>
            <w:r w:rsidRPr="006E1085">
              <w:rPr>
                <w:rFonts w:ascii="Verdana" w:hAnsi="Verdana"/>
                <w:sz w:val="16"/>
                <w:szCs w:val="16"/>
              </w:rPr>
              <w:fldChar w:fldCharType="begin"/>
            </w:r>
            <w:r w:rsidRPr="006E1085">
              <w:rPr>
                <w:rFonts w:ascii="Verdana" w:hAnsi="Verdana"/>
                <w:sz w:val="14"/>
                <w:szCs w:val="14"/>
              </w:rPr>
              <w:instrText>NUMPAGES</w:instrText>
            </w:r>
            <w:r w:rsidRPr="006E1085">
              <w:rPr>
                <w:rFonts w:ascii="Verdana" w:hAnsi="Verdana"/>
                <w:sz w:val="16"/>
                <w:szCs w:val="16"/>
              </w:rPr>
              <w:fldChar w:fldCharType="separate"/>
            </w:r>
            <w:r w:rsidRPr="006E1085">
              <w:rPr>
                <w:rFonts w:ascii="Verdana" w:hAnsi="Verdana"/>
                <w:sz w:val="14"/>
                <w:szCs w:val="14"/>
              </w:rPr>
              <w:t>2</w:t>
            </w:r>
            <w:r w:rsidRPr="006E1085">
              <w:rPr>
                <w:rFonts w:ascii="Verdana" w:hAnsi="Verdana"/>
                <w:sz w:val="16"/>
                <w:szCs w:val="16"/>
              </w:rPr>
              <w:fldChar w:fldCharType="end"/>
            </w:r>
          </w:p>
        </w:sdtContent>
      </w:sdt>
    </w:sdtContent>
  </w:sdt>
  <w:p w14:paraId="6E701097" w14:textId="77777777" w:rsidR="006E1085" w:rsidRDefault="006E1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92424" w14:textId="77777777" w:rsidR="009F3C4D" w:rsidRDefault="009F3C4D" w:rsidP="006E1085">
      <w:pPr>
        <w:spacing w:after="0" w:line="240" w:lineRule="auto"/>
      </w:pPr>
      <w:r>
        <w:separator/>
      </w:r>
    </w:p>
  </w:footnote>
  <w:footnote w:type="continuationSeparator" w:id="0">
    <w:p w14:paraId="6DA526E6" w14:textId="77777777" w:rsidR="009F3C4D" w:rsidRDefault="009F3C4D" w:rsidP="006E1085">
      <w:pPr>
        <w:spacing w:after="0" w:line="240" w:lineRule="auto"/>
      </w:pPr>
      <w:r>
        <w:continuationSeparator/>
      </w:r>
    </w:p>
  </w:footnote>
  <w:footnote w:type="continuationNotice" w:id="1">
    <w:p w14:paraId="652CB0D3" w14:textId="77777777" w:rsidR="009F3C4D" w:rsidRDefault="009F3C4D">
      <w:pPr>
        <w:spacing w:after="0" w:line="240" w:lineRule="auto"/>
      </w:pPr>
    </w:p>
  </w:footnote>
  <w:footnote w:id="2">
    <w:p w14:paraId="6AC62D1F" w14:textId="72414681" w:rsidR="00646C08" w:rsidRPr="00A3599D" w:rsidRDefault="00646C08">
      <w:pPr>
        <w:pStyle w:val="FootnoteText"/>
        <w:rPr>
          <w:rFonts w:ascii="Verdana" w:hAnsi="Verdana"/>
          <w:sz w:val="16"/>
          <w:szCs w:val="16"/>
        </w:rPr>
      </w:pPr>
      <w:r w:rsidRPr="00A3599D">
        <w:rPr>
          <w:rStyle w:val="FootnoteReference"/>
          <w:rFonts w:ascii="Verdana" w:hAnsi="Verdana"/>
          <w:sz w:val="16"/>
          <w:szCs w:val="16"/>
        </w:rPr>
        <w:footnoteRef/>
      </w:r>
      <w:r w:rsidRPr="00A3599D">
        <w:rPr>
          <w:rFonts w:ascii="Verdana" w:hAnsi="Verdana"/>
          <w:sz w:val="16"/>
          <w:szCs w:val="16"/>
        </w:rPr>
        <w:t xml:space="preserve"> </w:t>
      </w:r>
      <w:r w:rsidR="00552EE9" w:rsidRPr="00A3599D">
        <w:rPr>
          <w:rFonts w:ascii="Verdana" w:hAnsi="Verdana"/>
          <w:sz w:val="16"/>
          <w:szCs w:val="16"/>
        </w:rPr>
        <w:t>Kamerstuk 21501-20, nr. 2216</w:t>
      </w:r>
    </w:p>
  </w:footnote>
  <w:footnote w:id="3">
    <w:p w14:paraId="455A78FE" w14:textId="661C217A" w:rsidR="00805A67" w:rsidRPr="00805A67" w:rsidRDefault="00805A67">
      <w:pPr>
        <w:pStyle w:val="FootnoteText"/>
        <w:rPr>
          <w:rFonts w:ascii="Verdana" w:hAnsi="Verdana"/>
        </w:rPr>
      </w:pPr>
      <w:r w:rsidRPr="00805A67">
        <w:rPr>
          <w:rStyle w:val="FootnoteReference"/>
          <w:rFonts w:ascii="Verdana" w:hAnsi="Verdana"/>
          <w:sz w:val="16"/>
          <w:szCs w:val="16"/>
        </w:rPr>
        <w:footnoteRef/>
      </w:r>
      <w:r w:rsidRPr="00805A67">
        <w:rPr>
          <w:rFonts w:ascii="Verdana" w:hAnsi="Verdana"/>
          <w:sz w:val="16"/>
          <w:szCs w:val="16"/>
        </w:rPr>
        <w:t xml:space="preserve"> Kamerstuk 22112, nr. 4026</w:t>
      </w:r>
    </w:p>
  </w:footnote>
  <w:footnote w:id="4">
    <w:p w14:paraId="107D9966" w14:textId="16A18525" w:rsidR="00646C08" w:rsidRDefault="00646C08">
      <w:pPr>
        <w:pStyle w:val="FootnoteText"/>
      </w:pPr>
      <w:r w:rsidRPr="00A3599D">
        <w:rPr>
          <w:rStyle w:val="FootnoteReference"/>
          <w:rFonts w:ascii="Verdana" w:hAnsi="Verdana"/>
          <w:sz w:val="16"/>
          <w:szCs w:val="16"/>
        </w:rPr>
        <w:footnoteRef/>
      </w:r>
      <w:r w:rsidRPr="00A3599D">
        <w:rPr>
          <w:rFonts w:ascii="Verdana" w:hAnsi="Verdana"/>
          <w:sz w:val="16"/>
          <w:szCs w:val="16"/>
        </w:rPr>
        <w:t xml:space="preserve"> </w:t>
      </w:r>
      <w:r w:rsidR="00552EE9" w:rsidRPr="00A3599D">
        <w:rPr>
          <w:rFonts w:ascii="Verdana" w:hAnsi="Verdana"/>
          <w:sz w:val="16"/>
          <w:szCs w:val="16"/>
        </w:rPr>
        <w:t>Kamerstuk 21501-28, nr. 290</w:t>
      </w:r>
    </w:p>
  </w:footnote>
  <w:footnote w:id="5">
    <w:p w14:paraId="388308E9" w14:textId="7B006493" w:rsidR="00B96D12" w:rsidRPr="00E56489" w:rsidRDefault="00B96D12">
      <w:pPr>
        <w:pStyle w:val="FootnoteText"/>
        <w:rPr>
          <w:rFonts w:ascii="Verdana" w:hAnsi="Verdana"/>
          <w:sz w:val="16"/>
          <w:szCs w:val="16"/>
        </w:rPr>
      </w:pPr>
      <w:r w:rsidRPr="00B96D12">
        <w:rPr>
          <w:rStyle w:val="FootnoteReference"/>
          <w:rFonts w:ascii="Verdana" w:hAnsi="Verdana"/>
          <w:sz w:val="16"/>
          <w:szCs w:val="16"/>
        </w:rPr>
        <w:footnoteRef/>
      </w:r>
      <w:r w:rsidRPr="00B96D12">
        <w:rPr>
          <w:rFonts w:ascii="Verdana" w:hAnsi="Verdana"/>
          <w:sz w:val="16"/>
          <w:szCs w:val="16"/>
        </w:rPr>
        <w:t xml:space="preserve"> </w:t>
      </w:r>
      <w:r w:rsidRPr="00E56489">
        <w:rPr>
          <w:rFonts w:ascii="Verdana" w:hAnsi="Verdana"/>
          <w:sz w:val="16"/>
          <w:szCs w:val="16"/>
        </w:rPr>
        <w:t>Kamerstuk 22112, nr. 4153</w:t>
      </w:r>
    </w:p>
  </w:footnote>
  <w:footnote w:id="6">
    <w:p w14:paraId="7D2ACCA5" w14:textId="77777777" w:rsidR="004E3170" w:rsidRPr="00E56489" w:rsidRDefault="004E3170" w:rsidP="004E3170">
      <w:pPr>
        <w:pStyle w:val="FootnoteText"/>
        <w:rPr>
          <w:rFonts w:ascii="Calibri" w:hAnsi="Calibri" w:cs="Calibri"/>
          <w:sz w:val="16"/>
          <w:szCs w:val="16"/>
        </w:rPr>
      </w:pPr>
      <w:r w:rsidRPr="00150472">
        <w:rPr>
          <w:rStyle w:val="FootnoteReference"/>
          <w:rFonts w:ascii="Calibri" w:hAnsi="Calibri" w:cs="Calibri"/>
          <w:sz w:val="16"/>
          <w:szCs w:val="16"/>
        </w:rPr>
        <w:footnoteRef/>
      </w:r>
      <w:r w:rsidRPr="00150472">
        <w:rPr>
          <w:rFonts w:ascii="Calibri" w:hAnsi="Calibri" w:cs="Calibri"/>
          <w:sz w:val="16"/>
          <w:szCs w:val="16"/>
        </w:rPr>
        <w:t xml:space="preserve"> Kabinetsappreciatie uitbreidingspakket 2024, Kamerstuk 23987 nr. 397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824ED"/>
    <w:multiLevelType w:val="hybridMultilevel"/>
    <w:tmpl w:val="C8864A02"/>
    <w:lvl w:ilvl="0" w:tplc="94225A40">
      <w:start w:val="1"/>
      <w:numFmt w:val="bullet"/>
      <w:lvlText w:val=""/>
      <w:lvlJc w:val="left"/>
      <w:pPr>
        <w:ind w:left="360" w:hanging="360"/>
      </w:pPr>
      <w:rPr>
        <w:rFonts w:ascii="Symbol" w:hAnsi="Symbol" w:hint="default"/>
        <w:sz w:val="18"/>
        <w:szCs w:val="18"/>
      </w:rPr>
    </w:lvl>
    <w:lvl w:ilvl="1" w:tplc="7B26C694">
      <w:start w:val="1"/>
      <w:numFmt w:val="bullet"/>
      <w:lvlText w:val="o"/>
      <w:lvlJc w:val="left"/>
      <w:pPr>
        <w:ind w:left="786" w:hanging="360"/>
      </w:pPr>
      <w:rPr>
        <w:rFonts w:ascii="Courier New" w:hAnsi="Courier New" w:hint="default"/>
      </w:rPr>
    </w:lvl>
    <w:lvl w:ilvl="2" w:tplc="9CACEE22">
      <w:start w:val="1"/>
      <w:numFmt w:val="bullet"/>
      <w:lvlText w:val=""/>
      <w:lvlJc w:val="left"/>
      <w:pPr>
        <w:ind w:left="1800" w:hanging="360"/>
      </w:pPr>
      <w:rPr>
        <w:rFonts w:ascii="Wingdings" w:hAnsi="Wingdings" w:hint="default"/>
      </w:rPr>
    </w:lvl>
    <w:lvl w:ilvl="3" w:tplc="25BE3C0C">
      <w:start w:val="1"/>
      <w:numFmt w:val="bullet"/>
      <w:lvlText w:val=""/>
      <w:lvlJc w:val="left"/>
      <w:pPr>
        <w:ind w:left="2520" w:hanging="360"/>
      </w:pPr>
      <w:rPr>
        <w:rFonts w:ascii="Symbol" w:hAnsi="Symbol" w:hint="default"/>
      </w:rPr>
    </w:lvl>
    <w:lvl w:ilvl="4" w:tplc="F7E24042">
      <w:start w:val="1"/>
      <w:numFmt w:val="bullet"/>
      <w:lvlText w:val="o"/>
      <w:lvlJc w:val="left"/>
      <w:pPr>
        <w:ind w:left="3240" w:hanging="360"/>
      </w:pPr>
      <w:rPr>
        <w:rFonts w:ascii="Courier New" w:hAnsi="Courier New" w:hint="default"/>
      </w:rPr>
    </w:lvl>
    <w:lvl w:ilvl="5" w:tplc="A44A45E6">
      <w:start w:val="1"/>
      <w:numFmt w:val="bullet"/>
      <w:lvlText w:val=""/>
      <w:lvlJc w:val="left"/>
      <w:pPr>
        <w:ind w:left="3960" w:hanging="360"/>
      </w:pPr>
      <w:rPr>
        <w:rFonts w:ascii="Wingdings" w:hAnsi="Wingdings" w:hint="default"/>
      </w:rPr>
    </w:lvl>
    <w:lvl w:ilvl="6" w:tplc="00E00622">
      <w:start w:val="1"/>
      <w:numFmt w:val="bullet"/>
      <w:lvlText w:val=""/>
      <w:lvlJc w:val="left"/>
      <w:pPr>
        <w:ind w:left="4680" w:hanging="360"/>
      </w:pPr>
      <w:rPr>
        <w:rFonts w:ascii="Symbol" w:hAnsi="Symbol" w:hint="default"/>
      </w:rPr>
    </w:lvl>
    <w:lvl w:ilvl="7" w:tplc="89447600">
      <w:start w:val="1"/>
      <w:numFmt w:val="bullet"/>
      <w:lvlText w:val="o"/>
      <w:lvlJc w:val="left"/>
      <w:pPr>
        <w:ind w:left="5400" w:hanging="360"/>
      </w:pPr>
      <w:rPr>
        <w:rFonts w:ascii="Courier New" w:hAnsi="Courier New" w:hint="default"/>
      </w:rPr>
    </w:lvl>
    <w:lvl w:ilvl="8" w:tplc="429E2186">
      <w:start w:val="1"/>
      <w:numFmt w:val="bullet"/>
      <w:lvlText w:val=""/>
      <w:lvlJc w:val="left"/>
      <w:pPr>
        <w:ind w:left="6120" w:hanging="360"/>
      </w:pPr>
      <w:rPr>
        <w:rFonts w:ascii="Wingdings" w:hAnsi="Wingdings" w:hint="default"/>
      </w:rPr>
    </w:lvl>
  </w:abstractNum>
  <w:abstractNum w:abstractNumId="1" w15:restartNumberingAfterBreak="0">
    <w:nsid w:val="4C910AA4"/>
    <w:multiLevelType w:val="hybridMultilevel"/>
    <w:tmpl w:val="B00429A0"/>
    <w:lvl w:ilvl="0" w:tplc="5DD87B8E">
      <w:start w:val="1"/>
      <w:numFmt w:val="bullet"/>
      <w:lvlText w:val=""/>
      <w:lvlJc w:val="left"/>
      <w:pPr>
        <w:ind w:left="1080" w:hanging="360"/>
      </w:pPr>
      <w:rPr>
        <w:rFonts w:ascii="Symbol" w:hAnsi="Symbol"/>
      </w:rPr>
    </w:lvl>
    <w:lvl w:ilvl="1" w:tplc="6160271C">
      <w:start w:val="1"/>
      <w:numFmt w:val="bullet"/>
      <w:lvlText w:val=""/>
      <w:lvlJc w:val="left"/>
      <w:pPr>
        <w:ind w:left="1080" w:hanging="360"/>
      </w:pPr>
      <w:rPr>
        <w:rFonts w:ascii="Symbol" w:hAnsi="Symbol"/>
      </w:rPr>
    </w:lvl>
    <w:lvl w:ilvl="2" w:tplc="AA4E1290">
      <w:start w:val="1"/>
      <w:numFmt w:val="bullet"/>
      <w:lvlText w:val=""/>
      <w:lvlJc w:val="left"/>
      <w:pPr>
        <w:ind w:left="1080" w:hanging="360"/>
      </w:pPr>
      <w:rPr>
        <w:rFonts w:ascii="Symbol" w:hAnsi="Symbol"/>
      </w:rPr>
    </w:lvl>
    <w:lvl w:ilvl="3" w:tplc="7084D908">
      <w:start w:val="1"/>
      <w:numFmt w:val="bullet"/>
      <w:lvlText w:val=""/>
      <w:lvlJc w:val="left"/>
      <w:pPr>
        <w:ind w:left="1080" w:hanging="360"/>
      </w:pPr>
      <w:rPr>
        <w:rFonts w:ascii="Symbol" w:hAnsi="Symbol"/>
      </w:rPr>
    </w:lvl>
    <w:lvl w:ilvl="4" w:tplc="A6CA0748">
      <w:start w:val="1"/>
      <w:numFmt w:val="bullet"/>
      <w:lvlText w:val=""/>
      <w:lvlJc w:val="left"/>
      <w:pPr>
        <w:ind w:left="1080" w:hanging="360"/>
      </w:pPr>
      <w:rPr>
        <w:rFonts w:ascii="Symbol" w:hAnsi="Symbol"/>
      </w:rPr>
    </w:lvl>
    <w:lvl w:ilvl="5" w:tplc="8EFA8870">
      <w:start w:val="1"/>
      <w:numFmt w:val="bullet"/>
      <w:lvlText w:val=""/>
      <w:lvlJc w:val="left"/>
      <w:pPr>
        <w:ind w:left="1080" w:hanging="360"/>
      </w:pPr>
      <w:rPr>
        <w:rFonts w:ascii="Symbol" w:hAnsi="Symbol"/>
      </w:rPr>
    </w:lvl>
    <w:lvl w:ilvl="6" w:tplc="BB30CE0C">
      <w:start w:val="1"/>
      <w:numFmt w:val="bullet"/>
      <w:lvlText w:val=""/>
      <w:lvlJc w:val="left"/>
      <w:pPr>
        <w:ind w:left="1080" w:hanging="360"/>
      </w:pPr>
      <w:rPr>
        <w:rFonts w:ascii="Symbol" w:hAnsi="Symbol"/>
      </w:rPr>
    </w:lvl>
    <w:lvl w:ilvl="7" w:tplc="41B674E0">
      <w:start w:val="1"/>
      <w:numFmt w:val="bullet"/>
      <w:lvlText w:val=""/>
      <w:lvlJc w:val="left"/>
      <w:pPr>
        <w:ind w:left="1080" w:hanging="360"/>
      </w:pPr>
      <w:rPr>
        <w:rFonts w:ascii="Symbol" w:hAnsi="Symbol"/>
      </w:rPr>
    </w:lvl>
    <w:lvl w:ilvl="8" w:tplc="3D5673C4">
      <w:start w:val="1"/>
      <w:numFmt w:val="bullet"/>
      <w:lvlText w:val=""/>
      <w:lvlJc w:val="left"/>
      <w:pPr>
        <w:ind w:left="1080" w:hanging="360"/>
      </w:pPr>
      <w:rPr>
        <w:rFonts w:ascii="Symbol" w:hAnsi="Symbol"/>
      </w:rPr>
    </w:lvl>
  </w:abstractNum>
  <w:num w:numId="1" w16cid:durableId="1673338977">
    <w:abstractNumId w:val="1"/>
  </w:num>
  <w:num w:numId="2" w16cid:durableId="604002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E11"/>
    <w:rsid w:val="000021FA"/>
    <w:rsid w:val="000030EE"/>
    <w:rsid w:val="00011ED3"/>
    <w:rsid w:val="00025F05"/>
    <w:rsid w:val="0002629E"/>
    <w:rsid w:val="00034F5D"/>
    <w:rsid w:val="000362F7"/>
    <w:rsid w:val="0005263D"/>
    <w:rsid w:val="0005663A"/>
    <w:rsid w:val="000606D6"/>
    <w:rsid w:val="000702E4"/>
    <w:rsid w:val="000710F9"/>
    <w:rsid w:val="0007178B"/>
    <w:rsid w:val="000729BD"/>
    <w:rsid w:val="00077173"/>
    <w:rsid w:val="00077D11"/>
    <w:rsid w:val="00080A30"/>
    <w:rsid w:val="00082413"/>
    <w:rsid w:val="00082FAF"/>
    <w:rsid w:val="00086C43"/>
    <w:rsid w:val="00091CE0"/>
    <w:rsid w:val="000930E4"/>
    <w:rsid w:val="00093B64"/>
    <w:rsid w:val="00094492"/>
    <w:rsid w:val="00094A03"/>
    <w:rsid w:val="00094A86"/>
    <w:rsid w:val="000A035A"/>
    <w:rsid w:val="000A1982"/>
    <w:rsid w:val="000A4CF2"/>
    <w:rsid w:val="000A6C45"/>
    <w:rsid w:val="000A74BA"/>
    <w:rsid w:val="000C028E"/>
    <w:rsid w:val="000C1A08"/>
    <w:rsid w:val="000C33CE"/>
    <w:rsid w:val="000C45AE"/>
    <w:rsid w:val="000C6C36"/>
    <w:rsid w:val="000C7685"/>
    <w:rsid w:val="000D1FA1"/>
    <w:rsid w:val="000D4A71"/>
    <w:rsid w:val="000E665A"/>
    <w:rsid w:val="000F28FD"/>
    <w:rsid w:val="000F4861"/>
    <w:rsid w:val="000F6200"/>
    <w:rsid w:val="00100622"/>
    <w:rsid w:val="00101FF1"/>
    <w:rsid w:val="00105034"/>
    <w:rsid w:val="00107190"/>
    <w:rsid w:val="00110804"/>
    <w:rsid w:val="0011223C"/>
    <w:rsid w:val="00133B9F"/>
    <w:rsid w:val="001341C7"/>
    <w:rsid w:val="00135905"/>
    <w:rsid w:val="00136411"/>
    <w:rsid w:val="00140F33"/>
    <w:rsid w:val="001412F7"/>
    <w:rsid w:val="001420BB"/>
    <w:rsid w:val="00144B5E"/>
    <w:rsid w:val="00144CA0"/>
    <w:rsid w:val="00150472"/>
    <w:rsid w:val="00153F9E"/>
    <w:rsid w:val="00157706"/>
    <w:rsid w:val="00160335"/>
    <w:rsid w:val="0016675B"/>
    <w:rsid w:val="00172884"/>
    <w:rsid w:val="00176343"/>
    <w:rsid w:val="00180340"/>
    <w:rsid w:val="00180F09"/>
    <w:rsid w:val="001843EE"/>
    <w:rsid w:val="00190D2F"/>
    <w:rsid w:val="0019239F"/>
    <w:rsid w:val="001971B2"/>
    <w:rsid w:val="00197958"/>
    <w:rsid w:val="001A301D"/>
    <w:rsid w:val="001A3696"/>
    <w:rsid w:val="001A58BC"/>
    <w:rsid w:val="001B64E3"/>
    <w:rsid w:val="001C0FFC"/>
    <w:rsid w:val="001D4C3A"/>
    <w:rsid w:val="001E5BD6"/>
    <w:rsid w:val="001F540B"/>
    <w:rsid w:val="002046BA"/>
    <w:rsid w:val="00216C63"/>
    <w:rsid w:val="00217B3E"/>
    <w:rsid w:val="00222247"/>
    <w:rsid w:val="00222442"/>
    <w:rsid w:val="00223413"/>
    <w:rsid w:val="00225270"/>
    <w:rsid w:val="00225D78"/>
    <w:rsid w:val="00225EB0"/>
    <w:rsid w:val="00232222"/>
    <w:rsid w:val="0023394D"/>
    <w:rsid w:val="00234174"/>
    <w:rsid w:val="002369C8"/>
    <w:rsid w:val="0024141C"/>
    <w:rsid w:val="002431D5"/>
    <w:rsid w:val="00250028"/>
    <w:rsid w:val="0025147C"/>
    <w:rsid w:val="002515A5"/>
    <w:rsid w:val="00252BFD"/>
    <w:rsid w:val="00254A1E"/>
    <w:rsid w:val="002574FE"/>
    <w:rsid w:val="00262EC4"/>
    <w:rsid w:val="00266C02"/>
    <w:rsid w:val="00285BD8"/>
    <w:rsid w:val="0029328C"/>
    <w:rsid w:val="00293FC0"/>
    <w:rsid w:val="00294C2B"/>
    <w:rsid w:val="002A125F"/>
    <w:rsid w:val="002A2394"/>
    <w:rsid w:val="002A3D56"/>
    <w:rsid w:val="002A415F"/>
    <w:rsid w:val="002B1E40"/>
    <w:rsid w:val="002B4883"/>
    <w:rsid w:val="002B67D0"/>
    <w:rsid w:val="002C18BF"/>
    <w:rsid w:val="002C2EA2"/>
    <w:rsid w:val="002C52C7"/>
    <w:rsid w:val="002C58B2"/>
    <w:rsid w:val="002C6506"/>
    <w:rsid w:val="002D32D1"/>
    <w:rsid w:val="002D645C"/>
    <w:rsid w:val="002F4E25"/>
    <w:rsid w:val="002F6078"/>
    <w:rsid w:val="002F6F6B"/>
    <w:rsid w:val="002F7559"/>
    <w:rsid w:val="0030565F"/>
    <w:rsid w:val="00314176"/>
    <w:rsid w:val="00315BC2"/>
    <w:rsid w:val="00320310"/>
    <w:rsid w:val="0032097E"/>
    <w:rsid w:val="003209C4"/>
    <w:rsid w:val="00325A08"/>
    <w:rsid w:val="00330A49"/>
    <w:rsid w:val="00333F1B"/>
    <w:rsid w:val="0033796F"/>
    <w:rsid w:val="00342A86"/>
    <w:rsid w:val="00350DE7"/>
    <w:rsid w:val="003537A5"/>
    <w:rsid w:val="00357E26"/>
    <w:rsid w:val="003613E3"/>
    <w:rsid w:val="0036301D"/>
    <w:rsid w:val="00363CE5"/>
    <w:rsid w:val="00373EC4"/>
    <w:rsid w:val="00376BC0"/>
    <w:rsid w:val="00380590"/>
    <w:rsid w:val="00384BA5"/>
    <w:rsid w:val="00386B09"/>
    <w:rsid w:val="003918E2"/>
    <w:rsid w:val="00393F35"/>
    <w:rsid w:val="003975F3"/>
    <w:rsid w:val="003A37E2"/>
    <w:rsid w:val="003A5C4E"/>
    <w:rsid w:val="003B0C27"/>
    <w:rsid w:val="003B18B5"/>
    <w:rsid w:val="003C1D45"/>
    <w:rsid w:val="003C5B5B"/>
    <w:rsid w:val="003E798C"/>
    <w:rsid w:val="003F0733"/>
    <w:rsid w:val="003F3B61"/>
    <w:rsid w:val="003F7075"/>
    <w:rsid w:val="0040032C"/>
    <w:rsid w:val="00401DF5"/>
    <w:rsid w:val="0040728A"/>
    <w:rsid w:val="00417799"/>
    <w:rsid w:val="00420425"/>
    <w:rsid w:val="0042294E"/>
    <w:rsid w:val="00430DCE"/>
    <w:rsid w:val="00430F34"/>
    <w:rsid w:val="00432165"/>
    <w:rsid w:val="00434DBD"/>
    <w:rsid w:val="00436294"/>
    <w:rsid w:val="00436D3F"/>
    <w:rsid w:val="00436D45"/>
    <w:rsid w:val="00443C0E"/>
    <w:rsid w:val="0044625C"/>
    <w:rsid w:val="0045218D"/>
    <w:rsid w:val="00455612"/>
    <w:rsid w:val="0046049F"/>
    <w:rsid w:val="004654E1"/>
    <w:rsid w:val="004679F3"/>
    <w:rsid w:val="00471BC3"/>
    <w:rsid w:val="00472666"/>
    <w:rsid w:val="00472EC4"/>
    <w:rsid w:val="004731EF"/>
    <w:rsid w:val="00473F53"/>
    <w:rsid w:val="0047738B"/>
    <w:rsid w:val="00482768"/>
    <w:rsid w:val="00487455"/>
    <w:rsid w:val="004907BB"/>
    <w:rsid w:val="004915FF"/>
    <w:rsid w:val="0049366E"/>
    <w:rsid w:val="0049696A"/>
    <w:rsid w:val="004A0882"/>
    <w:rsid w:val="004A29E9"/>
    <w:rsid w:val="004A4923"/>
    <w:rsid w:val="004A6414"/>
    <w:rsid w:val="004A648A"/>
    <w:rsid w:val="004B0756"/>
    <w:rsid w:val="004B1390"/>
    <w:rsid w:val="004B3591"/>
    <w:rsid w:val="004B6D87"/>
    <w:rsid w:val="004C1E74"/>
    <w:rsid w:val="004C49EC"/>
    <w:rsid w:val="004C5A54"/>
    <w:rsid w:val="004D3973"/>
    <w:rsid w:val="004E1F10"/>
    <w:rsid w:val="004E3170"/>
    <w:rsid w:val="004E4DA3"/>
    <w:rsid w:val="004E5616"/>
    <w:rsid w:val="004E667C"/>
    <w:rsid w:val="004F392F"/>
    <w:rsid w:val="005040B5"/>
    <w:rsid w:val="00506A74"/>
    <w:rsid w:val="0051598C"/>
    <w:rsid w:val="0052236B"/>
    <w:rsid w:val="00524D63"/>
    <w:rsid w:val="00527F24"/>
    <w:rsid w:val="005405FA"/>
    <w:rsid w:val="00543EDF"/>
    <w:rsid w:val="0054518B"/>
    <w:rsid w:val="00550FCC"/>
    <w:rsid w:val="00552EE9"/>
    <w:rsid w:val="00560112"/>
    <w:rsid w:val="00565C2E"/>
    <w:rsid w:val="00565DFA"/>
    <w:rsid w:val="0056794E"/>
    <w:rsid w:val="00576F9F"/>
    <w:rsid w:val="00580CA6"/>
    <w:rsid w:val="005A167E"/>
    <w:rsid w:val="005B269A"/>
    <w:rsid w:val="005B7032"/>
    <w:rsid w:val="005C39A9"/>
    <w:rsid w:val="005C40F4"/>
    <w:rsid w:val="005C48D2"/>
    <w:rsid w:val="005C59D1"/>
    <w:rsid w:val="005D1CF9"/>
    <w:rsid w:val="005D316D"/>
    <w:rsid w:val="005E0E19"/>
    <w:rsid w:val="005E3153"/>
    <w:rsid w:val="005E33FA"/>
    <w:rsid w:val="005E3406"/>
    <w:rsid w:val="005E56B6"/>
    <w:rsid w:val="005E7E2E"/>
    <w:rsid w:val="0060110A"/>
    <w:rsid w:val="00601745"/>
    <w:rsid w:val="0060377B"/>
    <w:rsid w:val="00605754"/>
    <w:rsid w:val="006109F0"/>
    <w:rsid w:val="006124A3"/>
    <w:rsid w:val="00614B55"/>
    <w:rsid w:val="00620A19"/>
    <w:rsid w:val="00634711"/>
    <w:rsid w:val="00634F31"/>
    <w:rsid w:val="00635ACD"/>
    <w:rsid w:val="00636B80"/>
    <w:rsid w:val="00641E3E"/>
    <w:rsid w:val="006421E7"/>
    <w:rsid w:val="0064288F"/>
    <w:rsid w:val="0064565E"/>
    <w:rsid w:val="00646C08"/>
    <w:rsid w:val="0065325C"/>
    <w:rsid w:val="00662C10"/>
    <w:rsid w:val="006632D4"/>
    <w:rsid w:val="00672162"/>
    <w:rsid w:val="0068396F"/>
    <w:rsid w:val="00684EAD"/>
    <w:rsid w:val="00685177"/>
    <w:rsid w:val="0069449E"/>
    <w:rsid w:val="0069497C"/>
    <w:rsid w:val="0069637B"/>
    <w:rsid w:val="00696462"/>
    <w:rsid w:val="006A0384"/>
    <w:rsid w:val="006A19E2"/>
    <w:rsid w:val="006A5E11"/>
    <w:rsid w:val="006C01BC"/>
    <w:rsid w:val="006C13D6"/>
    <w:rsid w:val="006C1A75"/>
    <w:rsid w:val="006C517D"/>
    <w:rsid w:val="006D0187"/>
    <w:rsid w:val="006D7ED2"/>
    <w:rsid w:val="006E1085"/>
    <w:rsid w:val="006E4854"/>
    <w:rsid w:val="006E6450"/>
    <w:rsid w:val="006F007E"/>
    <w:rsid w:val="006F1273"/>
    <w:rsid w:val="006F70F8"/>
    <w:rsid w:val="007004B9"/>
    <w:rsid w:val="00704C5F"/>
    <w:rsid w:val="00714F55"/>
    <w:rsid w:val="00717CF6"/>
    <w:rsid w:val="0072374D"/>
    <w:rsid w:val="007353C2"/>
    <w:rsid w:val="00740038"/>
    <w:rsid w:val="00740684"/>
    <w:rsid w:val="007437C4"/>
    <w:rsid w:val="0075394F"/>
    <w:rsid w:val="00756D24"/>
    <w:rsid w:val="007571BE"/>
    <w:rsid w:val="00773B3D"/>
    <w:rsid w:val="007827AE"/>
    <w:rsid w:val="00782AE5"/>
    <w:rsid w:val="0079332E"/>
    <w:rsid w:val="007A06D7"/>
    <w:rsid w:val="007B1F9B"/>
    <w:rsid w:val="007B63B2"/>
    <w:rsid w:val="007C2460"/>
    <w:rsid w:val="007C339A"/>
    <w:rsid w:val="007C3E4E"/>
    <w:rsid w:val="007C42B3"/>
    <w:rsid w:val="007C52B6"/>
    <w:rsid w:val="007C74D7"/>
    <w:rsid w:val="007D2D8A"/>
    <w:rsid w:val="007D433D"/>
    <w:rsid w:val="007E00A4"/>
    <w:rsid w:val="007E353E"/>
    <w:rsid w:val="007E3821"/>
    <w:rsid w:val="007E4ED0"/>
    <w:rsid w:val="007E67D4"/>
    <w:rsid w:val="007E7368"/>
    <w:rsid w:val="007E7BED"/>
    <w:rsid w:val="007F0B71"/>
    <w:rsid w:val="007F19AB"/>
    <w:rsid w:val="007F5696"/>
    <w:rsid w:val="007F7C7A"/>
    <w:rsid w:val="00800773"/>
    <w:rsid w:val="00805A67"/>
    <w:rsid w:val="00806F64"/>
    <w:rsid w:val="00810577"/>
    <w:rsid w:val="00820454"/>
    <w:rsid w:val="0082100F"/>
    <w:rsid w:val="0082526D"/>
    <w:rsid w:val="008258E7"/>
    <w:rsid w:val="00825A73"/>
    <w:rsid w:val="00830213"/>
    <w:rsid w:val="00840EBB"/>
    <w:rsid w:val="0084603F"/>
    <w:rsid w:val="008473F6"/>
    <w:rsid w:val="00847565"/>
    <w:rsid w:val="00850488"/>
    <w:rsid w:val="008505A4"/>
    <w:rsid w:val="00851428"/>
    <w:rsid w:val="00851688"/>
    <w:rsid w:val="00852E3F"/>
    <w:rsid w:val="00865459"/>
    <w:rsid w:val="00865DE0"/>
    <w:rsid w:val="00866AAD"/>
    <w:rsid w:val="0087297B"/>
    <w:rsid w:val="008731F8"/>
    <w:rsid w:val="008749F2"/>
    <w:rsid w:val="00874D65"/>
    <w:rsid w:val="00875B50"/>
    <w:rsid w:val="00876BEF"/>
    <w:rsid w:val="00877661"/>
    <w:rsid w:val="00881A45"/>
    <w:rsid w:val="00883756"/>
    <w:rsid w:val="008909B5"/>
    <w:rsid w:val="008944C7"/>
    <w:rsid w:val="008971A3"/>
    <w:rsid w:val="008A034B"/>
    <w:rsid w:val="008A1E1C"/>
    <w:rsid w:val="008A31C6"/>
    <w:rsid w:val="008A3D54"/>
    <w:rsid w:val="008A499F"/>
    <w:rsid w:val="008A6408"/>
    <w:rsid w:val="008B444C"/>
    <w:rsid w:val="008B5739"/>
    <w:rsid w:val="008D1EB1"/>
    <w:rsid w:val="008D26CD"/>
    <w:rsid w:val="008D355C"/>
    <w:rsid w:val="008D496B"/>
    <w:rsid w:val="008D56C9"/>
    <w:rsid w:val="008E3E03"/>
    <w:rsid w:val="008E744D"/>
    <w:rsid w:val="008F2764"/>
    <w:rsid w:val="0090251A"/>
    <w:rsid w:val="00902A17"/>
    <w:rsid w:val="0090544A"/>
    <w:rsid w:val="0091020A"/>
    <w:rsid w:val="00913A40"/>
    <w:rsid w:val="00921DBB"/>
    <w:rsid w:val="00921E4C"/>
    <w:rsid w:val="00922E5A"/>
    <w:rsid w:val="0092723A"/>
    <w:rsid w:val="00931719"/>
    <w:rsid w:val="00933A43"/>
    <w:rsid w:val="0093546F"/>
    <w:rsid w:val="00941E6A"/>
    <w:rsid w:val="0094291A"/>
    <w:rsid w:val="00944205"/>
    <w:rsid w:val="00944B37"/>
    <w:rsid w:val="009459EA"/>
    <w:rsid w:val="00950E26"/>
    <w:rsid w:val="00951EE9"/>
    <w:rsid w:val="00960CB1"/>
    <w:rsid w:val="009748B5"/>
    <w:rsid w:val="009761B8"/>
    <w:rsid w:val="00976ADC"/>
    <w:rsid w:val="00976DE7"/>
    <w:rsid w:val="00981A82"/>
    <w:rsid w:val="009968B4"/>
    <w:rsid w:val="009A2EEC"/>
    <w:rsid w:val="009A6410"/>
    <w:rsid w:val="009A6714"/>
    <w:rsid w:val="009A71CF"/>
    <w:rsid w:val="009B594F"/>
    <w:rsid w:val="009C0B53"/>
    <w:rsid w:val="009C326C"/>
    <w:rsid w:val="009C7099"/>
    <w:rsid w:val="009D3FE6"/>
    <w:rsid w:val="009D4126"/>
    <w:rsid w:val="009D6DF9"/>
    <w:rsid w:val="009D78B1"/>
    <w:rsid w:val="009D7E4E"/>
    <w:rsid w:val="009F0925"/>
    <w:rsid w:val="009F3C4D"/>
    <w:rsid w:val="00A062DD"/>
    <w:rsid w:val="00A16804"/>
    <w:rsid w:val="00A216BA"/>
    <w:rsid w:val="00A2253E"/>
    <w:rsid w:val="00A25301"/>
    <w:rsid w:val="00A26616"/>
    <w:rsid w:val="00A355EE"/>
    <w:rsid w:val="00A3599D"/>
    <w:rsid w:val="00A44A92"/>
    <w:rsid w:val="00A4647A"/>
    <w:rsid w:val="00A526DB"/>
    <w:rsid w:val="00A562B4"/>
    <w:rsid w:val="00A71985"/>
    <w:rsid w:val="00A7630F"/>
    <w:rsid w:val="00A81FDF"/>
    <w:rsid w:val="00A86869"/>
    <w:rsid w:val="00A940F6"/>
    <w:rsid w:val="00A94EDA"/>
    <w:rsid w:val="00A96C1B"/>
    <w:rsid w:val="00A96FDB"/>
    <w:rsid w:val="00A97D92"/>
    <w:rsid w:val="00AB1786"/>
    <w:rsid w:val="00AC03DD"/>
    <w:rsid w:val="00AC2DD5"/>
    <w:rsid w:val="00AC4562"/>
    <w:rsid w:val="00AC5C97"/>
    <w:rsid w:val="00AC676E"/>
    <w:rsid w:val="00AC6ECF"/>
    <w:rsid w:val="00AD7B9C"/>
    <w:rsid w:val="00AE5ED9"/>
    <w:rsid w:val="00AF0BD6"/>
    <w:rsid w:val="00AF1262"/>
    <w:rsid w:val="00AF6529"/>
    <w:rsid w:val="00B00DFD"/>
    <w:rsid w:val="00B05CE1"/>
    <w:rsid w:val="00B118A4"/>
    <w:rsid w:val="00B12927"/>
    <w:rsid w:val="00B152A3"/>
    <w:rsid w:val="00B20D6C"/>
    <w:rsid w:val="00B31C9E"/>
    <w:rsid w:val="00B32158"/>
    <w:rsid w:val="00B36DC4"/>
    <w:rsid w:val="00B41940"/>
    <w:rsid w:val="00B44446"/>
    <w:rsid w:val="00B60382"/>
    <w:rsid w:val="00B83A1B"/>
    <w:rsid w:val="00B923FE"/>
    <w:rsid w:val="00B939EB"/>
    <w:rsid w:val="00B93F9A"/>
    <w:rsid w:val="00B967D6"/>
    <w:rsid w:val="00B96D12"/>
    <w:rsid w:val="00B97CBD"/>
    <w:rsid w:val="00BA0F8A"/>
    <w:rsid w:val="00BA1C20"/>
    <w:rsid w:val="00BA6C56"/>
    <w:rsid w:val="00BA78A9"/>
    <w:rsid w:val="00BB7C14"/>
    <w:rsid w:val="00BC218F"/>
    <w:rsid w:val="00BC3D01"/>
    <w:rsid w:val="00BC5B85"/>
    <w:rsid w:val="00BC61E3"/>
    <w:rsid w:val="00BD19C1"/>
    <w:rsid w:val="00BD71FE"/>
    <w:rsid w:val="00BD77C4"/>
    <w:rsid w:val="00BE3106"/>
    <w:rsid w:val="00BE4FFA"/>
    <w:rsid w:val="00BE7027"/>
    <w:rsid w:val="00BF3164"/>
    <w:rsid w:val="00BF6F43"/>
    <w:rsid w:val="00BF776E"/>
    <w:rsid w:val="00C01893"/>
    <w:rsid w:val="00C02001"/>
    <w:rsid w:val="00C0798F"/>
    <w:rsid w:val="00C10CE4"/>
    <w:rsid w:val="00C14881"/>
    <w:rsid w:val="00C15663"/>
    <w:rsid w:val="00C2030E"/>
    <w:rsid w:val="00C3362B"/>
    <w:rsid w:val="00C46C0A"/>
    <w:rsid w:val="00C570A8"/>
    <w:rsid w:val="00C57558"/>
    <w:rsid w:val="00C57876"/>
    <w:rsid w:val="00C60BD5"/>
    <w:rsid w:val="00C654B6"/>
    <w:rsid w:val="00C6584B"/>
    <w:rsid w:val="00C707AF"/>
    <w:rsid w:val="00C72D79"/>
    <w:rsid w:val="00C734B6"/>
    <w:rsid w:val="00C94B55"/>
    <w:rsid w:val="00C95619"/>
    <w:rsid w:val="00C95ADC"/>
    <w:rsid w:val="00CA069C"/>
    <w:rsid w:val="00CA69D0"/>
    <w:rsid w:val="00CB6F72"/>
    <w:rsid w:val="00CC1F9F"/>
    <w:rsid w:val="00CD215B"/>
    <w:rsid w:val="00CD53A6"/>
    <w:rsid w:val="00CE0884"/>
    <w:rsid w:val="00CE1839"/>
    <w:rsid w:val="00CE26BE"/>
    <w:rsid w:val="00CE3E89"/>
    <w:rsid w:val="00CE471C"/>
    <w:rsid w:val="00CF06C3"/>
    <w:rsid w:val="00CF4456"/>
    <w:rsid w:val="00CF71FE"/>
    <w:rsid w:val="00D02E04"/>
    <w:rsid w:val="00D10369"/>
    <w:rsid w:val="00D1290C"/>
    <w:rsid w:val="00D17B30"/>
    <w:rsid w:val="00D21700"/>
    <w:rsid w:val="00D2706A"/>
    <w:rsid w:val="00D349E8"/>
    <w:rsid w:val="00D45933"/>
    <w:rsid w:val="00D53F56"/>
    <w:rsid w:val="00D571BB"/>
    <w:rsid w:val="00D61870"/>
    <w:rsid w:val="00D636FD"/>
    <w:rsid w:val="00D73E9A"/>
    <w:rsid w:val="00D77C63"/>
    <w:rsid w:val="00D80E3F"/>
    <w:rsid w:val="00D84933"/>
    <w:rsid w:val="00D94442"/>
    <w:rsid w:val="00D94A76"/>
    <w:rsid w:val="00DA53C5"/>
    <w:rsid w:val="00DB5FD3"/>
    <w:rsid w:val="00DD00C9"/>
    <w:rsid w:val="00DD116B"/>
    <w:rsid w:val="00DD6173"/>
    <w:rsid w:val="00DD6ECF"/>
    <w:rsid w:val="00DD75AD"/>
    <w:rsid w:val="00DF16F3"/>
    <w:rsid w:val="00DF1B4A"/>
    <w:rsid w:val="00DF7ABB"/>
    <w:rsid w:val="00E01901"/>
    <w:rsid w:val="00E063CF"/>
    <w:rsid w:val="00E134C6"/>
    <w:rsid w:val="00E15FD1"/>
    <w:rsid w:val="00E25E5C"/>
    <w:rsid w:val="00E2660B"/>
    <w:rsid w:val="00E27F1F"/>
    <w:rsid w:val="00E32897"/>
    <w:rsid w:val="00E32F43"/>
    <w:rsid w:val="00E33D02"/>
    <w:rsid w:val="00E34495"/>
    <w:rsid w:val="00E36753"/>
    <w:rsid w:val="00E37336"/>
    <w:rsid w:val="00E412C1"/>
    <w:rsid w:val="00E553CC"/>
    <w:rsid w:val="00E56489"/>
    <w:rsid w:val="00E60CA0"/>
    <w:rsid w:val="00E658A6"/>
    <w:rsid w:val="00E71215"/>
    <w:rsid w:val="00E7198D"/>
    <w:rsid w:val="00E72FD1"/>
    <w:rsid w:val="00E76129"/>
    <w:rsid w:val="00E81966"/>
    <w:rsid w:val="00E91C53"/>
    <w:rsid w:val="00E92E29"/>
    <w:rsid w:val="00E97A07"/>
    <w:rsid w:val="00EA5FDE"/>
    <w:rsid w:val="00EA600C"/>
    <w:rsid w:val="00EB09DE"/>
    <w:rsid w:val="00EB0A4F"/>
    <w:rsid w:val="00EB6833"/>
    <w:rsid w:val="00EC3F6A"/>
    <w:rsid w:val="00ED1069"/>
    <w:rsid w:val="00ED1796"/>
    <w:rsid w:val="00ED6B88"/>
    <w:rsid w:val="00EE43EF"/>
    <w:rsid w:val="00EE57D8"/>
    <w:rsid w:val="00EE7CBD"/>
    <w:rsid w:val="00EF1150"/>
    <w:rsid w:val="00EF215F"/>
    <w:rsid w:val="00EF371C"/>
    <w:rsid w:val="00EF7697"/>
    <w:rsid w:val="00F014E3"/>
    <w:rsid w:val="00F048C2"/>
    <w:rsid w:val="00F1059B"/>
    <w:rsid w:val="00F10C71"/>
    <w:rsid w:val="00F1521F"/>
    <w:rsid w:val="00F2477A"/>
    <w:rsid w:val="00F26759"/>
    <w:rsid w:val="00F30E25"/>
    <w:rsid w:val="00F34A0C"/>
    <w:rsid w:val="00F3766B"/>
    <w:rsid w:val="00F42541"/>
    <w:rsid w:val="00F476B5"/>
    <w:rsid w:val="00F51B3F"/>
    <w:rsid w:val="00F55820"/>
    <w:rsid w:val="00F60638"/>
    <w:rsid w:val="00F64BBD"/>
    <w:rsid w:val="00F65859"/>
    <w:rsid w:val="00F737A6"/>
    <w:rsid w:val="00F74D00"/>
    <w:rsid w:val="00F80364"/>
    <w:rsid w:val="00F86CC1"/>
    <w:rsid w:val="00F8733E"/>
    <w:rsid w:val="00F9229A"/>
    <w:rsid w:val="00F93DA7"/>
    <w:rsid w:val="00F96730"/>
    <w:rsid w:val="00FA09A6"/>
    <w:rsid w:val="00FB2C12"/>
    <w:rsid w:val="00FB552A"/>
    <w:rsid w:val="00FD3E7E"/>
    <w:rsid w:val="00FD7352"/>
    <w:rsid w:val="00FE3440"/>
    <w:rsid w:val="00FF77D7"/>
    <w:rsid w:val="49C11712"/>
    <w:rsid w:val="4A5E90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03DA8"/>
  <w15:chartTrackingRefBased/>
  <w15:docId w15:val="{8FB73497-8901-46CF-8CC8-5574EF47F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343"/>
    <w:rPr>
      <w:kern w:val="2"/>
      <w14:ligatures w14:val="standardContextual"/>
    </w:rPr>
  </w:style>
  <w:style w:type="paragraph" w:styleId="Heading1">
    <w:name w:val="heading 1"/>
    <w:basedOn w:val="Normal"/>
    <w:next w:val="Normal"/>
    <w:link w:val="Heading1Char"/>
    <w:uiPriority w:val="9"/>
    <w:qFormat/>
    <w:rsid w:val="006A5E11"/>
    <w:pPr>
      <w:keepNext/>
      <w:keepLines/>
      <w:spacing w:before="360" w:after="80"/>
      <w:outlineLvl w:val="0"/>
    </w:pPr>
    <w:rPr>
      <w:rFonts w:asciiTheme="majorHAnsi" w:eastAsiaTheme="majorEastAsia" w:hAnsiTheme="majorHAnsi" w:cstheme="majorBidi"/>
      <w:color w:val="0F4761" w:themeColor="accent1" w:themeShade="BF"/>
      <w:kern w:val="0"/>
      <w:sz w:val="40"/>
      <w:szCs w:val="40"/>
      <w14:ligatures w14:val="none"/>
    </w:rPr>
  </w:style>
  <w:style w:type="paragraph" w:styleId="Heading2">
    <w:name w:val="heading 2"/>
    <w:basedOn w:val="Normal"/>
    <w:next w:val="Normal"/>
    <w:link w:val="Heading2Char"/>
    <w:uiPriority w:val="9"/>
    <w:semiHidden/>
    <w:unhideWhenUsed/>
    <w:qFormat/>
    <w:rsid w:val="006A5E11"/>
    <w:pPr>
      <w:keepNext/>
      <w:keepLines/>
      <w:spacing w:before="160" w:after="80"/>
      <w:outlineLvl w:val="1"/>
    </w:pPr>
    <w:rPr>
      <w:rFonts w:asciiTheme="majorHAnsi" w:eastAsiaTheme="majorEastAsia" w:hAnsiTheme="majorHAnsi" w:cstheme="majorBidi"/>
      <w:color w:val="0F4761" w:themeColor="accent1" w:themeShade="BF"/>
      <w:kern w:val="0"/>
      <w:sz w:val="32"/>
      <w:szCs w:val="32"/>
      <w14:ligatures w14:val="none"/>
    </w:rPr>
  </w:style>
  <w:style w:type="paragraph" w:styleId="Heading3">
    <w:name w:val="heading 3"/>
    <w:basedOn w:val="Normal"/>
    <w:next w:val="Normal"/>
    <w:link w:val="Heading3Char"/>
    <w:uiPriority w:val="9"/>
    <w:semiHidden/>
    <w:unhideWhenUsed/>
    <w:qFormat/>
    <w:rsid w:val="006A5E11"/>
    <w:pPr>
      <w:keepNext/>
      <w:keepLines/>
      <w:spacing w:before="160" w:after="80"/>
      <w:outlineLvl w:val="2"/>
    </w:pPr>
    <w:rPr>
      <w:rFonts w:eastAsiaTheme="majorEastAsia" w:cstheme="majorBidi"/>
      <w:color w:val="0F4761" w:themeColor="accent1" w:themeShade="BF"/>
      <w:kern w:val="0"/>
      <w:sz w:val="28"/>
      <w:szCs w:val="28"/>
      <w14:ligatures w14:val="none"/>
    </w:rPr>
  </w:style>
  <w:style w:type="paragraph" w:styleId="Heading4">
    <w:name w:val="heading 4"/>
    <w:basedOn w:val="Normal"/>
    <w:next w:val="Normal"/>
    <w:link w:val="Heading4Char"/>
    <w:uiPriority w:val="9"/>
    <w:semiHidden/>
    <w:unhideWhenUsed/>
    <w:qFormat/>
    <w:rsid w:val="006A5E11"/>
    <w:pPr>
      <w:keepNext/>
      <w:keepLines/>
      <w:spacing w:before="80" w:after="40"/>
      <w:outlineLvl w:val="3"/>
    </w:pPr>
    <w:rPr>
      <w:rFonts w:eastAsiaTheme="majorEastAsia" w:cstheme="majorBidi"/>
      <w:i/>
      <w:iCs/>
      <w:color w:val="0F4761" w:themeColor="accent1" w:themeShade="BF"/>
      <w:kern w:val="0"/>
      <w14:ligatures w14:val="none"/>
    </w:rPr>
  </w:style>
  <w:style w:type="paragraph" w:styleId="Heading5">
    <w:name w:val="heading 5"/>
    <w:basedOn w:val="Normal"/>
    <w:next w:val="Normal"/>
    <w:link w:val="Heading5Char"/>
    <w:uiPriority w:val="9"/>
    <w:semiHidden/>
    <w:unhideWhenUsed/>
    <w:qFormat/>
    <w:rsid w:val="006A5E11"/>
    <w:pPr>
      <w:keepNext/>
      <w:keepLines/>
      <w:spacing w:before="80" w:after="40"/>
      <w:outlineLvl w:val="4"/>
    </w:pPr>
    <w:rPr>
      <w:rFonts w:eastAsiaTheme="majorEastAsia" w:cstheme="majorBidi"/>
      <w:color w:val="0F4761" w:themeColor="accent1" w:themeShade="BF"/>
      <w:kern w:val="0"/>
      <w14:ligatures w14:val="none"/>
    </w:rPr>
  </w:style>
  <w:style w:type="paragraph" w:styleId="Heading6">
    <w:name w:val="heading 6"/>
    <w:basedOn w:val="Normal"/>
    <w:next w:val="Normal"/>
    <w:link w:val="Heading6Char"/>
    <w:uiPriority w:val="9"/>
    <w:semiHidden/>
    <w:unhideWhenUsed/>
    <w:qFormat/>
    <w:rsid w:val="006A5E11"/>
    <w:pPr>
      <w:keepNext/>
      <w:keepLines/>
      <w:spacing w:before="40" w:after="0"/>
      <w:outlineLvl w:val="5"/>
    </w:pPr>
    <w:rPr>
      <w:rFonts w:eastAsiaTheme="majorEastAsia" w:cstheme="majorBidi"/>
      <w:i/>
      <w:iCs/>
      <w:color w:val="595959" w:themeColor="text1" w:themeTint="A6"/>
      <w:kern w:val="0"/>
      <w14:ligatures w14:val="none"/>
    </w:rPr>
  </w:style>
  <w:style w:type="paragraph" w:styleId="Heading7">
    <w:name w:val="heading 7"/>
    <w:basedOn w:val="Normal"/>
    <w:next w:val="Normal"/>
    <w:link w:val="Heading7Char"/>
    <w:uiPriority w:val="9"/>
    <w:semiHidden/>
    <w:unhideWhenUsed/>
    <w:qFormat/>
    <w:rsid w:val="006A5E11"/>
    <w:pPr>
      <w:keepNext/>
      <w:keepLines/>
      <w:spacing w:before="40" w:after="0"/>
      <w:outlineLvl w:val="6"/>
    </w:pPr>
    <w:rPr>
      <w:rFonts w:eastAsiaTheme="majorEastAsia" w:cstheme="majorBidi"/>
      <w:color w:val="595959" w:themeColor="text1" w:themeTint="A6"/>
      <w:kern w:val="0"/>
      <w14:ligatures w14:val="none"/>
    </w:rPr>
  </w:style>
  <w:style w:type="paragraph" w:styleId="Heading8">
    <w:name w:val="heading 8"/>
    <w:basedOn w:val="Normal"/>
    <w:next w:val="Normal"/>
    <w:link w:val="Heading8Char"/>
    <w:uiPriority w:val="9"/>
    <w:semiHidden/>
    <w:unhideWhenUsed/>
    <w:qFormat/>
    <w:rsid w:val="006A5E11"/>
    <w:pPr>
      <w:keepNext/>
      <w:keepLines/>
      <w:spacing w:after="0"/>
      <w:outlineLvl w:val="7"/>
    </w:pPr>
    <w:rPr>
      <w:rFonts w:eastAsiaTheme="majorEastAsia" w:cstheme="majorBidi"/>
      <w:i/>
      <w:iCs/>
      <w:color w:val="272727" w:themeColor="text1" w:themeTint="D8"/>
      <w:kern w:val="0"/>
      <w14:ligatures w14:val="none"/>
    </w:rPr>
  </w:style>
  <w:style w:type="paragraph" w:styleId="Heading9">
    <w:name w:val="heading 9"/>
    <w:basedOn w:val="Normal"/>
    <w:next w:val="Normal"/>
    <w:link w:val="Heading9Char"/>
    <w:uiPriority w:val="9"/>
    <w:semiHidden/>
    <w:unhideWhenUsed/>
    <w:qFormat/>
    <w:rsid w:val="006A5E11"/>
    <w:pPr>
      <w:keepNext/>
      <w:keepLines/>
      <w:spacing w:after="0"/>
      <w:outlineLvl w:val="8"/>
    </w:pPr>
    <w:rPr>
      <w:rFonts w:eastAsiaTheme="majorEastAsia" w:cstheme="majorBidi"/>
      <w:color w:val="272727" w:themeColor="text1" w:themeTint="D8"/>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E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5E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5E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5E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5E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5E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E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E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E11"/>
    <w:rPr>
      <w:rFonts w:eastAsiaTheme="majorEastAsia" w:cstheme="majorBidi"/>
      <w:color w:val="272727" w:themeColor="text1" w:themeTint="D8"/>
    </w:rPr>
  </w:style>
  <w:style w:type="paragraph" w:styleId="Title">
    <w:name w:val="Title"/>
    <w:basedOn w:val="Normal"/>
    <w:next w:val="Normal"/>
    <w:link w:val="TitleChar"/>
    <w:uiPriority w:val="10"/>
    <w:qFormat/>
    <w:rsid w:val="006A5E11"/>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6A5E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E11"/>
    <w:pPr>
      <w:numPr>
        <w:ilvl w:val="1"/>
      </w:numPr>
    </w:pPr>
    <w:rPr>
      <w:rFonts w:eastAsiaTheme="majorEastAsia"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6A5E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E11"/>
    <w:pPr>
      <w:spacing w:before="160"/>
      <w:jc w:val="center"/>
    </w:pPr>
    <w:rPr>
      <w:i/>
      <w:iCs/>
      <w:color w:val="404040" w:themeColor="text1" w:themeTint="BF"/>
      <w:kern w:val="0"/>
      <w14:ligatures w14:val="none"/>
    </w:rPr>
  </w:style>
  <w:style w:type="character" w:customStyle="1" w:styleId="QuoteChar">
    <w:name w:val="Quote Char"/>
    <w:basedOn w:val="DefaultParagraphFont"/>
    <w:link w:val="Quote"/>
    <w:uiPriority w:val="29"/>
    <w:rsid w:val="006A5E11"/>
    <w:rPr>
      <w:i/>
      <w:iCs/>
      <w:color w:val="404040" w:themeColor="text1" w:themeTint="BF"/>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6A5E11"/>
    <w:pPr>
      <w:ind w:left="720"/>
      <w:contextualSpacing/>
    </w:pPr>
    <w:rPr>
      <w:kern w:val="0"/>
      <w14:ligatures w14:val="none"/>
    </w:rPr>
  </w:style>
  <w:style w:type="character" w:styleId="IntenseEmphasis">
    <w:name w:val="Intense Emphasis"/>
    <w:basedOn w:val="DefaultParagraphFont"/>
    <w:uiPriority w:val="21"/>
    <w:qFormat/>
    <w:rsid w:val="006A5E11"/>
    <w:rPr>
      <w:i/>
      <w:iCs/>
      <w:color w:val="0F4761" w:themeColor="accent1" w:themeShade="BF"/>
    </w:rPr>
  </w:style>
  <w:style w:type="paragraph" w:styleId="IntenseQuote">
    <w:name w:val="Intense Quote"/>
    <w:basedOn w:val="Normal"/>
    <w:next w:val="Normal"/>
    <w:link w:val="IntenseQuoteChar"/>
    <w:uiPriority w:val="30"/>
    <w:qFormat/>
    <w:rsid w:val="006A5E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0"/>
      <w14:ligatures w14:val="none"/>
    </w:rPr>
  </w:style>
  <w:style w:type="character" w:customStyle="1" w:styleId="IntenseQuoteChar">
    <w:name w:val="Intense Quote Char"/>
    <w:basedOn w:val="DefaultParagraphFont"/>
    <w:link w:val="IntenseQuote"/>
    <w:uiPriority w:val="30"/>
    <w:rsid w:val="006A5E11"/>
    <w:rPr>
      <w:i/>
      <w:iCs/>
      <w:color w:val="0F4761" w:themeColor="accent1" w:themeShade="BF"/>
    </w:rPr>
  </w:style>
  <w:style w:type="character" w:styleId="IntenseReference">
    <w:name w:val="Intense Reference"/>
    <w:basedOn w:val="DefaultParagraphFont"/>
    <w:uiPriority w:val="32"/>
    <w:qFormat/>
    <w:rsid w:val="006A5E11"/>
    <w:rPr>
      <w:b/>
      <w:bCs/>
      <w:smallCaps/>
      <w:color w:val="0F4761" w:themeColor="accent1" w:themeShade="BF"/>
      <w:spacing w:val="5"/>
    </w:rPr>
  </w:style>
  <w:style w:type="paragraph" w:styleId="Header">
    <w:name w:val="header"/>
    <w:basedOn w:val="Normal"/>
    <w:link w:val="HeaderChar"/>
    <w:uiPriority w:val="99"/>
    <w:unhideWhenUsed/>
    <w:rsid w:val="006E10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085"/>
    <w:rPr>
      <w:kern w:val="2"/>
      <w14:ligatures w14:val="standardContextual"/>
    </w:rPr>
  </w:style>
  <w:style w:type="paragraph" w:styleId="Footer">
    <w:name w:val="footer"/>
    <w:basedOn w:val="Normal"/>
    <w:link w:val="FooterChar"/>
    <w:uiPriority w:val="99"/>
    <w:unhideWhenUsed/>
    <w:rsid w:val="006E10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085"/>
    <w:rPr>
      <w:kern w:val="2"/>
      <w14:ligatures w14:val="standardContextual"/>
    </w:rPr>
  </w:style>
  <w:style w:type="paragraph" w:styleId="FootnoteText">
    <w:name w:val="footnote text"/>
    <w:basedOn w:val="Normal"/>
    <w:link w:val="FootnoteTextChar"/>
    <w:uiPriority w:val="99"/>
    <w:semiHidden/>
    <w:unhideWhenUsed/>
    <w:rsid w:val="004654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54E1"/>
    <w:rPr>
      <w:kern w:val="2"/>
      <w:sz w:val="20"/>
      <w:szCs w:val="20"/>
      <w14:ligatures w14:val="standardContextual"/>
    </w:rPr>
  </w:style>
  <w:style w:type="character" w:styleId="FootnoteReference">
    <w:name w:val="footnote reference"/>
    <w:basedOn w:val="DefaultParagraphFont"/>
    <w:uiPriority w:val="99"/>
    <w:semiHidden/>
    <w:unhideWhenUsed/>
    <w:rsid w:val="004654E1"/>
    <w:rPr>
      <w:vertAlign w:val="superscript"/>
    </w:rPr>
  </w:style>
  <w:style w:type="character" w:styleId="Hyperlink">
    <w:name w:val="Hyperlink"/>
    <w:basedOn w:val="DefaultParagraphFont"/>
    <w:uiPriority w:val="99"/>
    <w:unhideWhenUsed/>
    <w:rsid w:val="00A97D92"/>
    <w:rPr>
      <w:color w:val="467886" w:themeColor="hyperlink"/>
      <w:u w:val="single"/>
    </w:rPr>
  </w:style>
  <w:style w:type="character" w:styleId="UnresolvedMention">
    <w:name w:val="Unresolved Mention"/>
    <w:basedOn w:val="DefaultParagraphFont"/>
    <w:uiPriority w:val="99"/>
    <w:semiHidden/>
    <w:unhideWhenUsed/>
    <w:rsid w:val="00A97D92"/>
    <w:rPr>
      <w:color w:val="605E5C"/>
      <w:shd w:val="clear" w:color="auto" w:fill="E1DFDD"/>
    </w:rPr>
  </w:style>
  <w:style w:type="paragraph" w:styleId="Revision">
    <w:name w:val="Revision"/>
    <w:hidden/>
    <w:uiPriority w:val="99"/>
    <w:semiHidden/>
    <w:rsid w:val="00902A17"/>
    <w:pPr>
      <w:spacing w:after="0" w:line="240" w:lineRule="auto"/>
    </w:pPr>
    <w:rPr>
      <w:kern w:val="2"/>
      <w14:ligatures w14:val="standardContextual"/>
    </w:rPr>
  </w:style>
  <w:style w:type="character" w:styleId="CommentReference">
    <w:name w:val="annotation reference"/>
    <w:basedOn w:val="DefaultParagraphFont"/>
    <w:uiPriority w:val="99"/>
    <w:semiHidden/>
    <w:unhideWhenUsed/>
    <w:rsid w:val="00922E5A"/>
    <w:rPr>
      <w:sz w:val="16"/>
      <w:szCs w:val="16"/>
    </w:rPr>
  </w:style>
  <w:style w:type="paragraph" w:styleId="CommentText">
    <w:name w:val="annotation text"/>
    <w:basedOn w:val="Normal"/>
    <w:link w:val="CommentTextChar"/>
    <w:uiPriority w:val="99"/>
    <w:unhideWhenUsed/>
    <w:rsid w:val="00922E5A"/>
    <w:pPr>
      <w:spacing w:line="240" w:lineRule="auto"/>
    </w:pPr>
    <w:rPr>
      <w:sz w:val="20"/>
      <w:szCs w:val="20"/>
    </w:rPr>
  </w:style>
  <w:style w:type="character" w:customStyle="1" w:styleId="CommentTextChar">
    <w:name w:val="Comment Text Char"/>
    <w:basedOn w:val="DefaultParagraphFont"/>
    <w:link w:val="CommentText"/>
    <w:uiPriority w:val="99"/>
    <w:rsid w:val="00922E5A"/>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922E5A"/>
    <w:rPr>
      <w:b/>
      <w:bCs/>
    </w:rPr>
  </w:style>
  <w:style w:type="character" w:customStyle="1" w:styleId="CommentSubjectChar">
    <w:name w:val="Comment Subject Char"/>
    <w:basedOn w:val="CommentTextChar"/>
    <w:link w:val="CommentSubject"/>
    <w:uiPriority w:val="99"/>
    <w:semiHidden/>
    <w:rsid w:val="00922E5A"/>
    <w:rPr>
      <w:b/>
      <w:bCs/>
      <w:kern w:val="2"/>
      <w:sz w:val="20"/>
      <w:szCs w:val="20"/>
      <w14:ligatures w14:val="standardContextual"/>
    </w:rPr>
  </w:style>
  <w:style w:type="character" w:styleId="FollowedHyperlink">
    <w:name w:val="FollowedHyperlink"/>
    <w:basedOn w:val="DefaultParagraphFont"/>
    <w:uiPriority w:val="99"/>
    <w:semiHidden/>
    <w:unhideWhenUsed/>
    <w:rsid w:val="0072374D"/>
    <w:rPr>
      <w:color w:val="96607D" w:themeColor="followedHyperlink"/>
      <w:u w:val="single"/>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266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6700">
      <w:bodyDiv w:val="1"/>
      <w:marLeft w:val="0"/>
      <w:marRight w:val="0"/>
      <w:marTop w:val="0"/>
      <w:marBottom w:val="0"/>
      <w:divBdr>
        <w:top w:val="none" w:sz="0" w:space="0" w:color="auto"/>
        <w:left w:val="none" w:sz="0" w:space="0" w:color="auto"/>
        <w:bottom w:val="none" w:sz="0" w:space="0" w:color="auto"/>
        <w:right w:val="none" w:sz="0" w:space="0" w:color="auto"/>
      </w:divBdr>
    </w:div>
    <w:div w:id="299001107">
      <w:bodyDiv w:val="1"/>
      <w:marLeft w:val="0"/>
      <w:marRight w:val="0"/>
      <w:marTop w:val="0"/>
      <w:marBottom w:val="0"/>
      <w:divBdr>
        <w:top w:val="none" w:sz="0" w:space="0" w:color="auto"/>
        <w:left w:val="none" w:sz="0" w:space="0" w:color="auto"/>
        <w:bottom w:val="none" w:sz="0" w:space="0" w:color="auto"/>
        <w:right w:val="none" w:sz="0" w:space="0" w:color="auto"/>
      </w:divBdr>
    </w:div>
    <w:div w:id="703678475">
      <w:bodyDiv w:val="1"/>
      <w:marLeft w:val="0"/>
      <w:marRight w:val="0"/>
      <w:marTop w:val="0"/>
      <w:marBottom w:val="0"/>
      <w:divBdr>
        <w:top w:val="none" w:sz="0" w:space="0" w:color="auto"/>
        <w:left w:val="none" w:sz="0" w:space="0" w:color="auto"/>
        <w:bottom w:val="none" w:sz="0" w:space="0" w:color="auto"/>
        <w:right w:val="none" w:sz="0" w:space="0" w:color="auto"/>
      </w:divBdr>
    </w:div>
    <w:div w:id="122390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1496</ap:Words>
  <ap:Characters>8228</ap:Characters>
  <ap:DocSecurity>0</ap:DocSecurity>
  <ap:Lines>68</ap:Lines>
  <ap:Paragraphs>19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9705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2025-04-22T12:03:00.0000000Z</lastPrinted>
  <dcterms:created xsi:type="dcterms:W3CDTF">2025-09-25T15:02:00.0000000Z</dcterms:created>
  <dcterms:modified xsi:type="dcterms:W3CDTF">2025-09-25T15:07:00.0000000Z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0x0101009C7CE436063D44E9BE7DC0259EF7C32F006EB9F9836A634AE58B6169785FD3936F0080DF2CD8D3B5F847A0FDC959097D79CC</vt:lpwstr>
  </property>
  <property fmtid="{D5CDD505-2E9C-101B-9397-08002B2CF9AE}" pid="3" name="_dlc_DocIdItemGuid">
    <vt:lpwstr>d6c5fd9c-0afb-492e-ade1-23aa9ecc3aef</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