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2025Z17930</w:t>
        <w:br/>
      </w:r>
      <w:proofErr w:type="spellEnd"/>
    </w:p>
    <w:p>
      <w:pPr>
        <w:pStyle w:val="Normal"/>
        <w:rPr>
          <w:b w:val="1"/>
          <w:bCs w:val="1"/>
        </w:rPr>
      </w:pPr>
      <w:r w:rsidR="250AE766">
        <w:rPr>
          <w:b w:val="0"/>
          <w:bCs w:val="0"/>
        </w:rPr>
        <w:t>(ingezonden 26 september 2025)</w:t>
        <w:br/>
      </w:r>
    </w:p>
    <w:p>
      <w:r>
        <w:t xml:space="preserve">Vragen van de leden Gabriëls (GroenLinks-PvdA) en Kostic (PvdD) aan de staatssecretaris van Infrastructuur en Waterstaat over de staalslakkenkwesties</w:t>
      </w:r>
      <w:r>
        <w:br/>
      </w:r>
    </w:p>
    <w:p>
      <w:pPr>
        <w:pStyle w:val="ListParagraph"/>
        <w:numPr>
          <w:ilvl w:val="0"/>
          <w:numId w:val="100487530"/>
        </w:numPr>
        <w:ind w:left="360"/>
      </w:pPr>
      <w:r>
        <w:t xml:space="preserve">Wanneer wordt de bodemregelgeving aangepast en worden er in de nieuwe bodemregelgeving ook eisen toegevoegd over uitloging van niet genormeerde relevante stoffen, zoals natrium (Na), calcium (Ca), aluminium (Al), strontium (Sr), titanium (Ti), beryllium (Be) en boor (B) en beïnvloeding van de pH? Zo ja, geldt dat dan voor álle secundaire bouwstoffen?</w:t>
      </w:r>
      <w:r>
        <w:br/>
      </w:r>
    </w:p>
    <w:p>
      <w:pPr>
        <w:pStyle w:val="ListParagraph"/>
        <w:numPr>
          <w:ilvl w:val="0"/>
          <w:numId w:val="100487530"/>
        </w:numPr>
        <w:ind w:left="360"/>
      </w:pPr>
      <w:r>
        <w:t xml:space="preserve">Waarom is de bodemregelgeving al zo lang niet meer aangepast, terwijl de omgevingsdiensten aangeven dat de bodemregelgeving hun geen handvatten bood en geboden heeft om goed toezicht te kunnen houden op bijvoorbeeld het gebruik van staalslakken?</w:t>
      </w:r>
      <w:r>
        <w:br/>
      </w:r>
    </w:p>
    <w:p>
      <w:pPr>
        <w:pStyle w:val="ListParagraph"/>
        <w:numPr>
          <w:ilvl w:val="0"/>
          <w:numId w:val="100487530"/>
        </w:numPr>
        <w:ind w:left="360"/>
      </w:pPr>
      <w:r>
        <w:t xml:space="preserve">Is er ooit eerder overwogen om de “vrije toepasbaarheid” van staalslakken in te binden en het gebruik aan een meld- of vergunningsplicht te laten voldoen? Waarom wel/niet?</w:t>
      </w:r>
      <w:r>
        <w:br/>
      </w:r>
    </w:p>
    <w:p>
      <w:pPr>
        <w:pStyle w:val="ListParagraph"/>
        <w:numPr>
          <w:ilvl w:val="0"/>
          <w:numId w:val="100487530"/>
        </w:numPr>
        <w:ind w:left="360"/>
      </w:pPr>
      <w:r>
        <w:t xml:space="preserve">Bent u bereid een wijziging van bijlage A van de Regeling Bodemkwaliteit 2022 door te voeren en daarbij alle relevante factoren voor gezondheid en milieu toe te voegen, waaronder de pH-waarde van uitloogwater?</w:t>
      </w:r>
      <w:r>
        <w:br/>
      </w:r>
    </w:p>
    <w:p>
      <w:pPr>
        <w:pStyle w:val="ListParagraph"/>
        <w:numPr>
          <w:ilvl w:val="0"/>
          <w:numId w:val="100487530"/>
        </w:numPr>
        <w:ind w:left="360"/>
      </w:pPr>
      <w:r>
        <w:t xml:space="preserve">Waarom is de terugvaloptie bij het eventueel vervallen van het tijdelijke gedeeltelijke verbod op het gebruik van staalslakken een invoering van een meldplicht en niet een invoering van een vergunningsplicht vanaf 1 januari 2026?</w:t>
      </w:r>
      <w:r>
        <w:br/>
      </w:r>
    </w:p>
    <w:p>
      <w:pPr>
        <w:pStyle w:val="ListParagraph"/>
        <w:numPr>
          <w:ilvl w:val="0"/>
          <w:numId w:val="100487530"/>
        </w:numPr>
        <w:ind w:left="360"/>
      </w:pPr>
      <w:r>
        <w:t xml:space="preserve">Bent u bereid om terug te vallen op een totale vergunningsplicht vanaf 1 januari 2026 voor het gebruik van staalslakken?</w:t>
      </w:r>
      <w:r>
        <w:br/>
      </w:r>
    </w:p>
    <w:p>
      <w:pPr>
        <w:pStyle w:val="ListParagraph"/>
        <w:numPr>
          <w:ilvl w:val="0"/>
          <w:numId w:val="100487530"/>
        </w:numPr>
        <w:ind w:left="360"/>
      </w:pPr>
      <w:r>
        <w:t xml:space="preserve">Waarom is er sinds in de circulaire van VROM in 2005 staat dat er milieuschade kan optreden bij het gebruik van staalslakken, niet verder ingegrepen om de bodemregelgeving ten aanzien van uitloging van zware metalen en ongeblust kalk aan te scherpen?</w:t>
      </w:r>
      <w:r>
        <w:br/>
      </w:r>
    </w:p>
    <w:p>
      <w:pPr>
        <w:pStyle w:val="ListParagraph"/>
        <w:numPr>
          <w:ilvl w:val="0"/>
          <w:numId w:val="100487530"/>
        </w:numPr>
        <w:ind w:left="360"/>
      </w:pPr>
      <w:r>
        <w:t xml:space="preserve">Wat vindt u van het feit dat Tata Steel niet eerder zijn risicodocumenten/gevarenclassificatie ten aanzien van het gebruik van staalslakken heeft aangepast en daarmee niet eerlijk is geweest over de impact die staalslakken kunnen hebben op de gezondheid van mens en dier?</w:t>
      </w:r>
      <w:r>
        <w:br/>
      </w:r>
    </w:p>
    <w:p>
      <w:pPr>
        <w:pStyle w:val="ListParagraph"/>
        <w:numPr>
          <w:ilvl w:val="0"/>
          <w:numId w:val="100487530"/>
        </w:numPr>
        <w:ind w:left="360"/>
      </w:pPr>
      <w:r>
        <w:t xml:space="preserve">Kan Tata Steel aansprakelijk gehouden worden voor verwijderingskosten, omdat de gevarenclassificatie niet op orde was en er gezondheidsrisico’s zijn weggelaten?</w:t>
      </w:r>
      <w:r>
        <w:br/>
      </w:r>
    </w:p>
    <w:p>
      <w:pPr>
        <w:pStyle w:val="ListParagraph"/>
        <w:numPr>
          <w:ilvl w:val="0"/>
          <w:numId w:val="100487530"/>
        </w:numPr>
        <w:ind w:left="360"/>
      </w:pPr>
      <w:r>
        <w:t xml:space="preserve">Waarom geeft het ministerie van Infrastructuur en Waterstaat in zijn communicatie op schrift en via een technische briefing telkens aan dat het niet veel uitmaakt of restproducten van staalproductie de classificatie “afval” of  “bijproduct” krijgen, terwijl het hoofd van OmgevingsdienstNL in het rondetafelgesprek van 25 september 2025 aangaf dat het wel degelijk relevant is of een product geclassificeerd wordt als “afval” of als “bijproduct”?</w:t>
      </w:r>
      <w:r>
        <w:br/>
      </w:r>
    </w:p>
    <w:p>
      <w:pPr>
        <w:pStyle w:val="ListParagraph"/>
        <w:numPr>
          <w:ilvl w:val="0"/>
          <w:numId w:val="100487530"/>
        </w:numPr>
        <w:ind w:left="360"/>
      </w:pPr>
      <w:r>
        <w:t xml:space="preserve">Is het juist dat er bij de classificatie van het restproduct van staalproductie als “afval” sprake is van het moeten betalen van afvalstoffenbelasting? Zo ja, heeft dit meegespeeld in de beoordeling bij het vormgeven van het rechtsoordeel?</w:t>
      </w:r>
      <w:r>
        <w:br/>
      </w:r>
    </w:p>
    <w:p>
      <w:pPr>
        <w:pStyle w:val="ListParagraph"/>
        <w:numPr>
          <w:ilvl w:val="0"/>
          <w:numId w:val="100487530"/>
        </w:numPr>
        <w:ind w:left="360"/>
      </w:pPr>
      <w:r>
        <w:t xml:space="preserve">Klopt het dat er bij het opruimen een verschil zit in verantwoordelijkheid wanneer het staalslakkenspul geclassificeerd is als “afval” of als “bijproduct”? Zo ja, wat zijn de verschillen?</w:t>
      </w:r>
      <w:r>
        <w:br/>
      </w:r>
    </w:p>
    <w:p>
      <w:pPr>
        <w:pStyle w:val="ListParagraph"/>
        <w:numPr>
          <w:ilvl w:val="0"/>
          <w:numId w:val="100487530"/>
        </w:numPr>
        <w:ind w:left="360"/>
      </w:pPr>
      <w:r>
        <w:t xml:space="preserve">Klopt het dat Tata Steel verantwoordelijk is voor alle verwijderings- en saneringskosten in situaties waar de staalslakken toch als afvalproduct moeten worden geclassificeerd?</w:t>
      </w:r>
      <w:r>
        <w:br/>
      </w:r>
    </w:p>
    <w:p>
      <w:pPr>
        <w:pStyle w:val="ListParagraph"/>
        <w:numPr>
          <w:ilvl w:val="0"/>
          <w:numId w:val="100487530"/>
        </w:numPr>
        <w:ind w:left="360"/>
      </w:pPr>
      <w:r>
        <w:t xml:space="preserve">Waarom is er in de technische briefing van dinsdag 23 september 2025 aangegeven dat het voorleggen van een totaalverbod aan ‘Europa’ juridisch moeilijk te onderbouwen is, terwijl er een onderzoek uit 2007 ligt van dhr. Van der Sloot, waarin staat dat milieuschade niet direct afhangt van de dikte van de laag en er dus ook juridische onderbouwing is voor optreden van milieuschade bij gebruik van pakketten staalslakken onder de 50 cm dikte?</w:t>
      </w:r>
      <w:r>
        <w:br/>
      </w:r>
    </w:p>
    <w:p>
      <w:pPr>
        <w:pStyle w:val="ListParagraph"/>
        <w:numPr>
          <w:ilvl w:val="0"/>
          <w:numId w:val="100487530"/>
        </w:numPr>
        <w:ind w:left="360"/>
      </w:pPr>
      <w:r>
        <w:t xml:space="preserve">Waarom is ervoor gekozen om enkel het gevaar van gebruik van staalslakken in pakketten dikker dan 50cm te onderbouwen, terwijl uit het rapport van Van der Sloot blijkt dat milieuschade niet van de dikte van het verticale pakket afhangt maar onder andere van het horizontale gebruik, de oppervlakte, van het pakket?</w:t>
      </w:r>
      <w:r>
        <w:br/>
      </w:r>
    </w:p>
    <w:p>
      <w:pPr>
        <w:pStyle w:val="ListParagraph"/>
        <w:numPr>
          <w:ilvl w:val="0"/>
          <w:numId w:val="100487530"/>
        </w:numPr>
        <w:ind w:left="360"/>
      </w:pPr>
      <w:r>
        <w:t xml:space="preserve">Wordt op dit moment onderzocht of een verbod op basis van artikel 128 lid 2 REACH tot de mogelijkheden behoort, omdat het hier gaat om permanente beperkende maatregelen in situaties dat REACH zelf geen aanvullende regels bevat over de toepassing van een chemische stof?</w:t>
      </w:r>
      <w:r>
        <w:br/>
      </w:r>
    </w:p>
    <w:p>
      <w:pPr>
        <w:pStyle w:val="ListParagraph"/>
        <w:numPr>
          <w:ilvl w:val="0"/>
          <w:numId w:val="100487530"/>
        </w:numPr>
        <w:ind w:left="360"/>
      </w:pPr>
      <w:r>
        <w:t xml:space="preserve">Klopt het dat er geen aanvullende voorschriften over bijvoorbeeld gebruik vanuit REACH zijn voorgeschreven voor staalslakken, omdat staalslakken niet in bijlagen XVII van REACH genoemd staan?</w:t>
      </w:r>
      <w:r>
        <w:br/>
      </w:r>
    </w:p>
    <w:p>
      <w:pPr>
        <w:pStyle w:val="ListParagraph"/>
        <w:numPr>
          <w:ilvl w:val="0"/>
          <w:numId w:val="100487530"/>
        </w:numPr>
        <w:ind w:left="360"/>
      </w:pPr>
      <w:r>
        <w:t xml:space="preserve">Kunt u uitsluiten dat er een significante invloed is van het gebruik van staalslakken op het Natura 2000-gebied de Westerschelde?</w:t>
      </w:r>
      <w:r>
        <w:br/>
      </w:r>
    </w:p>
    <w:p>
      <w:pPr>
        <w:pStyle w:val="ListParagraph"/>
        <w:numPr>
          <w:ilvl w:val="0"/>
          <w:numId w:val="100487530"/>
        </w:numPr>
        <w:ind w:left="360"/>
      </w:pPr>
      <w:r>
        <w:t xml:space="preserve">Wat is het gevolg als een rechter toch oordeelt dat niet vaststaat dat staalslakkengebruik in grote wateren geen significant effect heeft op Natura 2000-gebieden, zoals de Scheldes?</w:t>
      </w:r>
      <w:r>
        <w:br/>
      </w:r>
    </w:p>
    <w:p>
      <w:pPr>
        <w:pStyle w:val="ListParagraph"/>
        <w:numPr>
          <w:ilvl w:val="0"/>
          <w:numId w:val="100487530"/>
        </w:numPr>
        <w:ind w:left="360"/>
      </w:pPr>
      <w:r>
        <w:t xml:space="preserve">Wat gaat u doen met alle staalslakken die nu al in Nederland liggen in pakketten groter dan 50 cm, nu erkend wordt dat het gebruik van die dikke pakketten staalslakken (boven de 50cm) tot milieuschade kunnen leiden?</w:t>
      </w:r>
      <w:r>
        <w:br/>
      </w:r>
    </w:p>
    <w:p>
      <w:pPr>
        <w:pStyle w:val="ListParagraph"/>
        <w:numPr>
          <w:ilvl w:val="0"/>
          <w:numId w:val="100487530"/>
        </w:numPr>
        <w:ind w:left="360"/>
      </w:pPr>
      <w:r>
        <w:t xml:space="preserve">Klopt het dat hydraulisch menggranulaat door elke particulier nu gekocht kan worden en gebruikt kan worden voor bijvoorbeeld de tuin of oprit?</w:t>
      </w:r>
      <w:r>
        <w:br/>
      </w:r>
    </w:p>
    <w:p>
      <w:pPr>
        <w:pStyle w:val="ListParagraph"/>
        <w:numPr>
          <w:ilvl w:val="0"/>
          <w:numId w:val="100487530"/>
        </w:numPr>
        <w:ind w:left="360"/>
      </w:pPr>
      <w:r>
        <w:t xml:space="preserve">Kunt u uitsluiten dat het gebruik van staalslakken in een percentage lager dan 20 procent in menggranulaat niet schadelijk is voor de gezondheid? Zo nee, waarom valt hydraulisch menggranulaat met staalslak dan niet onder het verbod?</w:t>
      </w:r>
      <w:r>
        <w:br/>
      </w:r>
    </w:p>
    <w:p>
      <w:pPr>
        <w:pStyle w:val="ListParagraph"/>
        <w:numPr>
          <w:ilvl w:val="0"/>
          <w:numId w:val="100487530"/>
        </w:numPr>
        <w:ind w:left="360"/>
      </w:pPr>
      <w:r>
        <w:t xml:space="preserve">Bent u bereid alsnog uitvoering te geven aan de vraag van de Kamer om een totaalverbod, door in aanbestedingen bij weg- en waterbouwwerken als criterium te stellen dat er geen gebruik gemaakt wordt van staalslakken? Waarom wel/niet?</w:t>
      </w:r>
      <w:r>
        <w:br/>
      </w:r>
    </w:p>
    <w:p>
      <w:pPr>
        <w:pStyle w:val="ListParagraph"/>
        <w:numPr>
          <w:ilvl w:val="0"/>
          <w:numId w:val="100487530"/>
        </w:numPr>
        <w:ind w:left="360"/>
      </w:pPr>
      <w:r>
        <w:t xml:space="preserve">Wat vindt u ervan dat Tata Steel Nederland aangeeft dat ze nog net zoveel staalslakken afzet als vóór het tijdelijke verbod en dat deze nu worden ingezet in pakketten van kleiner dan 50cm, die niet onder het verbod vallen en waarvan is aangetoond dat deze óók milieuschade opleveren? 1)</w:t>
      </w:r>
      <w:r>
        <w:br/>
      </w:r>
    </w:p>
    <w:p>
      <w:r>
        <w:t xml:space="preserve"> </w:t>
      </w:r>
      <w:r>
        <w:br/>
      </w:r>
    </w:p>
    <w:p>
      <w:r>
        <w:t xml:space="preserve">1) NU.nl, 25 september 2025, 'Tata Steel kan staalslakken ondanks landelijk verbod nog steeds kwijt' (https://www.nu.nl/klimaat/6370284/tata-steel-kan-staalslakken-ondanks-landelijk-verbod-nog-steeds-kwijt.html)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520">
    <w:abstractNumId w:val="100487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