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67A" w:rsidP="0078367A" w:rsidRDefault="0078367A" w14:paraId="5D7963F1" w14:textId="77777777">
      <w:pPr>
        <w:pStyle w:val="StandaardAanhef"/>
      </w:pPr>
      <w:r>
        <w:t>Geachte voorzitter,</w:t>
      </w:r>
    </w:p>
    <w:p w:rsidRPr="009A523B" w:rsidR="0078367A" w:rsidP="0078367A" w:rsidRDefault="0078367A" w14:paraId="14FC04DA" w14:textId="77777777">
      <w:pPr>
        <w:rPr>
          <w:rFonts w:cstheme="minorBidi"/>
        </w:rPr>
      </w:pPr>
      <w:r w:rsidRPr="009A523B">
        <w:rPr>
          <w:rFonts w:cstheme="minorBidi"/>
        </w:rPr>
        <w:t xml:space="preserve">Zoals toegezegd in </w:t>
      </w:r>
      <w:bookmarkStart w:name="_Hlk208571517" w:id="0"/>
      <w:r w:rsidRPr="009A523B">
        <w:rPr>
          <w:rFonts w:cstheme="minorBidi"/>
        </w:rPr>
        <w:t>de Fiscale Beleids</w:t>
      </w:r>
      <w:r>
        <w:rPr>
          <w:rFonts w:cstheme="minorBidi"/>
        </w:rPr>
        <w:t>-</w:t>
      </w:r>
      <w:r w:rsidRPr="009A523B">
        <w:rPr>
          <w:rFonts w:cstheme="minorBidi"/>
        </w:rPr>
        <w:t xml:space="preserve"> en Uitvoeringsagenda (2025)</w:t>
      </w:r>
      <w:r w:rsidRPr="009A523B">
        <w:rPr>
          <w:rStyle w:val="Voetnootmarkering"/>
          <w:rFonts w:cstheme="minorBidi"/>
        </w:rPr>
        <w:footnoteReference w:id="2"/>
      </w:r>
      <w:r w:rsidRPr="009A523B">
        <w:rPr>
          <w:rFonts w:cstheme="minorBidi"/>
        </w:rPr>
        <w:t xml:space="preserve"> informeer ik </w:t>
      </w:r>
      <w:r>
        <w:rPr>
          <w:rFonts w:cstheme="minorBidi"/>
        </w:rPr>
        <w:t>de</w:t>
      </w:r>
      <w:r w:rsidRPr="009A523B">
        <w:rPr>
          <w:rFonts w:cstheme="minorBidi"/>
        </w:rPr>
        <w:t xml:space="preserve"> </w:t>
      </w:r>
      <w:r>
        <w:rPr>
          <w:rFonts w:cstheme="minorBidi"/>
        </w:rPr>
        <w:t xml:space="preserve">Tweede </w:t>
      </w:r>
      <w:r w:rsidRPr="009A523B">
        <w:rPr>
          <w:rFonts w:cstheme="minorBidi"/>
        </w:rPr>
        <w:t xml:space="preserve">Kamer, mede namens de </w:t>
      </w:r>
      <w:bookmarkStart w:name="_Hlk208571728" w:id="1"/>
      <w:r w:rsidRPr="009A523B">
        <w:rPr>
          <w:rFonts w:cstheme="minorBidi"/>
        </w:rPr>
        <w:t>Staatssecretaris Openbaar Vervoer en Milieu</w:t>
      </w:r>
      <w:bookmarkEnd w:id="1"/>
      <w:r w:rsidRPr="009A523B">
        <w:rPr>
          <w:rFonts w:cstheme="minorBidi"/>
        </w:rPr>
        <w:t xml:space="preserve">, met deze brief over de wijze waarop de circulaire economie </w:t>
      </w:r>
      <w:r>
        <w:rPr>
          <w:rFonts w:cstheme="minorBidi"/>
        </w:rPr>
        <w:t>(CE)</w:t>
      </w:r>
      <w:r w:rsidRPr="009A523B">
        <w:rPr>
          <w:rFonts w:cstheme="minorBidi"/>
        </w:rPr>
        <w:t xml:space="preserve"> in Nederland </w:t>
      </w:r>
      <w:r>
        <w:rPr>
          <w:rFonts w:cstheme="minorBidi"/>
        </w:rPr>
        <w:t>ondersteund</w:t>
      </w:r>
      <w:r w:rsidRPr="009A523B">
        <w:rPr>
          <w:rFonts w:cstheme="minorBidi"/>
        </w:rPr>
        <w:t xml:space="preserve"> kan worden met fiscale prikkels. </w:t>
      </w:r>
    </w:p>
    <w:bookmarkEnd w:id="0"/>
    <w:p w:rsidR="0078367A" w:rsidP="0078367A" w:rsidRDefault="0078367A" w14:paraId="2352E541" w14:textId="77777777">
      <w:pPr>
        <w:rPr>
          <w:rFonts w:cstheme="minorHAnsi"/>
        </w:rPr>
      </w:pPr>
    </w:p>
    <w:p w:rsidRPr="009A523B" w:rsidR="0078367A" w:rsidP="0078367A" w:rsidRDefault="0078367A" w14:paraId="3E31C215" w14:textId="77777777">
      <w:pPr>
        <w:rPr>
          <w:rFonts w:cstheme="minorBidi"/>
        </w:rPr>
      </w:pPr>
      <w:r w:rsidRPr="009A523B">
        <w:rPr>
          <w:rFonts w:cstheme="minorBidi"/>
        </w:rPr>
        <w:t>Bij deze verkenning wordt gekeken naar zowel bestaande fiscale instrumenten als naar mogelijke nieuwe maatregelen om de circulaire economie te ondersteunen, waarbij wordt geput uit bestaande onderzoeken. De inzichten uit de recent afgeronde Plastictafel</w:t>
      </w:r>
      <w:r w:rsidRPr="009A523B">
        <w:rPr>
          <w:rStyle w:val="Voetnootmarkering"/>
          <w:rFonts w:cstheme="minorBidi"/>
        </w:rPr>
        <w:footnoteReference w:id="3"/>
      </w:r>
      <w:r w:rsidRPr="009A523B">
        <w:rPr>
          <w:rFonts w:cstheme="minorBidi"/>
        </w:rPr>
        <w:t xml:space="preserve">, waarbij door betrokkenen uit de plastic- en afvalsector een advies is uitgebracht voor een alternatieve invulling voor de budgettaire taakstelling binnen het CE-domein, zijn tevens meegenomen in deze analyse. </w:t>
      </w:r>
      <w:r>
        <w:rPr>
          <w:rFonts w:cstheme="minorBidi"/>
        </w:rPr>
        <w:t>Daarnaast ligt d</w:t>
      </w:r>
      <w:r w:rsidRPr="009A523B">
        <w:rPr>
          <w:rFonts w:cstheme="minorBidi"/>
        </w:rPr>
        <w:t>e focus op maatregelen die bijdragen aan efficiënter gebruiken van grondstoffen om negatieve milieueffecten en leveringsrisico’s te verminderen. Het niet</w:t>
      </w:r>
      <w:r>
        <w:rPr>
          <w:rFonts w:cstheme="minorBidi"/>
        </w:rPr>
        <w:t>-</w:t>
      </w:r>
      <w:r w:rsidRPr="009A523B">
        <w:rPr>
          <w:rFonts w:cstheme="minorBidi"/>
        </w:rPr>
        <w:t xml:space="preserve">uitputtende maatregelenoverzicht dat op basis hiervan is gemaakt is te vinden in bijlage 1. </w:t>
      </w:r>
      <w:r>
        <w:rPr>
          <w:rFonts w:cstheme="minorBidi"/>
        </w:rPr>
        <w:t>In de andere twee bijlagen vindt u verkenningen van twee specifieke maatregelen in het domein van verpakkingen</w:t>
      </w:r>
      <w:r>
        <w:rPr>
          <w:rStyle w:val="Voetnootmarkering"/>
          <w:rFonts w:cstheme="minorBidi"/>
        </w:rPr>
        <w:footnoteReference w:id="4"/>
      </w:r>
      <w:r>
        <w:rPr>
          <w:rFonts w:cstheme="minorBidi"/>
        </w:rPr>
        <w:t xml:space="preserve">. </w:t>
      </w:r>
    </w:p>
    <w:p w:rsidR="0078367A" w:rsidP="0078367A" w:rsidRDefault="0078367A" w14:paraId="15EF86CF" w14:textId="77777777">
      <w:pPr>
        <w:rPr>
          <w:rFonts w:cstheme="minorHAnsi"/>
        </w:rPr>
      </w:pPr>
    </w:p>
    <w:p w:rsidRPr="00832185" w:rsidR="0078367A" w:rsidP="0078367A" w:rsidRDefault="0078367A" w14:paraId="21136B3F" w14:textId="77777777">
      <w:pPr>
        <w:rPr>
          <w:rFonts w:cstheme="minorBidi"/>
          <w:b/>
        </w:rPr>
      </w:pPr>
      <w:r w:rsidRPr="009A523B">
        <w:rPr>
          <w:rFonts w:cstheme="minorBidi"/>
          <w:b/>
        </w:rPr>
        <w:t xml:space="preserve">Rol fiscaliteit bij ondersteuning van circulaire economie </w:t>
      </w:r>
    </w:p>
    <w:p w:rsidRPr="009A523B" w:rsidR="0078367A" w:rsidP="0078367A" w:rsidRDefault="0078367A" w14:paraId="010624A3" w14:textId="77777777">
      <w:pPr>
        <w:rPr>
          <w:rFonts w:cstheme="minorBidi"/>
        </w:rPr>
      </w:pPr>
      <w:bookmarkStart w:name="_Hlk208572473" w:id="2"/>
      <w:r w:rsidRPr="009A523B">
        <w:rPr>
          <w:rFonts w:cstheme="minorBidi"/>
        </w:rPr>
        <w:t xml:space="preserve">Fiscale maatregelen kunnen een belangrijke rol spelen in het aanjagen van de circulaire transitie en het aanpakken van de knelpunten. Via heffingen en fiscale regelingen kan het </w:t>
      </w:r>
      <w:r>
        <w:rPr>
          <w:rFonts w:cstheme="minorBidi"/>
        </w:rPr>
        <w:t xml:space="preserve">voor </w:t>
      </w:r>
      <w:r w:rsidRPr="009A523B">
        <w:rPr>
          <w:rFonts w:cstheme="minorBidi"/>
        </w:rPr>
        <w:t xml:space="preserve">producenten, consumenten en verwerkers </w:t>
      </w:r>
      <w:r>
        <w:rPr>
          <w:rFonts w:cstheme="minorBidi"/>
        </w:rPr>
        <w:t>lonender gemaakt worden om economische keuzes te maken die de circulaire economie bevorderen</w:t>
      </w:r>
      <w:r w:rsidRPr="009A523B">
        <w:rPr>
          <w:rFonts w:cstheme="minorBidi"/>
        </w:rPr>
        <w:t>.</w:t>
      </w:r>
      <w:r>
        <w:rPr>
          <w:rFonts w:cstheme="minorBidi"/>
        </w:rPr>
        <w:t xml:space="preserve"> Circulaire ondernemers vragen daar ook om. Zij ondervinden niet altijd een gelijk speelveld voor hun producten en diensten.</w:t>
      </w:r>
      <w:r w:rsidRPr="009A523B">
        <w:rPr>
          <w:rFonts w:cstheme="minorBidi"/>
        </w:rPr>
        <w:t xml:space="preserve"> </w:t>
      </w:r>
      <w:bookmarkEnd w:id="2"/>
      <w:r w:rsidRPr="009A523B">
        <w:rPr>
          <w:rFonts w:cstheme="minorBidi"/>
        </w:rPr>
        <w:t xml:space="preserve">In het huidige lineaire systeem worden milieukosten doorgaans niet in de productprijs meegenomen, en duurzaam produceren wordt onvoldoende beloond. Fiscale maatregelen kunnen </w:t>
      </w:r>
      <w:r>
        <w:rPr>
          <w:rFonts w:cstheme="minorBidi"/>
        </w:rPr>
        <w:t xml:space="preserve">ervoor zorgen dat </w:t>
      </w:r>
      <w:r w:rsidRPr="009A523B">
        <w:rPr>
          <w:rFonts w:cstheme="minorBidi"/>
        </w:rPr>
        <w:t xml:space="preserve">circulaire alternatieven economisch aantrekkelijker worden. </w:t>
      </w:r>
      <w:r w:rsidRPr="009A523B">
        <w:rPr>
          <w:rFonts w:cstheme="minorBidi"/>
        </w:rPr>
        <w:lastRenderedPageBreak/>
        <w:t>D</w:t>
      </w:r>
      <w:r>
        <w:rPr>
          <w:rFonts w:cstheme="minorBidi"/>
        </w:rPr>
        <w:t xml:space="preserve">aarmee kan de vraag verhoogd worden, waardoor </w:t>
      </w:r>
      <w:r w:rsidRPr="009A523B">
        <w:rPr>
          <w:rFonts w:cstheme="minorBidi"/>
        </w:rPr>
        <w:t xml:space="preserve">het </w:t>
      </w:r>
      <w:r>
        <w:rPr>
          <w:rFonts w:cstheme="minorBidi"/>
        </w:rPr>
        <w:t xml:space="preserve">risico </w:t>
      </w:r>
      <w:r w:rsidRPr="009A523B">
        <w:rPr>
          <w:rFonts w:cstheme="minorBidi"/>
        </w:rPr>
        <w:t>voor investeerders om financiering te verstrekken</w:t>
      </w:r>
      <w:r>
        <w:rPr>
          <w:rFonts w:cstheme="minorBidi"/>
        </w:rPr>
        <w:t xml:space="preserve"> verkleind wordt</w:t>
      </w:r>
      <w:r w:rsidRPr="009A523B">
        <w:rPr>
          <w:rFonts w:cstheme="minorBidi"/>
        </w:rPr>
        <w:t xml:space="preserve">. </w:t>
      </w:r>
    </w:p>
    <w:p w:rsidRPr="009A523B" w:rsidR="0078367A" w:rsidP="0078367A" w:rsidRDefault="0078367A" w14:paraId="63B81F09" w14:textId="77777777">
      <w:pPr>
        <w:rPr>
          <w:rFonts w:cstheme="minorBidi"/>
        </w:rPr>
      </w:pPr>
      <w:r w:rsidRPr="009A523B">
        <w:rPr>
          <w:rFonts w:cstheme="minorBidi"/>
        </w:rPr>
        <w:t xml:space="preserve">Een versnelling van de circulaire transitie vereist echter een samenhangende inzet van verschillende beleidsinstrumenten. Fiscale maatregelen moeten worden ingebed in een breder beleidspakket. Ook is de inzet van fiscale maatregelen niet altijd het meest doelmatig ten opzichte van andere instrumenten. </w:t>
      </w:r>
    </w:p>
    <w:p w:rsidR="0078367A" w:rsidP="0078367A" w:rsidRDefault="0078367A" w14:paraId="298B815A" w14:textId="77777777">
      <w:pPr>
        <w:rPr>
          <w:rFonts w:cstheme="minorHAnsi"/>
        </w:rPr>
      </w:pPr>
    </w:p>
    <w:p w:rsidR="0078367A" w:rsidP="0078367A" w:rsidRDefault="0078367A" w14:paraId="67EE19E8" w14:textId="77777777">
      <w:pPr>
        <w:pStyle w:val="StandaardSlotzin"/>
        <w:spacing w:before="0"/>
        <w:rPr>
          <w:b/>
          <w:bCs/>
        </w:rPr>
      </w:pPr>
      <w:r w:rsidRPr="00E027F7">
        <w:rPr>
          <w:b/>
          <w:bCs/>
        </w:rPr>
        <w:t xml:space="preserve">Mogelijke </w:t>
      </w:r>
      <w:r>
        <w:rPr>
          <w:b/>
          <w:bCs/>
        </w:rPr>
        <w:t xml:space="preserve">fiscale instrumenten </w:t>
      </w:r>
      <w:r w:rsidRPr="00E027F7">
        <w:rPr>
          <w:b/>
          <w:bCs/>
        </w:rPr>
        <w:t>om de circulaire economie te ondersteunen</w:t>
      </w:r>
    </w:p>
    <w:p w:rsidRPr="00CC2A52" w:rsidR="0078367A" w:rsidP="0078367A" w:rsidRDefault="0078367A" w14:paraId="3464CCAC" w14:textId="77777777">
      <w:pPr>
        <w:pStyle w:val="StandaardSlotzin"/>
        <w:spacing w:before="0"/>
        <w:rPr>
          <w:b/>
          <w:bCs/>
        </w:rPr>
      </w:pPr>
      <w:r w:rsidRPr="00E027F7">
        <w:t xml:space="preserve">Om de circulaire transitie te versnellen, is het </w:t>
      </w:r>
      <w:r>
        <w:t>nuttig</w:t>
      </w:r>
      <w:r w:rsidRPr="00E027F7">
        <w:t xml:space="preserve"> om aanvullende fiscale maatregelen te verkennen en </w:t>
      </w:r>
      <w:r>
        <w:t xml:space="preserve">te bezien of het aanpassen van </w:t>
      </w:r>
      <w:r w:rsidRPr="00E027F7">
        <w:t xml:space="preserve">bestaande regelingen </w:t>
      </w:r>
      <w:r>
        <w:t>kan bijdragen aan de gestelde doelen</w:t>
      </w:r>
      <w:r w:rsidRPr="00E027F7">
        <w:t>.</w:t>
      </w:r>
      <w:r>
        <w:t xml:space="preserve"> </w:t>
      </w:r>
      <w:r w:rsidRPr="00E027F7">
        <w:t xml:space="preserve">Nederland kent momenteel al een aantal fiscale prikkels die </w:t>
      </w:r>
      <w:r>
        <w:t>kunnen</w:t>
      </w:r>
      <w:r w:rsidRPr="00E027F7">
        <w:t xml:space="preserve"> bijdragen aan circulaire doelstellingen. Voorbeelden hiervan zijn de afvalstoffenbelasting</w:t>
      </w:r>
      <w:r>
        <w:t>, de afdrachtvermindering</w:t>
      </w:r>
      <w:r w:rsidRPr="0075410B">
        <w:t xml:space="preserve"> voor speur- en ontwikkelingswerk</w:t>
      </w:r>
      <w:r>
        <w:t>-</w:t>
      </w:r>
      <w:r w:rsidRPr="41FBDC5E">
        <w:t xml:space="preserve">, </w:t>
      </w:r>
      <w:r w:rsidRPr="00E027F7">
        <w:t xml:space="preserve">de </w:t>
      </w:r>
      <w:r>
        <w:t>milieu-investeringsaftrek (</w:t>
      </w:r>
      <w:r w:rsidRPr="00E027F7">
        <w:t>MIA</w:t>
      </w:r>
      <w:r>
        <w:t>)</w:t>
      </w:r>
      <w:r w:rsidRPr="00E027F7">
        <w:t xml:space="preserve">- en de </w:t>
      </w:r>
      <w:r>
        <w:t>willekeurige afschrijving milieubedrijfsmiddelen (</w:t>
      </w:r>
      <w:proofErr w:type="spellStart"/>
      <w:r w:rsidRPr="00E027F7">
        <w:t>Vamil</w:t>
      </w:r>
      <w:proofErr w:type="spellEnd"/>
      <w:r>
        <w:t xml:space="preserve">) in de winstsfeer (stimulering, geen </w:t>
      </w:r>
      <w:proofErr w:type="spellStart"/>
      <w:r>
        <w:t>beprijzing</w:t>
      </w:r>
      <w:proofErr w:type="spellEnd"/>
      <w:r>
        <w:t>)</w:t>
      </w:r>
      <w:r w:rsidRPr="00E027F7">
        <w:t xml:space="preserve">, die gericht zijn op milieuvriendelijke investeringen. </w:t>
      </w:r>
      <w:r>
        <w:t>Verder kunnen f</w:t>
      </w:r>
      <w:r w:rsidRPr="00E027F7">
        <w:t xml:space="preserve">iscale </w:t>
      </w:r>
      <w:r>
        <w:t xml:space="preserve">instrumenten </w:t>
      </w:r>
      <w:r w:rsidRPr="00E027F7">
        <w:t xml:space="preserve">op meerdere schakels in de productieketen worden toegepast. Een effectieve circulaire transitie vraagt om een integrale aanpak, waarbij de hele keten wordt meegenomen – van grondstof tot afvalverwerking. </w:t>
      </w:r>
    </w:p>
    <w:p w:rsidR="0078367A" w:rsidP="0078367A" w:rsidRDefault="0078367A" w14:paraId="1A0CB1D6" w14:textId="77777777"/>
    <w:p w:rsidRPr="00D745EE" w:rsidR="0078367A" w:rsidP="0078367A" w:rsidRDefault="0078367A" w14:paraId="740F1FED" w14:textId="77777777">
      <w:r w:rsidRPr="00E027F7">
        <w:t xml:space="preserve">Een dergelijke aanpak </w:t>
      </w:r>
      <w:r>
        <w:t>-</w:t>
      </w:r>
      <w:r w:rsidRPr="00E027F7">
        <w:t xml:space="preserve"> één </w:t>
      </w:r>
      <w:r>
        <w:t xml:space="preserve">waarbij ook nadrukkelijk </w:t>
      </w:r>
      <w:r w:rsidRPr="00E027F7">
        <w:t xml:space="preserve">aan </w:t>
      </w:r>
      <w:r>
        <w:t xml:space="preserve">het </w:t>
      </w:r>
      <w:r w:rsidRPr="00E027F7">
        <w:t xml:space="preserve">begin van de keten </w:t>
      </w:r>
      <w:r>
        <w:t xml:space="preserve">wordt gestuurd - is </w:t>
      </w:r>
      <w:r w:rsidRPr="00E027F7">
        <w:t>met name effectief op EU-niveau</w:t>
      </w:r>
      <w:r>
        <w:t>,</w:t>
      </w:r>
      <w:r w:rsidRPr="317A4FE8">
        <w:t xml:space="preserve"> </w:t>
      </w:r>
      <w:r w:rsidRPr="00E027F7">
        <w:t xml:space="preserve">omdat </w:t>
      </w:r>
      <w:r>
        <w:t>hierdoor de concurrentiepositie binnen de EU minder wordt verstoord</w:t>
      </w:r>
      <w:r w:rsidRPr="00E027F7">
        <w:t xml:space="preserve">. </w:t>
      </w:r>
      <w:r>
        <w:t xml:space="preserve">Dit kan anders leiden tot weglek. </w:t>
      </w:r>
      <w:r w:rsidRPr="00E027F7">
        <w:t xml:space="preserve">Vanuit de Europese Unie zijn al diverse initiatieven genomen om de circulaire economie te versterken. </w:t>
      </w:r>
      <w:r>
        <w:t xml:space="preserve">Hieronder </w:t>
      </w:r>
      <w:r w:rsidR="00332D6A">
        <w:t xml:space="preserve">vallen </w:t>
      </w:r>
      <w:r>
        <w:t>bijvoorbeeld d</w:t>
      </w:r>
      <w:r w:rsidRPr="00E027F7">
        <w:t xml:space="preserve">e </w:t>
      </w:r>
      <w:r>
        <w:t>Kaderv</w:t>
      </w:r>
      <w:r w:rsidRPr="00E027F7">
        <w:t xml:space="preserve">erordening </w:t>
      </w:r>
      <w:proofErr w:type="spellStart"/>
      <w:r w:rsidRPr="00E027F7">
        <w:t>Eco</w:t>
      </w:r>
      <w:r>
        <w:t>design</w:t>
      </w:r>
      <w:proofErr w:type="spellEnd"/>
      <w:r>
        <w:t xml:space="preserve"> voor duurzame producten</w:t>
      </w:r>
      <w:r w:rsidRPr="00E027F7">
        <w:t xml:space="preserve"> </w:t>
      </w:r>
      <w:r>
        <w:t>waaronder ontwerp</w:t>
      </w:r>
      <w:r w:rsidRPr="00E027F7">
        <w:t xml:space="preserve">eisen </w:t>
      </w:r>
      <w:r>
        <w:t xml:space="preserve">kunnen worden gesteld </w:t>
      </w:r>
      <w:r w:rsidRPr="00E027F7">
        <w:t xml:space="preserve">aan </w:t>
      </w:r>
      <w:r>
        <w:t xml:space="preserve">producten. Er zijn al </w:t>
      </w:r>
      <w:proofErr w:type="spellStart"/>
      <w:r>
        <w:t>Ecodesign</w:t>
      </w:r>
      <w:proofErr w:type="spellEnd"/>
      <w:r>
        <w:t>-eisen voor bepaalde elektrische en elektronische apparaten en de Commissie heeft aangekondigd deze ook op te gaan stellen voor productgroepen als textiel, meubels, en ijzer en staal.</w:t>
      </w:r>
      <w:r w:rsidRPr="00E027F7">
        <w:t xml:space="preserve"> </w:t>
      </w:r>
      <w:r>
        <w:t>D</w:t>
      </w:r>
      <w:r w:rsidRPr="00E027F7">
        <w:t>e Single-</w:t>
      </w:r>
      <w:proofErr w:type="spellStart"/>
      <w:r w:rsidRPr="00E027F7">
        <w:t>Use</w:t>
      </w:r>
      <w:proofErr w:type="spellEnd"/>
      <w:r w:rsidRPr="00E027F7">
        <w:t xml:space="preserve"> Plastics-richtlijn (SUP) </w:t>
      </w:r>
      <w:r>
        <w:t xml:space="preserve">heeft </w:t>
      </w:r>
      <w:r w:rsidRPr="00E027F7">
        <w:t>onder meer een verbod op</w:t>
      </w:r>
      <w:r>
        <w:t>ge</w:t>
      </w:r>
      <w:r w:rsidRPr="00E027F7">
        <w:t>leg</w:t>
      </w:r>
      <w:r>
        <w:t>d</w:t>
      </w:r>
      <w:r w:rsidRPr="00E027F7">
        <w:t xml:space="preserve"> op </w:t>
      </w:r>
      <w:r>
        <w:t xml:space="preserve">bepaalde </w:t>
      </w:r>
      <w:r w:rsidRPr="00E027F7">
        <w:t>plastic wegwerpproducten zoals bestek en rietjes</w:t>
      </w:r>
      <w:r>
        <w:t xml:space="preserve"> en verplicht de toepassing van een percentage recyclaat in plastic drankflessen</w:t>
      </w:r>
      <w:r w:rsidRPr="00E027F7">
        <w:t xml:space="preserve">. Sinds 2025 geldt de nieuwe Verpakkingsverordening (PPWR), die strengere eisen stelt aan </w:t>
      </w:r>
      <w:r>
        <w:t xml:space="preserve">het ontwerp, gebruik en verwerking van </w:t>
      </w:r>
      <w:r w:rsidRPr="00E027F7">
        <w:t xml:space="preserve">verpakkingen in de EU. Daarnaast dragen ook de Corporate </w:t>
      </w:r>
      <w:proofErr w:type="spellStart"/>
      <w:r w:rsidRPr="00E027F7">
        <w:t>Sustainability</w:t>
      </w:r>
      <w:proofErr w:type="spellEnd"/>
      <w:r w:rsidRPr="00E027F7">
        <w:t xml:space="preserve"> Reporting Directive (CSRD) en de Corporate </w:t>
      </w:r>
      <w:proofErr w:type="spellStart"/>
      <w:r w:rsidRPr="00E027F7">
        <w:t>Sustainability</w:t>
      </w:r>
      <w:proofErr w:type="spellEnd"/>
      <w:r w:rsidRPr="00E027F7">
        <w:t xml:space="preserve"> </w:t>
      </w:r>
      <w:proofErr w:type="spellStart"/>
      <w:r w:rsidRPr="00E027F7">
        <w:t>Due</w:t>
      </w:r>
      <w:proofErr w:type="spellEnd"/>
      <w:r w:rsidRPr="00E027F7">
        <w:t xml:space="preserve"> Diligence Directive (CSDDD) bij aan duurzaam ondernemerschap. Verder werkt de Europese Commissie aan aanvullende wetgeving, </w:t>
      </w:r>
      <w:r>
        <w:t>in het bijzonder</w:t>
      </w:r>
      <w:r w:rsidRPr="00E027F7">
        <w:t xml:space="preserve"> een </w:t>
      </w:r>
      <w:proofErr w:type="spellStart"/>
      <w:r w:rsidRPr="00B542E0">
        <w:rPr>
          <w:i/>
          <w:iCs/>
        </w:rPr>
        <w:t>Circular</w:t>
      </w:r>
      <w:proofErr w:type="spellEnd"/>
      <w:r w:rsidRPr="00B542E0">
        <w:rPr>
          <w:i/>
          <w:iCs/>
        </w:rPr>
        <w:t xml:space="preserve"> </w:t>
      </w:r>
      <w:proofErr w:type="spellStart"/>
      <w:r w:rsidRPr="00B542E0">
        <w:rPr>
          <w:i/>
          <w:iCs/>
        </w:rPr>
        <w:t>Economy</w:t>
      </w:r>
      <w:proofErr w:type="spellEnd"/>
      <w:r w:rsidRPr="00B542E0">
        <w:rPr>
          <w:i/>
          <w:iCs/>
        </w:rPr>
        <w:t xml:space="preserve"> Act</w:t>
      </w:r>
      <w:r w:rsidRPr="00E027F7">
        <w:t xml:space="preserve"> </w:t>
      </w:r>
      <w:r>
        <w:t>waarmee</w:t>
      </w:r>
      <w:r w:rsidRPr="0038610E">
        <w:t xml:space="preserve"> de Commissie</w:t>
      </w:r>
      <w:r>
        <w:t xml:space="preserve"> beoogt</w:t>
      </w:r>
      <w:r w:rsidRPr="0038610E">
        <w:t xml:space="preserve"> een Europese interne markt voor circulaire producten, afval en secundaire grondstoffen te creëren, de beschikbaarheid van hoogwaardige gerecyclede materialen te vergroten en de vraag naar secundaire grondstoffen en circulaire producten te stimuleren.</w:t>
      </w:r>
      <w:r>
        <w:t xml:space="preserve"> Dit wetgevingsvoorstel is voorzien voor eind 2026.</w:t>
      </w:r>
    </w:p>
    <w:p w:rsidR="0078367A" w:rsidP="0078367A" w:rsidRDefault="0078367A" w14:paraId="0348C85A" w14:textId="77777777">
      <w:pPr>
        <w:pStyle w:val="StandaardSlotzin"/>
      </w:pPr>
      <w:r>
        <w:t>Des</w:t>
      </w:r>
      <w:r w:rsidRPr="00E027F7">
        <w:t>alniettemin is aanvullende inzet benodigd om de circulaire transitie te versnellen</w:t>
      </w:r>
      <w:r>
        <w:t>, waarbij fiscaliteit een rol kan spelen</w:t>
      </w:r>
      <w:r w:rsidRPr="00E027F7">
        <w:t>. In onderstaande figuur 1 is een schematische weergave gegeven van de belangrijkste bestaande</w:t>
      </w:r>
      <w:r>
        <w:t xml:space="preserve"> fiscale instrumenten</w:t>
      </w:r>
      <w:r w:rsidRPr="00E027F7">
        <w:t xml:space="preserve"> in de productieketen</w:t>
      </w:r>
      <w:r>
        <w:t>. N</w:t>
      </w:r>
      <w:r w:rsidRPr="00E027F7">
        <w:t xml:space="preserve">ieuwe instrumenten </w:t>
      </w:r>
      <w:r>
        <w:t xml:space="preserve">kunnen daarop geënt worden. </w:t>
      </w:r>
      <w:r w:rsidRPr="00E027F7">
        <w:t>Huidige fiscale maatregelen interveniëren bij de produc</w:t>
      </w:r>
      <w:r>
        <w:t>tie</w:t>
      </w:r>
      <w:r w:rsidRPr="00E027F7">
        <w:t>, de distributie en verkoop, en de verwerking van afval.</w:t>
      </w:r>
      <w:r>
        <w:t xml:space="preserve"> In onderstaande tekst worden de verschillende plekken in de keten uitgelicht waar fiscale instrumenten een rol kunnen spelen bij de transitie naar een circulaire economie.</w:t>
      </w:r>
    </w:p>
    <w:p w:rsidR="0078367A" w:rsidP="0078367A" w:rsidRDefault="0078367A" w14:paraId="1A3AE4E9" w14:textId="77777777">
      <w:r>
        <w:rPr>
          <w:noProof/>
        </w:rPr>
        <w:lastRenderedPageBreak/>
        <mc:AlternateContent>
          <mc:Choice Requires="wps">
            <w:drawing>
              <wp:anchor distT="0" distB="0" distL="114300" distR="114300" simplePos="0" relativeHeight="251659264" behindDoc="0" locked="0" layoutInCell="1" allowOverlap="1" wp14:editId="3A0C3D3F" wp14:anchorId="5A16DC3F">
                <wp:simplePos x="0" y="0"/>
                <wp:positionH relativeFrom="margin">
                  <wp:align>left</wp:align>
                </wp:positionH>
                <wp:positionV relativeFrom="paragraph">
                  <wp:posOffset>3989070</wp:posOffset>
                </wp:positionV>
                <wp:extent cx="6388735" cy="190500"/>
                <wp:effectExtent l="0" t="0" r="12065" b="0"/>
                <wp:wrapTopAndBottom/>
                <wp:docPr id="82571268" name="Tekstvak 1"/>
                <wp:cNvGraphicFramePr/>
                <a:graphic xmlns:a="http://schemas.openxmlformats.org/drawingml/2006/main">
                  <a:graphicData uri="http://schemas.microsoft.com/office/word/2010/wordprocessingShape">
                    <wps:wsp>
                      <wps:cNvSpPr txBox="1"/>
                      <wps:spPr>
                        <a:xfrm>
                          <a:off x="0" y="0"/>
                          <a:ext cx="6388735" cy="190500"/>
                        </a:xfrm>
                        <a:prstGeom prst="rect">
                          <a:avLst/>
                        </a:prstGeom>
                        <a:noFill/>
                        <a:ln>
                          <a:noFill/>
                        </a:ln>
                      </wps:spPr>
                      <wps:txbx>
                        <w:txbxContent>
                          <w:p w:rsidR="00743CED" w:rsidRDefault="00584FE8" w14:paraId="5BB95472" w14:textId="41C7F5AC">
                            <w:pPr>
                              <w:pStyle w:val="Bijschrift"/>
                              <w:rPr>
                                <w:noProof/>
                                <w:color w:val="000000"/>
                              </w:rPr>
                            </w:pPr>
                            <w:r>
                              <w:t xml:space="preserve">Figuur </w:t>
                            </w:r>
                            <w:r>
                              <w:fldChar w:fldCharType="begin"/>
                            </w:r>
                            <w:r>
                              <w:instrText xml:space="preserve"> SEQ Figuur \* ARABIC </w:instrText>
                            </w:r>
                            <w:r>
                              <w:fldChar w:fldCharType="separate"/>
                            </w:r>
                            <w:r>
                              <w:rPr>
                                <w:noProof/>
                              </w:rPr>
                              <w:t>1</w:t>
                            </w:r>
                            <w:r>
                              <w:fldChar w:fldCharType="end"/>
                            </w:r>
                            <w:r>
                              <w:t xml:space="preserve"> - belangrijkste fiscale maatregelen voor circulariteit in productieketen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A16DC3F">
                <v:stroke joinstyle="miter"/>
                <v:path gradientshapeok="t" o:connecttype="rect"/>
              </v:shapetype>
              <v:shape id="Tekstvak 1" style="position:absolute;margin-left:0;margin-top:314.1pt;width:503.05pt;height:1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">
                <v:textbox inset="0,0,0,0">
                  <w:txbxContent>
                    <w:p w:rsidR="00743CED" w:rsidRDefault="00584FE8" w14:paraId="5BB95472" w14:textId="41C7F5AC">
                      <w:pPr>
                        <w:pStyle w:val="Bijschrift"/>
                        <w:rPr>
                          <w:noProof/>
                          <w:color w:val="000000"/>
                        </w:rPr>
                      </w:pPr>
                      <w:r>
                        <w:t xml:space="preserve">Figuur </w:t>
                      </w:r>
                      <w:r>
                        <w:fldChar w:fldCharType="begin"/>
                      </w:r>
                      <w:r>
                        <w:instrText xml:space="preserve"> SEQ Figuur \* ARABIC </w:instrText>
                      </w:r>
                      <w:r>
                        <w:fldChar w:fldCharType="separate"/>
                      </w:r>
                      <w:r>
                        <w:rPr>
                          <w:noProof/>
                        </w:rPr>
                        <w:t>1</w:t>
                      </w:r>
                      <w:r>
                        <w:fldChar w:fldCharType="end"/>
                      </w:r>
                      <w:r>
                        <w:t xml:space="preserve"> - belangrijkste fiscale maatregelen voor circulariteit in productieketen</w:t>
                      </w:r>
                    </w:p>
                  </w:txbxContent>
                </v:textbox>
                <w10:wrap type="topAndBottom" anchorx="margin"/>
              </v:shape>
            </w:pict>
          </mc:Fallback>
        </mc:AlternateContent>
      </w:r>
      <w:r>
        <w:rPr>
          <w:noProof/>
        </w:rPr>
        <w:drawing>
          <wp:anchor distT="0" distB="0" distL="114300" distR="114300" simplePos="0" relativeHeight="251660288" behindDoc="0" locked="0" layoutInCell="1" allowOverlap="1" wp14:editId="5E86D366" wp14:anchorId="029663FF">
            <wp:simplePos x="0" y="0"/>
            <wp:positionH relativeFrom="page">
              <wp:align>center</wp:align>
            </wp:positionH>
            <wp:positionV relativeFrom="paragraph">
              <wp:posOffset>38100</wp:posOffset>
            </wp:positionV>
            <wp:extent cx="6726555" cy="3784600"/>
            <wp:effectExtent l="0" t="0" r="0" b="6350"/>
            <wp:wrapTopAndBottom/>
            <wp:docPr id="1006863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6325" name=""/>
                    <pic:cNvPicPr/>
                  </pic:nvPicPr>
                  <pic:blipFill>
                    <a:blip r:embed="rId7">
                      <a:extLst>
                        <a:ext uri="{96DAC541-7B7A-43D3-8B79-37D633B846F1}">
                          <asvg:svgBlip xmlns:asvg="http://schemas.microsoft.com/office/drawing/2016/SVG/main" r:embed="rId8"/>
                        </a:ext>
                      </a:extLst>
                    </a:blip>
                    <a:stretch>
                      <a:fillRect/>
                    </a:stretch>
                  </pic:blipFill>
                  <pic:spPr>
                    <a:xfrm>
                      <a:off x="0" y="0"/>
                      <a:ext cx="6726555" cy="3784600"/>
                    </a:xfrm>
                    <a:prstGeom prst="rect">
                      <a:avLst/>
                    </a:prstGeom>
                  </pic:spPr>
                </pic:pic>
              </a:graphicData>
            </a:graphic>
            <wp14:sizeRelH relativeFrom="page">
              <wp14:pctWidth>0</wp14:pctWidth>
            </wp14:sizeRelH>
            <wp14:sizeRelV relativeFrom="page">
              <wp14:pctHeight>0</wp14:pctHeight>
            </wp14:sizeRelV>
          </wp:anchor>
        </w:drawing>
      </w:r>
    </w:p>
    <w:p w:rsidR="0078367A" w:rsidP="0078367A" w:rsidRDefault="0078367A" w14:paraId="606C8BAC" w14:textId="77777777"/>
    <w:p w:rsidRPr="0044549E" w:rsidR="0078367A" w:rsidP="0078367A" w:rsidRDefault="0078367A" w14:paraId="3F372BD6" w14:textId="77777777">
      <w:pPr>
        <w:numPr>
          <w:ilvl w:val="0"/>
          <w:numId w:val="7"/>
        </w:numPr>
        <w:rPr>
          <w:i/>
        </w:rPr>
      </w:pPr>
      <w:r>
        <w:rPr>
          <w:i/>
          <w:iCs/>
        </w:rPr>
        <w:t>Fiscale instrumenten</w:t>
      </w:r>
      <w:r w:rsidRPr="00E027F7">
        <w:rPr>
          <w:i/>
          <w:iCs/>
        </w:rPr>
        <w:t xml:space="preserve"> bij grondstoffenwinning en gebruik</w:t>
      </w:r>
    </w:p>
    <w:p w:rsidR="0078367A" w:rsidP="0078367A" w:rsidRDefault="0078367A" w14:paraId="42998F3A" w14:textId="77777777">
      <w:r>
        <w:t>Er zijn nog weinig i</w:t>
      </w:r>
      <w:r w:rsidRPr="00E027F7">
        <w:t xml:space="preserve">nstrumenten die </w:t>
      </w:r>
      <w:r>
        <w:t>neerslaan op deze plek in de keten</w:t>
      </w:r>
      <w:r w:rsidRPr="00E027F7">
        <w:t xml:space="preserve">. Fossiele grondstoffen die non-energetisch worden gebruikt (bijv. als grondstof voor plastics of kunstmest) worden aan het begin van de keten niet belast, en vaak ook slechts beperkt aan het einde (bij afvalverbranding of stort). Een gerichte </w:t>
      </w:r>
      <w:r>
        <w:t>grondstof</w:t>
      </w:r>
      <w:r w:rsidRPr="00E027F7">
        <w:t xml:space="preserve">belasting zou een eerlijker speelveld </w:t>
      </w:r>
      <w:r>
        <w:t xml:space="preserve">kunnen </w:t>
      </w:r>
      <w:r w:rsidRPr="00E027F7">
        <w:t xml:space="preserve">creëren voor gerecyclede of </w:t>
      </w:r>
      <w:proofErr w:type="spellStart"/>
      <w:r>
        <w:t>biogebaseerde</w:t>
      </w:r>
      <w:proofErr w:type="spellEnd"/>
      <w:r w:rsidRPr="00E027F7">
        <w:t xml:space="preserve"> alternatieven. </w:t>
      </w:r>
      <w:r>
        <w:t xml:space="preserve">De </w:t>
      </w:r>
      <w:r w:rsidRPr="00A6010E">
        <w:t xml:space="preserve">grondstoffenmarkt </w:t>
      </w:r>
      <w:r>
        <w:t xml:space="preserve">is echter </w:t>
      </w:r>
      <w:r w:rsidRPr="00A6010E">
        <w:t>zeer internationaal</w:t>
      </w:r>
      <w:r>
        <w:t xml:space="preserve"> en grondstoffen vormen een belangrijk deel van de productiekosten, waardoor dit type </w:t>
      </w:r>
      <w:r w:rsidRPr="00E027F7">
        <w:t>beleid vroeg in de keten vaak grote weglekrisico</w:t>
      </w:r>
      <w:r>
        <w:t>’</w:t>
      </w:r>
      <w:r w:rsidRPr="00E027F7">
        <w:t>s kent</w:t>
      </w:r>
      <w:r>
        <w:t>. Een grondstofbelasting</w:t>
      </w:r>
      <w:r w:rsidRPr="00E027F7">
        <w:t xml:space="preserve"> is </w:t>
      </w:r>
      <w:r>
        <w:t xml:space="preserve">dus </w:t>
      </w:r>
      <w:r w:rsidRPr="00E027F7">
        <w:t>verstandiger op Europees niveau</w:t>
      </w:r>
      <w:r>
        <w:t>, waarbij ook rekening wordt gehouden met flankerend beleid gericht op de mondiale concurrentiepositie.</w:t>
      </w:r>
    </w:p>
    <w:p w:rsidR="0078367A" w:rsidP="0078367A" w:rsidRDefault="0078367A" w14:paraId="18187FC9" w14:textId="77777777"/>
    <w:p w:rsidR="0078367A" w:rsidP="0078367A" w:rsidRDefault="0078367A" w14:paraId="7EEB0214" w14:textId="77777777">
      <w:r>
        <w:t xml:space="preserve">De route om grondstoffen uit te afval terug te winnen kent momenteel allerlei specifieke uitdagingen. </w:t>
      </w:r>
      <w:r w:rsidRPr="00E027F7">
        <w:t xml:space="preserve">Hoewel recycling momenteel </w:t>
      </w:r>
      <w:r>
        <w:t>een belangrijk onderdeel</w:t>
      </w:r>
      <w:r w:rsidRPr="00E027F7">
        <w:t xml:space="preserve"> vormt van het circulaire beleid, blijven hoogwaardige recycling en de inzet van gerecycled materiaal achter</w:t>
      </w:r>
      <w:r>
        <w:t xml:space="preserve">. </w:t>
      </w:r>
      <w:r w:rsidRPr="00E027F7">
        <w:t xml:space="preserve">Een belangrijke oorzaak hiervan is dat de businesscase voor recycling – met name voor bepaalde afvalstromen zoals plastic – vaak nog niet sluitend is. Recyclers hebben te maken met hoge energieprijzen en stevige concurrentie van goedkoop fossiel plastic uit het buitenland. Dit zet de sector onder druk. Fiscale regelingen zouden </w:t>
      </w:r>
      <w:r>
        <w:t>als onderdeel van het bredere beleid</w:t>
      </w:r>
      <w:r w:rsidRPr="00E027F7">
        <w:t xml:space="preserve"> kunnen helpen om de economische positie van de recyclingindustrie te versterken. Tegelijkertijd is het de vraag of fiscale </w:t>
      </w:r>
      <w:r>
        <w:t xml:space="preserve">regelingen op nationaal niveau </w:t>
      </w:r>
      <w:r w:rsidRPr="00E027F7">
        <w:t xml:space="preserve">hier de meest doelmatige vorm van ondersteuning </w:t>
      </w:r>
      <w:r>
        <w:t>zijn</w:t>
      </w:r>
      <w:r w:rsidRPr="00E027F7">
        <w:t xml:space="preserve">, of dat alternatieve </w:t>
      </w:r>
      <w:r w:rsidRPr="00E027F7">
        <w:lastRenderedPageBreak/>
        <w:t>instrumenten effectiever zijn om de inzet van recyclaat en hoogwaardige recycling te bevorderen.</w:t>
      </w:r>
      <w:r>
        <w:t xml:space="preserve"> </w:t>
      </w:r>
    </w:p>
    <w:p w:rsidRPr="00E027F7" w:rsidR="0078367A" w:rsidP="0078367A" w:rsidRDefault="0078367A" w14:paraId="18BBC516" w14:textId="77777777"/>
    <w:p w:rsidRPr="0044549E" w:rsidR="0078367A" w:rsidP="0078367A" w:rsidRDefault="0078367A" w14:paraId="76848E5E" w14:textId="77777777">
      <w:pPr>
        <w:numPr>
          <w:ilvl w:val="0"/>
          <w:numId w:val="7"/>
        </w:numPr>
        <w:rPr>
          <w:i/>
        </w:rPr>
      </w:pPr>
      <w:r>
        <w:rPr>
          <w:i/>
          <w:iCs/>
        </w:rPr>
        <w:t xml:space="preserve">Fiscale instrumenten </w:t>
      </w:r>
      <w:r w:rsidRPr="00E027F7">
        <w:rPr>
          <w:i/>
          <w:iCs/>
        </w:rPr>
        <w:t xml:space="preserve">bij productie </w:t>
      </w:r>
    </w:p>
    <w:p w:rsidRPr="00E027F7" w:rsidR="0078367A" w:rsidP="0078367A" w:rsidRDefault="0078367A" w14:paraId="5656A0E3" w14:textId="77777777">
      <w:r w:rsidRPr="00E027F7">
        <w:t xml:space="preserve">Op dit punt in de keten liggen grote kansen voor circulair productontwerp, het toepassen van secundaire materialen en efficiënt gebruik maken van energie. Voor veel bedrijven zijn circulaire keuzes financieel nog niet aantrekkelijk. </w:t>
      </w:r>
      <w:r>
        <w:t>Hier kan een belasting kansen en een eerlijker speelveld creëren voor meer circulaire alternatieven. F</w:t>
      </w:r>
      <w:r w:rsidRPr="00E027F7">
        <w:t xml:space="preserve">iscale prikkels </w:t>
      </w:r>
      <w:r>
        <w:t xml:space="preserve">kunnen </w:t>
      </w:r>
      <w:r w:rsidRPr="00E027F7">
        <w:t>de onrendabele top wegnemen</w:t>
      </w:r>
      <w:r>
        <w:t xml:space="preserve">, bijvoorbeeld via de </w:t>
      </w:r>
      <w:r w:rsidRPr="00E027F7">
        <w:t xml:space="preserve">MIA en </w:t>
      </w:r>
      <w:r>
        <w:t xml:space="preserve">de </w:t>
      </w:r>
      <w:proofErr w:type="spellStart"/>
      <w:r w:rsidRPr="00E027F7">
        <w:t>Vamil</w:t>
      </w:r>
      <w:proofErr w:type="spellEnd"/>
      <w:r>
        <w:t xml:space="preserve">. </w:t>
      </w:r>
      <w:r w:rsidRPr="00E027F7">
        <w:t xml:space="preserve">Voor de introductie van nieuwe </w:t>
      </w:r>
      <w:proofErr w:type="spellStart"/>
      <w:r w:rsidRPr="00E027F7">
        <w:t>beprijzingsmaatregelen</w:t>
      </w:r>
      <w:proofErr w:type="spellEnd"/>
      <w:r w:rsidRPr="00E027F7">
        <w:t xml:space="preserve"> geldt ook op dit punt in de keten dat Europese coördinatie</w:t>
      </w:r>
      <w:r>
        <w:t xml:space="preserve"> </w:t>
      </w:r>
      <w:r w:rsidRPr="00E027F7">
        <w:t xml:space="preserve">vaak de voorkeur verdient. Veel producenten opereren op internationale markten en produceren relatief homogene goederen, zoals polymeren voor plastics. </w:t>
      </w:r>
      <w:r>
        <w:t>Een maatregel als n</w:t>
      </w:r>
      <w:r w:rsidRPr="00E027F7">
        <w:t xml:space="preserve">ationale </w:t>
      </w:r>
      <w:proofErr w:type="spellStart"/>
      <w:r w:rsidRPr="00E027F7">
        <w:t>beprijzing</w:t>
      </w:r>
      <w:proofErr w:type="spellEnd"/>
      <w:r w:rsidRPr="00E027F7">
        <w:t xml:space="preserve"> kan hier leiden tot weglek van productie naar het buitenland, waardoor bedrijven en emissies zich naar het buitenland verplaatsen zonder klimaatwinst.</w:t>
      </w:r>
    </w:p>
    <w:p w:rsidRPr="00E027F7" w:rsidR="0078367A" w:rsidP="0078367A" w:rsidRDefault="0078367A" w14:paraId="5466FE4E" w14:textId="77777777">
      <w:pPr>
        <w:rPr>
          <w:b/>
          <w:bCs/>
        </w:rPr>
      </w:pPr>
    </w:p>
    <w:p w:rsidRPr="0044549E" w:rsidR="0078367A" w:rsidP="0078367A" w:rsidRDefault="0078367A" w14:paraId="0E36C803" w14:textId="77777777">
      <w:pPr>
        <w:numPr>
          <w:ilvl w:val="0"/>
          <w:numId w:val="7"/>
        </w:numPr>
        <w:rPr>
          <w:i/>
        </w:rPr>
      </w:pPr>
      <w:r>
        <w:rPr>
          <w:i/>
          <w:iCs/>
        </w:rPr>
        <w:t xml:space="preserve">Fiscale instrumenten </w:t>
      </w:r>
      <w:r w:rsidRPr="00E027F7">
        <w:rPr>
          <w:i/>
          <w:iCs/>
        </w:rPr>
        <w:t>bij distributie en verkoop (detailhandel)</w:t>
      </w:r>
    </w:p>
    <w:p w:rsidRPr="00E027F7" w:rsidR="0078367A" w:rsidP="0078367A" w:rsidRDefault="0078367A" w14:paraId="66A3CE1D" w14:textId="77777777">
      <w:r w:rsidRPr="00E027F7">
        <w:t xml:space="preserve">De detailhandel speelt een belangrijke rol in het toegankelijk en zichtbaar maken van circulaire keuzes voor consumenten en heeft daarnaast ook een rol </w:t>
      </w:r>
      <w:r>
        <w:t xml:space="preserve">bij het </w:t>
      </w:r>
      <w:r w:rsidRPr="00E027F7">
        <w:t xml:space="preserve">aanbieden van (meer) circulaire producten (met minder verpakkingen bijvoorbeeld). </w:t>
      </w:r>
      <w:r>
        <w:t>Ook hiervoor geldt dat v</w:t>
      </w:r>
      <w:r w:rsidRPr="00E027F7">
        <w:t xml:space="preserve">oor veel bedrijven circulaire keuzes financieel nog niet aantrekkelijk </w:t>
      </w:r>
      <w:r>
        <w:t xml:space="preserve">zijn. </w:t>
      </w:r>
      <w:r w:rsidRPr="00E027F7">
        <w:t xml:space="preserve">Bij fiscale interventies die hier mogelijk zijn kan gedacht worden aan </w:t>
      </w:r>
      <w:r>
        <w:t xml:space="preserve">een heffing op </w:t>
      </w:r>
      <w:r w:rsidRPr="00E027F7">
        <w:t xml:space="preserve">(fossiele) plastic producten die </w:t>
      </w:r>
      <w:r>
        <w:t xml:space="preserve">op de markt worden gebracht. </w:t>
      </w:r>
      <w:r w:rsidRPr="00E027F7">
        <w:t xml:space="preserve">Deze </w:t>
      </w:r>
      <w:r>
        <w:t xml:space="preserve">maatregel </w:t>
      </w:r>
      <w:r w:rsidRPr="00E027F7">
        <w:t xml:space="preserve">kent over het algemeen ook minder weglekrisico’s bij unilaterale </w:t>
      </w:r>
      <w:proofErr w:type="spellStart"/>
      <w:r w:rsidRPr="00E027F7">
        <w:t>beprijzing</w:t>
      </w:r>
      <w:proofErr w:type="spellEnd"/>
      <w:r w:rsidRPr="00E027F7">
        <w:t xml:space="preserve"> dan het eerder in de keten beprijzen van producten, omdat de belasting over het algemeen ook zou gelden voor geïmporteerde goederen. </w:t>
      </w:r>
      <w:r>
        <w:t xml:space="preserve">Beprijzing op deze plek in de keten kan echter wel leiden tot grenseffecten, waarbij consumenten producten direct uit andere landen kopen zonder hierbij de heffing te betalen. Dit type maatregel brengt daarnaast voor </w:t>
      </w:r>
      <w:r w:rsidRPr="00E027F7">
        <w:t>de uitvoering ook significante afbakeningsproblematiek met zich mee</w:t>
      </w:r>
      <w:r w:rsidRPr="159F6E87">
        <w:t xml:space="preserve">. </w:t>
      </w:r>
      <w:r>
        <w:t>V</w:t>
      </w:r>
      <w:r w:rsidRPr="00E027F7">
        <w:t xml:space="preserve">oor uitvoerders </w:t>
      </w:r>
      <w:r>
        <w:t xml:space="preserve">ontbreekt vaak data </w:t>
      </w:r>
      <w:r w:rsidRPr="00E027F7">
        <w:t>die als grondslag dien</w:t>
      </w:r>
      <w:r>
        <w:t>t</w:t>
      </w:r>
      <w:r w:rsidRPr="00E027F7">
        <w:t xml:space="preserve"> voor een heffing</w:t>
      </w:r>
      <w:r>
        <w:t>, en betekent het verzamelen, certificeren en verschaffen van deze data een forse administratieve lastenverzwaring voor bedrijven</w:t>
      </w:r>
      <w:r w:rsidRPr="00E027F7">
        <w:t>. Zo wordt het aandeel fossiel plastic (nog) niet bijgehouden bij veel plastic producten die verkocht worden in Nederland. Tot slot zou</w:t>
      </w:r>
      <w:r w:rsidRPr="159F6E87">
        <w:t xml:space="preserve"> </w:t>
      </w:r>
      <w:r w:rsidRPr="00E027F7">
        <w:t>in theorie een positieve prijsprikkel fiscaal vormgegeven kunnen worden via verlaagde btw-tarieven voor circulaire producten. Echter is</w:t>
      </w:r>
      <w:r w:rsidRPr="159F6E87">
        <w:t xml:space="preserve"> </w:t>
      </w:r>
      <w:r w:rsidRPr="00E027F7">
        <w:t xml:space="preserve">de afbakening </w:t>
      </w:r>
      <w:r>
        <w:t>complex</w:t>
      </w:r>
      <w:r w:rsidRPr="159F6E87">
        <w:t xml:space="preserve">, </w:t>
      </w:r>
      <w:r>
        <w:t>en is uit de evaluatie van de verlaagde btw-tarieven</w:t>
      </w:r>
      <w:r>
        <w:rPr>
          <w:rStyle w:val="Voetnootmarkering"/>
        </w:rPr>
        <w:footnoteReference w:id="5"/>
      </w:r>
      <w:r>
        <w:t xml:space="preserve"> gebleken dat het instrument</w:t>
      </w:r>
      <w:r w:rsidRPr="00E027F7">
        <w:t xml:space="preserve"> hooguit deels doeltreffend en over het algemeen </w:t>
      </w:r>
      <w:r>
        <w:t xml:space="preserve">niet doelmatig is. </w:t>
      </w:r>
    </w:p>
    <w:p w:rsidRPr="00E027F7" w:rsidR="0078367A" w:rsidP="0078367A" w:rsidRDefault="0078367A" w14:paraId="35272320" w14:textId="77777777">
      <w:pPr>
        <w:rPr>
          <w:b/>
          <w:bCs/>
        </w:rPr>
      </w:pPr>
    </w:p>
    <w:p w:rsidRPr="0044549E" w:rsidR="0078367A" w:rsidP="0078367A" w:rsidRDefault="0078367A" w14:paraId="397B4E61" w14:textId="77777777">
      <w:pPr>
        <w:numPr>
          <w:ilvl w:val="0"/>
          <w:numId w:val="7"/>
        </w:numPr>
        <w:rPr>
          <w:i/>
        </w:rPr>
      </w:pPr>
      <w:r w:rsidRPr="00E027F7">
        <w:rPr>
          <w:i/>
          <w:iCs/>
        </w:rPr>
        <w:t>Fiscale instrumenten bij consumptie</w:t>
      </w:r>
    </w:p>
    <w:p w:rsidRPr="00E027F7" w:rsidR="0078367A" w:rsidP="0078367A" w:rsidRDefault="0078367A" w14:paraId="4A7AAB37" w14:textId="77777777">
      <w:r w:rsidRPr="00E027F7">
        <w:t xml:space="preserve">Consumenten zijn in principe bereid tot circulair gedrag, maar lopen </w:t>
      </w:r>
      <w:r>
        <w:t xml:space="preserve">veelal </w:t>
      </w:r>
      <w:r w:rsidRPr="00E027F7">
        <w:t xml:space="preserve">aan tegen hogere kosten en praktische drempels. </w:t>
      </w:r>
      <w:r>
        <w:t>Door middel van</w:t>
      </w:r>
      <w:r w:rsidRPr="00E027F7">
        <w:t xml:space="preserve"> fiscale </w:t>
      </w:r>
      <w:r>
        <w:t>regelingen, die via stimulering leiden tot</w:t>
      </w:r>
      <w:r w:rsidRPr="00E027F7">
        <w:t xml:space="preserve"> lagere </w:t>
      </w:r>
      <w:r>
        <w:t xml:space="preserve">prijzen van duurzamere goederen en diensten, kan </w:t>
      </w:r>
      <w:r w:rsidRPr="00E027F7">
        <w:t xml:space="preserve">het </w:t>
      </w:r>
      <w:r>
        <w:t>financieel</w:t>
      </w:r>
      <w:r w:rsidRPr="00E027F7">
        <w:t xml:space="preserve"> aantrekkelijker </w:t>
      </w:r>
      <w:r>
        <w:t xml:space="preserve">gemaakt worden </w:t>
      </w:r>
      <w:r w:rsidRPr="00E027F7">
        <w:t xml:space="preserve">om duurzame keuzes te maken. Ook hier speelt echter de afbakeningsproblematiek, </w:t>
      </w:r>
      <w:r>
        <w:t>waardoor</w:t>
      </w:r>
      <w:r w:rsidRPr="00E027F7">
        <w:t xml:space="preserve"> </w:t>
      </w:r>
      <w:r>
        <w:t>dergelijke fiscale maatregelen lastig uitvoerbaar zijn, naast het overkoepelende feit dat additionele fiscale regelingen het belastingstelsel nog complexer maken</w:t>
      </w:r>
      <w:r w:rsidRPr="1D759564">
        <w:t xml:space="preserve">. </w:t>
      </w:r>
    </w:p>
    <w:p w:rsidRPr="00E027F7" w:rsidR="0078367A" w:rsidP="0078367A" w:rsidRDefault="0078367A" w14:paraId="5F073DDC" w14:textId="77777777">
      <w:pPr>
        <w:rPr>
          <w:b/>
          <w:bCs/>
        </w:rPr>
      </w:pPr>
    </w:p>
    <w:p w:rsidRPr="0044549E" w:rsidR="0078367A" w:rsidP="0078367A" w:rsidRDefault="0078367A" w14:paraId="33DD1BCE" w14:textId="77777777">
      <w:pPr>
        <w:numPr>
          <w:ilvl w:val="0"/>
          <w:numId w:val="7"/>
        </w:numPr>
        <w:rPr>
          <w:i/>
        </w:rPr>
      </w:pPr>
      <w:r>
        <w:rPr>
          <w:i/>
          <w:iCs/>
        </w:rPr>
        <w:lastRenderedPageBreak/>
        <w:t xml:space="preserve">Fiscale instrumenten </w:t>
      </w:r>
      <w:r w:rsidRPr="00E027F7">
        <w:rPr>
          <w:i/>
          <w:iCs/>
        </w:rPr>
        <w:t>bij inzameling van afval en verwerking (recycling, verwerking, verbranding en storten)</w:t>
      </w:r>
    </w:p>
    <w:p w:rsidRPr="00E027F7" w:rsidR="0078367A" w:rsidP="0078367A" w:rsidRDefault="0078367A" w14:paraId="4480837B" w14:textId="77777777">
      <w:r w:rsidRPr="00E027F7">
        <w:t xml:space="preserve">Op het einde van de keten, bij de afvalfase, hebben bedrijven momenteel </w:t>
      </w:r>
      <w:r>
        <w:t xml:space="preserve">al </w:t>
      </w:r>
      <w:r w:rsidRPr="00E027F7">
        <w:t xml:space="preserve">te maken met een aantal </w:t>
      </w:r>
      <w:r>
        <w:t xml:space="preserve">maatregelen </w:t>
      </w:r>
      <w:r w:rsidRPr="00E027F7">
        <w:t>die ervoor dienen te zorgen dat er minder afval wordt geproduceerd en dat afval hoogwaardige</w:t>
      </w:r>
      <w:r>
        <w:t>r</w:t>
      </w:r>
      <w:r w:rsidRPr="00E027F7">
        <w:t xml:space="preserve"> wordt verwerkt. Zo dienen afvalverwerkende bedrijven afvalstoffenbelasting te betalen voor het aantal kilo</w:t>
      </w:r>
      <w:r>
        <w:t>’s</w:t>
      </w:r>
      <w:r w:rsidRPr="00E027F7">
        <w:t xml:space="preserve"> afval dat zij verbranden of storten. Dit vergroot de prikkel om afval te recyclen en minder afval aan te leveren (voor de ontdoener van afval). Daarnaast betalen </w:t>
      </w:r>
      <w:r>
        <w:t>afvalverbranders</w:t>
      </w:r>
      <w:r w:rsidRPr="00E027F7">
        <w:t xml:space="preserve"> </w:t>
      </w:r>
      <w:r>
        <w:t xml:space="preserve">tevens </w:t>
      </w:r>
      <w:r w:rsidRPr="00E027F7">
        <w:t xml:space="preserve">de CO2-heffing industrie die </w:t>
      </w:r>
      <w:r>
        <w:t>stimuleert</w:t>
      </w:r>
      <w:r w:rsidRPr="00E027F7">
        <w:t xml:space="preserve"> om het fossiele deel van de emissies te verlagen en hebben ze te maken met de energiebelasting. </w:t>
      </w:r>
    </w:p>
    <w:p w:rsidR="0078367A" w:rsidP="0078367A" w:rsidRDefault="0078367A" w14:paraId="1140D0C4" w14:textId="77777777"/>
    <w:p w:rsidRPr="00E027F7" w:rsidR="0078367A" w:rsidP="0078367A" w:rsidRDefault="0078367A" w14:paraId="7E95A2D3" w14:textId="77777777">
      <w:pPr>
        <w:rPr>
          <w:b/>
          <w:bCs/>
        </w:rPr>
      </w:pPr>
      <w:r w:rsidRPr="00E027F7">
        <w:rPr>
          <w:b/>
          <w:bCs/>
        </w:rPr>
        <w:t xml:space="preserve">Vervolgstappen </w:t>
      </w:r>
      <w:r>
        <w:rPr>
          <w:b/>
          <w:bCs/>
        </w:rPr>
        <w:t xml:space="preserve">mogelijke </w:t>
      </w:r>
      <w:r w:rsidRPr="00E027F7">
        <w:rPr>
          <w:b/>
          <w:bCs/>
        </w:rPr>
        <w:t>fiscale prikkel</w:t>
      </w:r>
      <w:r>
        <w:rPr>
          <w:b/>
          <w:bCs/>
        </w:rPr>
        <w:t>s</w:t>
      </w:r>
      <w:r w:rsidRPr="00E027F7">
        <w:rPr>
          <w:b/>
          <w:bCs/>
        </w:rPr>
        <w:t xml:space="preserve"> binnen CE-domein</w:t>
      </w:r>
    </w:p>
    <w:p w:rsidR="0078367A" w:rsidP="0078367A" w:rsidRDefault="0078367A" w14:paraId="4D947EA0" w14:textId="77777777">
      <w:bookmarkStart w:name="_Hlk208572853" w:id="3"/>
      <w:r w:rsidRPr="00E027F7">
        <w:t xml:space="preserve">Het kabinet onderkent het belang dat aanvullende fiscale prikkels effectief kunnen zijn om de doelen met betrekking tot de circulaire transitie meer binnen bereik te krijgen. </w:t>
      </w:r>
      <w:r>
        <w:t xml:space="preserve">Een niet-uitputtend overzicht van potentiële fiscale hervormingen en nieuwe maatregelen ter ondersteuning van de circulaire economie, verdeeld over de verschillende stappen in de keten, is opgenomen in bijlage 1. De overige twee bijlagen betreffen verkenningen naar een heffing op eenmalige plastic verpakkingen en een hogere inzameling van drankverpakkingen. </w:t>
      </w:r>
    </w:p>
    <w:p w:rsidR="0078367A" w:rsidP="0078367A" w:rsidRDefault="0078367A" w14:paraId="54CA9145" w14:textId="77777777"/>
    <w:p w:rsidR="0078367A" w:rsidP="0078367A" w:rsidRDefault="0078367A" w14:paraId="7A33F967" w14:textId="77777777">
      <w:r w:rsidRPr="00D16BC5">
        <w:t xml:space="preserve">Gezien de demissionaire status van het kabinet wordt verdere besluitvorming over eventuele aanvullende maatregelen, buiten </w:t>
      </w:r>
      <w:r>
        <w:t xml:space="preserve">mogelijke voorstellen vanuit het </w:t>
      </w:r>
      <w:r w:rsidRPr="00D16BC5">
        <w:t xml:space="preserve">traject van de </w:t>
      </w:r>
      <w:r>
        <w:t>W</w:t>
      </w:r>
      <w:r w:rsidRPr="00D16BC5">
        <w:t xml:space="preserve">erkgroep </w:t>
      </w:r>
      <w:r>
        <w:t>afvalsector</w:t>
      </w:r>
      <w:r w:rsidRPr="00D16BC5">
        <w:t>, overgelaten aan een volgend kabinet.</w:t>
      </w:r>
    </w:p>
    <w:bookmarkEnd w:id="3"/>
    <w:p w:rsidRPr="00E027F7" w:rsidR="0078367A" w:rsidP="0078367A" w:rsidRDefault="0078367A" w14:paraId="36F3CF7E" w14:textId="77777777"/>
    <w:p w:rsidR="0078367A" w:rsidP="0078367A" w:rsidRDefault="0078367A" w14:paraId="426BDDFB" w14:textId="77777777">
      <w:pPr>
        <w:pStyle w:val="StandaardSlotzin"/>
      </w:pPr>
      <w:r>
        <w:t>Hoogachtend,</w:t>
      </w:r>
    </w:p>
    <w:p w:rsidR="0078367A" w:rsidP="0078367A" w:rsidRDefault="0078367A" w14:paraId="3F2FAB6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8367A" w:rsidTr="00E90905" w14:paraId="621883F4" w14:textId="77777777">
        <w:tc>
          <w:tcPr>
            <w:tcW w:w="3592" w:type="dxa"/>
          </w:tcPr>
          <w:p w:rsidR="0078367A" w:rsidP="00E90905" w:rsidRDefault="0078367A" w14:paraId="22CFFB6B" w14:textId="77777777">
            <w:r>
              <w:t>de staatssecretaris van Financiën -  Fiscaliteit, Belastingdienst en Douane,</w:t>
            </w:r>
            <w:r>
              <w:br/>
            </w:r>
            <w:r>
              <w:br/>
            </w:r>
            <w:r>
              <w:br/>
            </w:r>
            <w:r>
              <w:br/>
            </w:r>
            <w:r>
              <w:br/>
            </w:r>
            <w:r>
              <w:br/>
              <w:t>Eugène Heijnen</w:t>
            </w:r>
          </w:p>
        </w:tc>
        <w:tc>
          <w:tcPr>
            <w:tcW w:w="3892" w:type="dxa"/>
          </w:tcPr>
          <w:p w:rsidR="0078367A" w:rsidP="00E90905" w:rsidRDefault="0078367A" w14:paraId="1FECFFA8" w14:textId="77777777"/>
        </w:tc>
      </w:tr>
      <w:tr w:rsidR="0078367A" w:rsidTr="00E90905" w14:paraId="77553E5A" w14:textId="77777777">
        <w:tc>
          <w:tcPr>
            <w:tcW w:w="3592" w:type="dxa"/>
          </w:tcPr>
          <w:p w:rsidR="0078367A" w:rsidP="00E90905" w:rsidRDefault="0078367A" w14:paraId="618B231F" w14:textId="77777777"/>
        </w:tc>
        <w:tc>
          <w:tcPr>
            <w:tcW w:w="3892" w:type="dxa"/>
          </w:tcPr>
          <w:p w:rsidR="0078367A" w:rsidP="00E90905" w:rsidRDefault="0078367A" w14:paraId="31CF434A" w14:textId="77777777"/>
        </w:tc>
      </w:tr>
      <w:tr w:rsidR="0078367A" w:rsidTr="00E90905" w14:paraId="781AE0BC" w14:textId="77777777">
        <w:tc>
          <w:tcPr>
            <w:tcW w:w="3592" w:type="dxa"/>
          </w:tcPr>
          <w:p w:rsidR="0078367A" w:rsidP="00E90905" w:rsidRDefault="0078367A" w14:paraId="1C46060C" w14:textId="77777777"/>
        </w:tc>
        <w:tc>
          <w:tcPr>
            <w:tcW w:w="3892" w:type="dxa"/>
          </w:tcPr>
          <w:p w:rsidR="0078367A" w:rsidP="00E90905" w:rsidRDefault="0078367A" w14:paraId="4562BDDF" w14:textId="77777777"/>
        </w:tc>
      </w:tr>
    </w:tbl>
    <w:p w:rsidRPr="0078367A" w:rsidR="003F2843" w:rsidP="0078367A" w:rsidRDefault="003F2843" w14:paraId="3A2C8C80" w14:textId="77777777"/>
    <w:sectPr w:rsidRPr="0078367A" w:rsidR="003F2843">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F08BB" w14:textId="77777777" w:rsidR="003B2759" w:rsidRDefault="003B2759">
      <w:pPr>
        <w:spacing w:line="240" w:lineRule="auto"/>
      </w:pPr>
      <w:r>
        <w:separator/>
      </w:r>
    </w:p>
  </w:endnote>
  <w:endnote w:type="continuationSeparator" w:id="0">
    <w:p w14:paraId="183CA9A3" w14:textId="77777777" w:rsidR="003B2759" w:rsidRDefault="003B2759">
      <w:pPr>
        <w:spacing w:line="240" w:lineRule="auto"/>
      </w:pPr>
      <w:r>
        <w:continuationSeparator/>
      </w:r>
    </w:p>
  </w:endnote>
  <w:endnote w:type="continuationNotice" w:id="1">
    <w:p w14:paraId="659AFD00" w14:textId="77777777" w:rsidR="003B2759" w:rsidRDefault="003B27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9D71" w14:textId="77777777" w:rsidR="00E027F7" w:rsidRDefault="008E6A8E">
    <w:pPr>
      <w:pStyle w:val="Voettekst"/>
    </w:pPr>
    <w:r>
      <w:rPr>
        <w:noProof/>
      </w:rPr>
      <mc:AlternateContent>
        <mc:Choice Requires="wps">
          <w:drawing>
            <wp:anchor distT="0" distB="0" distL="0" distR="0" simplePos="0" relativeHeight="251658253" behindDoc="0" locked="0" layoutInCell="1" allowOverlap="1" wp14:anchorId="7C48C005" wp14:editId="0DFB6E44">
              <wp:simplePos x="635" y="635"/>
              <wp:positionH relativeFrom="page">
                <wp:align>left</wp:align>
              </wp:positionH>
              <wp:positionV relativeFrom="page">
                <wp:align>bottom</wp:align>
              </wp:positionV>
              <wp:extent cx="986155" cy="345440"/>
              <wp:effectExtent l="0" t="0" r="4445" b="0"/>
              <wp:wrapNone/>
              <wp:docPr id="8369441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86EB36D" w14:textId="77777777" w:rsidR="008E6A8E" w:rsidRPr="008E6A8E" w:rsidRDefault="008E6A8E" w:rsidP="008E6A8E">
                          <w:pPr>
                            <w:rPr>
                              <w:rFonts w:ascii="Calibri" w:eastAsia="Calibri" w:hAnsi="Calibri" w:cs="Calibri"/>
                              <w:noProof/>
                              <w:sz w:val="20"/>
                              <w:szCs w:val="20"/>
                            </w:rPr>
                          </w:pPr>
                          <w:r w:rsidRPr="008E6A8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48C005"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filled="f" stroked="f">
              <v:textbox style="mso-fit-shape-to-text:t" inset="20pt,0,0,15pt">
                <w:txbxContent>
                  <w:p w14:paraId="686EB36D" w14:textId="77777777" w:rsidR="008E6A8E" w:rsidRPr="008E6A8E" w:rsidRDefault="008E6A8E" w:rsidP="008E6A8E">
                    <w:pPr>
                      <w:rPr>
                        <w:rFonts w:ascii="Calibri" w:eastAsia="Calibri" w:hAnsi="Calibri" w:cs="Calibri"/>
                        <w:noProof/>
                        <w:sz w:val="20"/>
                        <w:szCs w:val="20"/>
                      </w:rPr>
                    </w:pPr>
                    <w:r w:rsidRPr="008E6A8E">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B396" w14:textId="77777777" w:rsidR="003F2843" w:rsidRDefault="008E6A8E">
    <w:r>
      <w:rPr>
        <w:noProof/>
      </w:rPr>
      <mc:AlternateContent>
        <mc:Choice Requires="wps">
          <w:drawing>
            <wp:anchor distT="0" distB="0" distL="0" distR="0" simplePos="0" relativeHeight="251658254" behindDoc="0" locked="0" layoutInCell="1" allowOverlap="1" wp14:anchorId="01C1D04B" wp14:editId="03607975">
              <wp:simplePos x="635" y="635"/>
              <wp:positionH relativeFrom="page">
                <wp:align>left</wp:align>
              </wp:positionH>
              <wp:positionV relativeFrom="page">
                <wp:align>bottom</wp:align>
              </wp:positionV>
              <wp:extent cx="986155" cy="345440"/>
              <wp:effectExtent l="0" t="0" r="4445" b="0"/>
              <wp:wrapNone/>
              <wp:docPr id="149593436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1B1A21E" w14:textId="77777777" w:rsidR="008E6A8E" w:rsidRPr="008E6A8E" w:rsidRDefault="008E6A8E" w:rsidP="008E6A8E">
                          <w:pPr>
                            <w:rPr>
                              <w:rFonts w:ascii="Calibri" w:eastAsia="Calibri" w:hAnsi="Calibri" w:cs="Calibri"/>
                              <w:noProof/>
                              <w:sz w:val="20"/>
                              <w:szCs w:val="20"/>
                            </w:rPr>
                          </w:pPr>
                          <w:r w:rsidRPr="008E6A8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C1D04B"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11B1A21E" w14:textId="77777777" w:rsidR="008E6A8E" w:rsidRPr="008E6A8E" w:rsidRDefault="008E6A8E" w:rsidP="008E6A8E">
                    <w:pPr>
                      <w:rPr>
                        <w:rFonts w:ascii="Calibri" w:eastAsia="Calibri" w:hAnsi="Calibri" w:cs="Calibri"/>
                        <w:noProof/>
                        <w:sz w:val="20"/>
                        <w:szCs w:val="20"/>
                      </w:rPr>
                    </w:pPr>
                    <w:r w:rsidRPr="008E6A8E">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BC46" w14:textId="77777777" w:rsidR="003F2843" w:rsidRDefault="008E6A8E">
    <w:r>
      <w:rPr>
        <w:noProof/>
      </w:rPr>
      <mc:AlternateContent>
        <mc:Choice Requires="wps">
          <w:drawing>
            <wp:anchor distT="0" distB="0" distL="0" distR="0" simplePos="0" relativeHeight="251658252" behindDoc="0" locked="0" layoutInCell="1" allowOverlap="1" wp14:anchorId="0A85C9AC" wp14:editId="499681F5">
              <wp:simplePos x="635" y="635"/>
              <wp:positionH relativeFrom="page">
                <wp:align>left</wp:align>
              </wp:positionH>
              <wp:positionV relativeFrom="page">
                <wp:align>bottom</wp:align>
              </wp:positionV>
              <wp:extent cx="986155" cy="345440"/>
              <wp:effectExtent l="0" t="0" r="4445" b="0"/>
              <wp:wrapNone/>
              <wp:docPr id="180969123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656E590" w14:textId="77777777" w:rsidR="008E6A8E" w:rsidRPr="008E6A8E" w:rsidRDefault="008E6A8E" w:rsidP="008E6A8E">
                          <w:pPr>
                            <w:rPr>
                              <w:rFonts w:ascii="Calibri" w:eastAsia="Calibri" w:hAnsi="Calibri" w:cs="Calibri"/>
                              <w:noProof/>
                              <w:sz w:val="20"/>
                              <w:szCs w:val="20"/>
                            </w:rPr>
                          </w:pPr>
                          <w:r w:rsidRPr="008E6A8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85C9AC" id="_x0000_t202" coordsize="21600,21600" o:spt="202" path="m,l,21600r21600,l21600,xe">
              <v:stroke joinstyle="miter"/>
              <v:path gradientshapeok="t" o:connecttype="rect"/>
            </v:shapetype>
            <v:shape id="_x0000_s1041" type="#_x0000_t202" alt="Intern gebruik" style="position:absolute;margin-left:0;margin-top:0;width:77.65pt;height:27.2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MGFAIAACI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px+No5fQ3PErRycCPeWrzvsvWE+vDCHDOMi&#10;qNrwjIdU0FcUzhYlLbgff/PHfAQeo5T0qJiKGpQ0JeqbQUKm81meR4WlGxpuNOpkFHf5PMbNXj8A&#10;irHAd2F5MmNyUKMpHeg3FPUqdsMQMxx7VrQezYdw0i8+Ci5Wq5SEYrIsbMzW8lg6ghYRfR3emLNn&#10;2APy9QSjplj5Dv1TbvzT29U+IAeJmgjwCc0z7ijExNj50USl/3pPWdenvfwJ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H2BMG&#10;FAIAACIEAAAOAAAAAAAAAAAAAAAAAC4CAABkcnMvZTJvRG9jLnhtbFBLAQItABQABgAIAAAAIQBH&#10;zAyJ2gAAAAQBAAAPAAAAAAAAAAAAAAAAAG4EAABkcnMvZG93bnJldi54bWxQSwUGAAAAAAQABADz&#10;AAAAdQUAAAAA&#10;" filled="f" stroked="f">
              <v:textbox style="mso-fit-shape-to-text:t" inset="20pt,0,0,15pt">
                <w:txbxContent>
                  <w:p w14:paraId="5656E590" w14:textId="77777777" w:rsidR="008E6A8E" w:rsidRPr="008E6A8E" w:rsidRDefault="008E6A8E" w:rsidP="008E6A8E">
                    <w:pPr>
                      <w:rPr>
                        <w:rFonts w:ascii="Calibri" w:eastAsia="Calibri" w:hAnsi="Calibri" w:cs="Calibri"/>
                        <w:noProof/>
                        <w:sz w:val="20"/>
                        <w:szCs w:val="20"/>
                      </w:rPr>
                    </w:pPr>
                    <w:r w:rsidRPr="008E6A8E">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71F0" w14:textId="77777777" w:rsidR="003B2759" w:rsidRDefault="003B2759">
      <w:pPr>
        <w:spacing w:line="240" w:lineRule="auto"/>
      </w:pPr>
      <w:r>
        <w:separator/>
      </w:r>
    </w:p>
  </w:footnote>
  <w:footnote w:type="continuationSeparator" w:id="0">
    <w:p w14:paraId="78855BCE" w14:textId="77777777" w:rsidR="003B2759" w:rsidRDefault="003B2759">
      <w:pPr>
        <w:spacing w:line="240" w:lineRule="auto"/>
      </w:pPr>
      <w:r>
        <w:continuationSeparator/>
      </w:r>
    </w:p>
  </w:footnote>
  <w:footnote w:type="continuationNotice" w:id="1">
    <w:p w14:paraId="77047DFE" w14:textId="77777777" w:rsidR="003B2759" w:rsidRDefault="003B2759">
      <w:pPr>
        <w:spacing w:line="240" w:lineRule="auto"/>
      </w:pPr>
    </w:p>
  </w:footnote>
  <w:footnote w:id="2">
    <w:p w14:paraId="2E046FDE" w14:textId="77777777" w:rsidR="0078367A" w:rsidRPr="005444D9" w:rsidRDefault="0078367A" w:rsidP="0078367A">
      <w:pPr>
        <w:pStyle w:val="Voetnoottekst"/>
        <w:rPr>
          <w:sz w:val="16"/>
          <w:szCs w:val="16"/>
        </w:rPr>
      </w:pPr>
      <w:r w:rsidRPr="005444D9">
        <w:rPr>
          <w:rStyle w:val="Voetnootmarkering"/>
          <w:sz w:val="16"/>
          <w:szCs w:val="16"/>
        </w:rPr>
        <w:footnoteRef/>
      </w:r>
      <w:r w:rsidRPr="005444D9">
        <w:rPr>
          <w:sz w:val="16"/>
          <w:szCs w:val="16"/>
        </w:rPr>
        <w:t xml:space="preserve"> Kamerstukken II 2024</w:t>
      </w:r>
      <w:r>
        <w:rPr>
          <w:sz w:val="16"/>
          <w:szCs w:val="16"/>
        </w:rPr>
        <w:t>/</w:t>
      </w:r>
      <w:r w:rsidRPr="005444D9">
        <w:rPr>
          <w:sz w:val="16"/>
          <w:szCs w:val="16"/>
        </w:rPr>
        <w:t>25, 32140, nr. 251.</w:t>
      </w:r>
    </w:p>
  </w:footnote>
  <w:footnote w:id="3">
    <w:p w14:paraId="7B4465A5" w14:textId="77777777" w:rsidR="0078367A" w:rsidRDefault="0078367A" w:rsidP="0078367A">
      <w:pPr>
        <w:pStyle w:val="Voetnoottekst"/>
      </w:pPr>
      <w:r w:rsidRPr="005444D9">
        <w:rPr>
          <w:rStyle w:val="Voetnootmarkering"/>
          <w:sz w:val="16"/>
          <w:szCs w:val="16"/>
        </w:rPr>
        <w:footnoteRef/>
      </w:r>
      <w:r w:rsidRPr="005444D9">
        <w:rPr>
          <w:sz w:val="16"/>
          <w:szCs w:val="16"/>
        </w:rPr>
        <w:t xml:space="preserve"> </w:t>
      </w:r>
      <w:hyperlink r:id="rId1" w:history="1">
        <w:hyperlink r:id="rId2" w:history="1">
          <w:r w:rsidRPr="005444D9">
            <w:rPr>
              <w:rStyle w:val="Hyperlink"/>
              <w:sz w:val="16"/>
              <w:szCs w:val="16"/>
            </w:rPr>
            <w:t>Eind</w:t>
          </w:r>
        </w:hyperlink>
        <w:r w:rsidRPr="005444D9">
          <w:rPr>
            <w:rStyle w:val="Hyperlink"/>
            <w:sz w:val="16"/>
            <w:szCs w:val="16"/>
          </w:rPr>
          <w:t>rapport Plastictafel (2025)</w:t>
        </w:r>
      </w:hyperlink>
    </w:p>
  </w:footnote>
  <w:footnote w:id="4">
    <w:p w14:paraId="09FC6E85" w14:textId="77777777" w:rsidR="0078367A" w:rsidRDefault="0078367A" w:rsidP="0078367A">
      <w:pPr>
        <w:pStyle w:val="Voetnoottekst"/>
      </w:pPr>
      <w:r>
        <w:rPr>
          <w:rStyle w:val="Voetnootmarkering"/>
        </w:rPr>
        <w:footnoteRef/>
      </w:r>
      <w:r>
        <w:t xml:space="preserve"> </w:t>
      </w:r>
      <w:r w:rsidRPr="006542A7">
        <w:rPr>
          <w:sz w:val="16"/>
          <w:szCs w:val="16"/>
        </w:rPr>
        <w:t>De verkenning m.b.t. een heffing de verkenning m.b.t. een heffing op eenmalige plastic verpakkingen komt voort uit een idee besproken maar niet uitgewerkt aan de Plastictafel, en de verkenning m.b.t. inzameling van drankverpakkingen komt voort uit de noodzaak aan budgettaire maatregelen.</w:t>
      </w:r>
    </w:p>
  </w:footnote>
  <w:footnote w:id="5">
    <w:p w14:paraId="3428964B" w14:textId="77777777" w:rsidR="0078367A" w:rsidRDefault="0078367A" w:rsidP="0078367A">
      <w:pPr>
        <w:pStyle w:val="Voetnoottekst"/>
      </w:pPr>
      <w:r>
        <w:rPr>
          <w:rStyle w:val="Voetnootmarkering"/>
        </w:rPr>
        <w:footnoteRef/>
      </w:r>
      <w:r w:rsidRPr="00160A47">
        <w:rPr>
          <w:sz w:val="16"/>
          <w:szCs w:val="16"/>
        </w:rPr>
        <w:t xml:space="preserve"> </w:t>
      </w:r>
      <w:hyperlink r:id="rId3" w:history="1">
        <w:proofErr w:type="spellStart"/>
        <w:r w:rsidRPr="00160A47">
          <w:rPr>
            <w:rStyle w:val="Hyperlink"/>
            <w:sz w:val="16"/>
            <w:szCs w:val="16"/>
          </w:rPr>
          <w:t>Dialogic</w:t>
        </w:r>
        <w:proofErr w:type="spellEnd"/>
        <w:r w:rsidRPr="00160A47">
          <w:rPr>
            <w:rStyle w:val="Hyperlink"/>
            <w:sz w:val="16"/>
            <w:szCs w:val="16"/>
          </w:rPr>
          <w:t xml:space="preserve"> - Evaluatie van het verlaagde btw-tarief (2023)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7FA3" w14:textId="77777777" w:rsidR="003F2843" w:rsidRDefault="004E2F8D">
    <w:r>
      <w:rPr>
        <w:noProof/>
      </w:rPr>
      <mc:AlternateContent>
        <mc:Choice Requires="wps">
          <w:drawing>
            <wp:anchor distT="0" distB="0" distL="0" distR="0" simplePos="0" relativeHeight="251658240" behindDoc="0" locked="1" layoutInCell="1" allowOverlap="1" wp14:anchorId="706B637D" wp14:editId="62D4A41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6655E3" w14:textId="77777777" w:rsidR="003F2843" w:rsidRDefault="004E2F8D">
                          <w:pPr>
                            <w:pStyle w:val="StandaardReferentiegegevensKop"/>
                          </w:pPr>
                          <w:r>
                            <w:t>Directie Algemene Fiscale Politiek</w:t>
                          </w:r>
                        </w:p>
                        <w:p w14:paraId="41F9A7ED" w14:textId="77777777" w:rsidR="003F2843" w:rsidRDefault="003F2843">
                          <w:pPr>
                            <w:pStyle w:val="WitregelW1"/>
                          </w:pPr>
                        </w:p>
                        <w:p w14:paraId="21AC0D5C" w14:textId="77777777" w:rsidR="003F2843" w:rsidRDefault="004E2F8D">
                          <w:pPr>
                            <w:pStyle w:val="StandaardReferentiegegevensKop"/>
                          </w:pPr>
                          <w:r>
                            <w:t>Ons kenmerk</w:t>
                          </w:r>
                        </w:p>
                        <w:p w14:paraId="6089493A" w14:textId="5E2C1230" w:rsidR="003F2843" w:rsidRDefault="00584FE8">
                          <w:pPr>
                            <w:pStyle w:val="StandaardReferentiegegevens"/>
                          </w:pPr>
                          <w:r>
                            <w:fldChar w:fldCharType="begin"/>
                          </w:r>
                          <w:r>
                            <w:instrText xml:space="preserve"> DOCPROPERTY  "Kenmerk"  \* MERGEFORMAT </w:instrText>
                          </w:r>
                          <w:r>
                            <w:fldChar w:fldCharType="separate"/>
                          </w:r>
                          <w:r>
                            <w:t>2025-0000452239</w:t>
                          </w:r>
                          <w:r>
                            <w:fldChar w:fldCharType="end"/>
                          </w:r>
                        </w:p>
                      </w:txbxContent>
                    </wps:txbx>
                    <wps:bodyPr vert="horz" wrap="square" lIns="0" tIns="0" rIns="0" bIns="0" anchor="t" anchorCtr="0"/>
                  </wps:wsp>
                </a:graphicData>
              </a:graphic>
            </wp:anchor>
          </w:drawing>
        </mc:Choice>
        <mc:Fallback>
          <w:pict>
            <v:shapetype w14:anchorId="706B637D" id="_x0000_t202" coordsize="21600,21600" o:spt="202" path="m,l,21600r21600,l21600,xe">
              <v:stroke joinstyle="miter"/>
              <v:path gradientshapeok="t" o:connecttype="rect"/>
            </v:shapetype>
            <v:shape id="bd4a97d4-03a6-11ee-8f29-0242ac130005" o:spid="_x0000_s1027"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6655E3" w14:textId="77777777" w:rsidR="003F2843" w:rsidRDefault="004E2F8D">
                    <w:pPr>
                      <w:pStyle w:val="StandaardReferentiegegevensKop"/>
                    </w:pPr>
                    <w:r>
                      <w:t>Directie Algemene Fiscale Politiek</w:t>
                    </w:r>
                  </w:p>
                  <w:p w14:paraId="41F9A7ED" w14:textId="77777777" w:rsidR="003F2843" w:rsidRDefault="003F2843">
                    <w:pPr>
                      <w:pStyle w:val="WitregelW1"/>
                    </w:pPr>
                  </w:p>
                  <w:p w14:paraId="21AC0D5C" w14:textId="77777777" w:rsidR="003F2843" w:rsidRDefault="004E2F8D">
                    <w:pPr>
                      <w:pStyle w:val="StandaardReferentiegegevensKop"/>
                    </w:pPr>
                    <w:r>
                      <w:t>Ons kenmerk</w:t>
                    </w:r>
                  </w:p>
                  <w:p w14:paraId="6089493A" w14:textId="5E2C1230" w:rsidR="003F2843" w:rsidRDefault="00584FE8">
                    <w:pPr>
                      <w:pStyle w:val="StandaardReferentiegegevens"/>
                    </w:pPr>
                    <w:r>
                      <w:fldChar w:fldCharType="begin"/>
                    </w:r>
                    <w:r>
                      <w:instrText xml:space="preserve"> DOCPROPERTY  "Kenmerk"  \* MERGEFORMAT </w:instrText>
                    </w:r>
                    <w:r>
                      <w:fldChar w:fldCharType="separate"/>
                    </w:r>
                    <w:r>
                      <w:t>2025-0000452239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2A75BE0" wp14:editId="397C543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5EB6440" w14:textId="77777777" w:rsidR="00743CED" w:rsidRDefault="00584FE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2A75BE0" id="bd4a94a5-03a6-11ee-8f29-0242ac130005" o:spid="_x0000_s1028"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5EB6440" w14:textId="77777777" w:rsidR="00743CED" w:rsidRDefault="00584FE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1B80338" wp14:editId="3B60667E">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2E1E6AD" w14:textId="544166D1" w:rsidR="00743CED" w:rsidRDefault="00584FE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1B80338" id="bd5d94d9-03a6-11ee-8f29-0242ac130005" o:spid="_x0000_s1029"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2E1E6AD" w14:textId="544166D1" w:rsidR="00743CED" w:rsidRDefault="00584FE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054F" w14:textId="77777777" w:rsidR="003F2843" w:rsidRDefault="004E2F8D">
    <w:pPr>
      <w:spacing w:after="7029" w:line="14" w:lineRule="exact"/>
    </w:pPr>
    <w:r>
      <w:rPr>
        <w:noProof/>
      </w:rPr>
      <mc:AlternateContent>
        <mc:Choice Requires="wps">
          <w:drawing>
            <wp:anchor distT="0" distB="0" distL="0" distR="0" simplePos="0" relativeHeight="251658243" behindDoc="0" locked="1" layoutInCell="1" allowOverlap="1" wp14:anchorId="2720376D" wp14:editId="19FB2AB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7CF6E67" w14:textId="77777777" w:rsidR="003F2843" w:rsidRDefault="004E2F8D">
                          <w:pPr>
                            <w:spacing w:line="240" w:lineRule="auto"/>
                          </w:pPr>
                          <w:r>
                            <w:rPr>
                              <w:noProof/>
                            </w:rPr>
                            <w:drawing>
                              <wp:inline distT="0" distB="0" distL="0" distR="0" wp14:anchorId="7082B06A" wp14:editId="60B6B63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20376D" id="_x0000_t202" coordsize="21600,21600" o:spt="202" path="m,l,21600r21600,l21600,xe">
              <v:stroke joinstyle="miter"/>
              <v:path gradientshapeok="t" o:connecttype="rect"/>
            </v:shapetype>
            <v:shape id="bd4a8ef7-03a6-11ee-8f29-0242ac130005" o:spid="_x0000_s1032"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HqHSG6VAQAAFQMAAA4A&#10;AAAAAAAAAAAAAAAALgIAAGRycy9lMm9Eb2MueG1sUEsBAi0AFAAGAAgAAAAhAEehzSjdAAAACQEA&#10;AA8AAAAAAAAAAAAAAAAA7wMAAGRycy9kb3ducmV2LnhtbFBLBQYAAAAABAAEAPMAAAD5BAAAAAA=&#10;" filled="f" stroked="f">
              <v:textbox inset="0,0,0,0">
                <w:txbxContent>
                  <w:p w14:paraId="67CF6E67" w14:textId="77777777" w:rsidR="003F2843" w:rsidRDefault="004E2F8D">
                    <w:pPr>
                      <w:spacing w:line="240" w:lineRule="auto"/>
                    </w:pPr>
                    <w:r>
                      <w:rPr>
                        <w:noProof/>
                      </w:rPr>
                      <w:drawing>
                        <wp:inline distT="0" distB="0" distL="0" distR="0" wp14:anchorId="7082B06A" wp14:editId="60B6B63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3A2FFDE" wp14:editId="2F3EC51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2E42F01" w14:textId="77777777" w:rsidR="00A30232" w:rsidRDefault="00A30232"/>
                      </w:txbxContent>
                    </wps:txbx>
                    <wps:bodyPr vert="horz" wrap="square" lIns="0" tIns="0" rIns="0" bIns="0" anchor="t" anchorCtr="0"/>
                  </wps:wsp>
                </a:graphicData>
              </a:graphic>
            </wp:anchor>
          </w:drawing>
        </mc:Choice>
        <mc:Fallback>
          <w:pict>
            <v:shape w14:anchorId="53A2FFDE" id="bd5d5767-03a6-11ee-8f29-0242ac130005" o:spid="_x0000_s1033"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CvulImlQEAABQDAAAO&#10;AAAAAAAAAAAAAAAAAC4CAABkcnMvZTJvRG9jLnhtbFBLAQItABQABgAIAAAAIQAu6ZuM3gAAAAgB&#10;AAAPAAAAAAAAAAAAAAAAAO8DAABkcnMvZG93bnJldi54bWxQSwUGAAAAAAQABADzAAAA+gQAAAAA&#10;" filled="f" stroked="f">
              <v:textbox inset="0,0,0,0">
                <w:txbxContent>
                  <w:p w14:paraId="62E42F01" w14:textId="77777777" w:rsidR="00A30232" w:rsidRDefault="00A30232"/>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61D13C6" wp14:editId="748C60C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BF3E92F" w14:textId="77777777" w:rsidR="003F2843" w:rsidRDefault="004E2F8D">
                          <w:pPr>
                            <w:pStyle w:val="StandaardReferentiegegevensKop"/>
                          </w:pPr>
                          <w:r>
                            <w:t>Directie Algemene Fiscale Politiek</w:t>
                          </w:r>
                        </w:p>
                        <w:p w14:paraId="27456666" w14:textId="77777777" w:rsidR="003F2843" w:rsidRDefault="003F2843">
                          <w:pPr>
                            <w:pStyle w:val="WitregelW1"/>
                          </w:pPr>
                        </w:p>
                        <w:p w14:paraId="2C7624FB" w14:textId="77777777" w:rsidR="003F2843" w:rsidRDefault="004E2F8D">
                          <w:pPr>
                            <w:pStyle w:val="StandaardReferentiegegevens"/>
                          </w:pPr>
                          <w:r>
                            <w:t>Korte Voorhout 7</w:t>
                          </w:r>
                        </w:p>
                        <w:p w14:paraId="4B75876D" w14:textId="77777777" w:rsidR="003F2843" w:rsidRDefault="004E2F8D">
                          <w:pPr>
                            <w:pStyle w:val="StandaardReferentiegegevens"/>
                          </w:pPr>
                          <w:r>
                            <w:t>2511 CW  'S-GRAVENHAGE</w:t>
                          </w:r>
                        </w:p>
                        <w:p w14:paraId="76D93D0E" w14:textId="77777777" w:rsidR="003F2843" w:rsidRDefault="004E2F8D">
                          <w:pPr>
                            <w:pStyle w:val="StandaardReferentiegegevens"/>
                          </w:pPr>
                          <w:r>
                            <w:t>POSTBUS 20201</w:t>
                          </w:r>
                        </w:p>
                        <w:p w14:paraId="070847D6" w14:textId="77777777" w:rsidR="003F2843" w:rsidRDefault="004E2F8D">
                          <w:pPr>
                            <w:pStyle w:val="StandaardReferentiegegevens"/>
                          </w:pPr>
                          <w:r>
                            <w:t>2500 EE  'S-GRAVENHAGE</w:t>
                          </w:r>
                        </w:p>
                        <w:p w14:paraId="63B8990F" w14:textId="77777777" w:rsidR="003F2843" w:rsidRDefault="004E2F8D">
                          <w:pPr>
                            <w:pStyle w:val="StandaardReferentiegegevens"/>
                          </w:pPr>
                          <w:r>
                            <w:t>www.rijksoverheid.nl/fin</w:t>
                          </w:r>
                        </w:p>
                        <w:p w14:paraId="3BD4B6C1" w14:textId="77777777" w:rsidR="003F2843" w:rsidRDefault="003F2843">
                          <w:pPr>
                            <w:pStyle w:val="WitregelW2"/>
                          </w:pPr>
                        </w:p>
                        <w:p w14:paraId="6A73EFF0" w14:textId="77777777" w:rsidR="003F2843" w:rsidRDefault="004E2F8D">
                          <w:pPr>
                            <w:pStyle w:val="StandaardReferentiegegevensKop"/>
                          </w:pPr>
                          <w:r>
                            <w:t>Ons kenmerk</w:t>
                          </w:r>
                        </w:p>
                        <w:p w14:paraId="7CC8C49E" w14:textId="12308686" w:rsidR="003F2843" w:rsidRDefault="00584FE8">
                          <w:pPr>
                            <w:pStyle w:val="StandaardReferentiegegevens"/>
                          </w:pPr>
                          <w:r>
                            <w:fldChar w:fldCharType="begin"/>
                          </w:r>
                          <w:r>
                            <w:instrText xml:space="preserve"> DOCPROPERTY  "Kenmerk"  \* MERGEFORMAT </w:instrText>
                          </w:r>
                          <w:r>
                            <w:fldChar w:fldCharType="separate"/>
                          </w:r>
                          <w:r>
                            <w:t>2025-0000452239</w:t>
                          </w:r>
                          <w:r>
                            <w:fldChar w:fldCharType="end"/>
                          </w:r>
                        </w:p>
                        <w:p w14:paraId="3D2BD9F5" w14:textId="77777777" w:rsidR="003F2843" w:rsidRDefault="003F2843">
                          <w:pPr>
                            <w:pStyle w:val="WitregelW1"/>
                          </w:pPr>
                        </w:p>
                        <w:p w14:paraId="56556FE2" w14:textId="77777777" w:rsidR="003F2843" w:rsidRDefault="004E2F8D">
                          <w:pPr>
                            <w:pStyle w:val="StandaardReferentiegegevensKop"/>
                          </w:pPr>
                          <w:r>
                            <w:t>Uw brief (kenmerk)</w:t>
                          </w:r>
                        </w:p>
                        <w:p w14:paraId="26B20FD0" w14:textId="6BBACB48" w:rsidR="00743CED" w:rsidRDefault="00584FE8">
                          <w:pPr>
                            <w:pStyle w:val="StandaardReferentiegegevens"/>
                          </w:pPr>
                          <w:r>
                            <w:fldChar w:fldCharType="begin"/>
                          </w:r>
                          <w:r>
                            <w:instrText xml:space="preserve"> DOCPROPERTY  "UwKenmerk"  \* MERGEFORMAT </w:instrText>
                          </w:r>
                          <w:r>
                            <w:fldChar w:fldCharType="end"/>
                          </w:r>
                        </w:p>
                        <w:p w14:paraId="181568D2" w14:textId="77777777" w:rsidR="003F2843" w:rsidRDefault="003F2843">
                          <w:pPr>
                            <w:pStyle w:val="WitregelW1"/>
                          </w:pPr>
                        </w:p>
                        <w:p w14:paraId="0862F3FE" w14:textId="77777777" w:rsidR="003F2843" w:rsidRDefault="004E2F8D">
                          <w:pPr>
                            <w:pStyle w:val="StandaardReferentiegegevensKop"/>
                          </w:pPr>
                          <w:r>
                            <w:t>Bijlagen</w:t>
                          </w:r>
                        </w:p>
                        <w:p w14:paraId="5737177C" w14:textId="77777777" w:rsidR="003F2843" w:rsidRDefault="004E2F8D">
                          <w:pPr>
                            <w:pStyle w:val="StandaardReferentiegegevens"/>
                          </w:pPr>
                          <w:r>
                            <w:t>(geen)</w:t>
                          </w:r>
                        </w:p>
                      </w:txbxContent>
                    </wps:txbx>
                    <wps:bodyPr vert="horz" wrap="square" lIns="0" tIns="0" rIns="0" bIns="0" anchor="t" anchorCtr="0"/>
                  </wps:wsp>
                </a:graphicData>
              </a:graphic>
            </wp:anchor>
          </w:drawing>
        </mc:Choice>
        <mc:Fallback>
          <w:pict>
            <v:shape w14:anchorId="161D13C6" id="bd4a91e7-03a6-11ee-8f29-0242ac130005" o:spid="_x0000_s1034"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" filled="f" stroked="f">
              <v:textbox inset="0,0,0,0">
                <w:txbxContent>
                  <w:p w14:paraId="0BF3E92F" w14:textId="77777777" w:rsidR="003F2843" w:rsidRDefault="004E2F8D">
                    <w:pPr>
                      <w:pStyle w:val="StandaardReferentiegegevensKop"/>
                    </w:pPr>
                    <w:r>
                      <w:t>Directie Algemene Fiscale Politiek</w:t>
                    </w:r>
                  </w:p>
                  <w:p w14:paraId="27456666" w14:textId="77777777" w:rsidR="003F2843" w:rsidRDefault="003F2843">
                    <w:pPr>
                      <w:pStyle w:val="WitregelW1"/>
                    </w:pPr>
                  </w:p>
                  <w:p w14:paraId="2C7624FB" w14:textId="77777777" w:rsidR="003F2843" w:rsidRDefault="004E2F8D">
                    <w:pPr>
                      <w:pStyle w:val="StandaardReferentiegegevens"/>
                    </w:pPr>
                    <w:r>
                      <w:t>Korte Voorhout 7</w:t>
                    </w:r>
                  </w:p>
                  <w:p w14:paraId="4B75876D" w14:textId="77777777" w:rsidR="003F2843" w:rsidRDefault="004E2F8D">
                    <w:pPr>
                      <w:pStyle w:val="StandaardReferentiegegevens"/>
                    </w:pPr>
                    <w:r>
                      <w:t>2511 CW  'S-GRAVENHAGE</w:t>
                    </w:r>
                  </w:p>
                  <w:p w14:paraId="76D93D0E" w14:textId="77777777" w:rsidR="003F2843" w:rsidRDefault="004E2F8D">
                    <w:pPr>
                      <w:pStyle w:val="StandaardReferentiegegevens"/>
                    </w:pPr>
                    <w:r>
                      <w:t>POSTBUS 20201</w:t>
                    </w:r>
                  </w:p>
                  <w:p w14:paraId="070847D6" w14:textId="77777777" w:rsidR="003F2843" w:rsidRDefault="004E2F8D">
                    <w:pPr>
                      <w:pStyle w:val="StandaardReferentiegegevens"/>
                    </w:pPr>
                    <w:r>
                      <w:t>2500 EE  'S-GRAVENHAGE</w:t>
                    </w:r>
                  </w:p>
                  <w:p w14:paraId="63B8990F" w14:textId="77777777" w:rsidR="003F2843" w:rsidRDefault="004E2F8D">
                    <w:pPr>
                      <w:pStyle w:val="StandaardReferentiegegevens"/>
                    </w:pPr>
                    <w:r>
                      <w:t>www.rijksoverheid.nl/fin</w:t>
                    </w:r>
                  </w:p>
                  <w:p w14:paraId="3BD4B6C1" w14:textId="77777777" w:rsidR="003F2843" w:rsidRDefault="003F2843">
                    <w:pPr>
                      <w:pStyle w:val="WitregelW2"/>
                    </w:pPr>
                  </w:p>
                  <w:p w14:paraId="6A73EFF0" w14:textId="77777777" w:rsidR="003F2843" w:rsidRDefault="004E2F8D">
                    <w:pPr>
                      <w:pStyle w:val="StandaardReferentiegegevensKop"/>
                    </w:pPr>
                    <w:r>
                      <w:t>Ons kenmerk</w:t>
                    </w:r>
                  </w:p>
                  <w:p w14:paraId="7CC8C49E" w14:textId="12308686" w:rsidR="003F2843" w:rsidRDefault="00584FE8">
                    <w:pPr>
                      <w:pStyle w:val="StandaardReferentiegegevens"/>
                    </w:pPr>
                    <w:r>
                      <w:fldChar w:fldCharType="begin"/>
                    </w:r>
                    <w:r>
                      <w:instrText xml:space="preserve"> DOCPROPERTY  "Kenmerk"  \* MERGEFORMAT </w:instrText>
                    </w:r>
                    <w:r>
                      <w:fldChar w:fldCharType="separate"/>
                    </w:r>
                    <w:r>
                      <w:t>2025-0000452239</w:t>
                    </w:r>
                    <w:r>
                      <w:fldChar w:fldCharType="end"/>
                    </w:r>
                  </w:p>
                  <w:p w14:paraId="3D2BD9F5" w14:textId="77777777" w:rsidR="003F2843" w:rsidRDefault="003F2843">
                    <w:pPr>
                      <w:pStyle w:val="WitregelW1"/>
                    </w:pPr>
                  </w:p>
                  <w:p w14:paraId="56556FE2" w14:textId="77777777" w:rsidR="003F2843" w:rsidRDefault="004E2F8D">
                    <w:pPr>
                      <w:pStyle w:val="StandaardReferentiegegevensKop"/>
                    </w:pPr>
                    <w:r>
                      <w:t>Uw brief (kenmerk)</w:t>
                    </w:r>
                  </w:p>
                  <w:p w14:paraId="26B20FD0" w14:textId="6BBACB48" w:rsidR="00743CED" w:rsidRDefault="00584FE8">
                    <w:pPr>
                      <w:pStyle w:val="StandaardReferentiegegevens"/>
                    </w:pPr>
                    <w:r>
                      <w:fldChar w:fldCharType="begin"/>
                    </w:r>
                    <w:r>
                      <w:instrText xml:space="preserve"> DOCPROPERTY  "UwKenmerk"  \* MERGEFORMAT </w:instrText>
                    </w:r>
                    <w:r>
                      <w:fldChar w:fldCharType="end"/>
                    </w:r>
                  </w:p>
                  <w:p w14:paraId="181568D2" w14:textId="77777777" w:rsidR="003F2843" w:rsidRDefault="003F2843">
                    <w:pPr>
                      <w:pStyle w:val="WitregelW1"/>
                    </w:pPr>
                  </w:p>
                  <w:p w14:paraId="0862F3FE" w14:textId="77777777" w:rsidR="003F2843" w:rsidRDefault="004E2F8D">
                    <w:pPr>
                      <w:pStyle w:val="StandaardReferentiegegevensKop"/>
                    </w:pPr>
                    <w:r>
                      <w:t>Bijlagen</w:t>
                    </w:r>
                  </w:p>
                  <w:p w14:paraId="5737177C" w14:textId="77777777" w:rsidR="003F2843" w:rsidRDefault="004E2F8D">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869A7EE" wp14:editId="185C363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2FE0F09" w14:textId="77777777" w:rsidR="003F2843" w:rsidRDefault="004E2F8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869A7EE" id="bd4a901e-03a6-11ee-8f29-0242ac130005" o:spid="_x0000_s1035"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rmFOKZQBAAAUAwAA&#10;DgAAAAAAAAAAAAAAAAAuAgAAZHJzL2Uyb0RvYy54bWxQSwECLQAUAAYACAAAACEAprh/WuAAAAAL&#10;AQAADwAAAAAAAAAAAAAAAADuAwAAZHJzL2Rvd25yZXYueG1sUEsFBgAAAAAEAAQA8wAAAPsEAAAA&#10;AA==&#10;" filled="f" stroked="f">
              <v:textbox inset="0,0,0,0">
                <w:txbxContent>
                  <w:p w14:paraId="72FE0F09" w14:textId="77777777" w:rsidR="003F2843" w:rsidRDefault="004E2F8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497E2C0" wp14:editId="71E2974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8693A20" w14:textId="6D2C6133" w:rsidR="00743CED" w:rsidRDefault="00584FE8">
                          <w:pPr>
                            <w:pStyle w:val="Rubricering"/>
                          </w:pPr>
                          <w:r>
                            <w:fldChar w:fldCharType="begin"/>
                          </w:r>
                          <w:r>
                            <w:instrText xml:space="preserve"> DOCPROPERTY  "Rubricering"  \* MERGEFORMAT </w:instrText>
                          </w:r>
                          <w:r>
                            <w:fldChar w:fldCharType="end"/>
                          </w:r>
                        </w:p>
                        <w:p w14:paraId="17E7A09D" w14:textId="77777777" w:rsidR="003F2843" w:rsidRDefault="004E2F8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497E2C0" id="bd4a90ba-03a6-11ee-8f29-0242ac130005" o:spid="_x0000_s1036"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J8PHj5QBAAAVAwAA&#10;DgAAAAAAAAAAAAAAAAAuAgAAZHJzL2Uyb0RvYy54bWxQSwECLQAUAAYACAAAACEA7CvJyOAAAAAL&#10;AQAADwAAAAAAAAAAAAAAAADuAwAAZHJzL2Rvd25yZXYueG1sUEsFBgAAAAAEAAQA8wAAAPsEAAAA&#10;AA==&#10;" filled="f" stroked="f">
              <v:textbox inset="0,0,0,0">
                <w:txbxContent>
                  <w:p w14:paraId="18693A20" w14:textId="6D2C6133" w:rsidR="00743CED" w:rsidRDefault="00584FE8">
                    <w:pPr>
                      <w:pStyle w:val="Rubricering"/>
                    </w:pPr>
                    <w:r>
                      <w:fldChar w:fldCharType="begin"/>
                    </w:r>
                    <w:r>
                      <w:instrText xml:space="preserve"> DOCPROPERTY  "Rubricering"  \* MERGEFORMAT </w:instrText>
                    </w:r>
                    <w:r>
                      <w:fldChar w:fldCharType="end"/>
                    </w:r>
                  </w:p>
                  <w:p w14:paraId="17E7A09D" w14:textId="77777777" w:rsidR="003F2843" w:rsidRDefault="004E2F8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CD222C3" wp14:editId="448C4D8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01B4BA9" w14:textId="77777777" w:rsidR="00743CED" w:rsidRDefault="00584FE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D222C3" id="bd4a9275-03a6-11ee-8f29-0242ac130005" o:spid="_x0000_s1037"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" filled="f" stroked="f">
              <v:textbox inset="0,0,0,0">
                <w:txbxContent>
                  <w:p w14:paraId="001B4BA9" w14:textId="77777777" w:rsidR="00743CED" w:rsidRDefault="00584FE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58656AE" wp14:editId="1DB844F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F2843" w14:paraId="49C69AED" w14:textId="77777777">
                            <w:trPr>
                              <w:trHeight w:val="200"/>
                            </w:trPr>
                            <w:tc>
                              <w:tcPr>
                                <w:tcW w:w="1140" w:type="dxa"/>
                              </w:tcPr>
                              <w:p w14:paraId="4C11604F" w14:textId="77777777" w:rsidR="003F2843" w:rsidRDefault="003F2843"/>
                            </w:tc>
                            <w:tc>
                              <w:tcPr>
                                <w:tcW w:w="5400" w:type="dxa"/>
                              </w:tcPr>
                              <w:p w14:paraId="51A88A18" w14:textId="77777777" w:rsidR="003F2843" w:rsidRDefault="003F2843"/>
                            </w:tc>
                          </w:tr>
                          <w:tr w:rsidR="003F2843" w14:paraId="29517BA1" w14:textId="77777777">
                            <w:trPr>
                              <w:trHeight w:val="240"/>
                            </w:trPr>
                            <w:tc>
                              <w:tcPr>
                                <w:tcW w:w="1140" w:type="dxa"/>
                              </w:tcPr>
                              <w:p w14:paraId="633258A0" w14:textId="77777777" w:rsidR="003F2843" w:rsidRDefault="004E2F8D">
                                <w:r>
                                  <w:t>Datum</w:t>
                                </w:r>
                              </w:p>
                            </w:tc>
                            <w:tc>
                              <w:tcPr>
                                <w:tcW w:w="5400" w:type="dxa"/>
                              </w:tcPr>
                              <w:p w14:paraId="1D7EECDC" w14:textId="5FCE5FF7" w:rsidR="003F2843" w:rsidRDefault="001F06F7">
                                <w:r>
                                  <w:t>26-09-2025</w:t>
                                </w:r>
                              </w:p>
                            </w:tc>
                          </w:tr>
                          <w:tr w:rsidR="003F2843" w14:paraId="391A8757" w14:textId="77777777">
                            <w:trPr>
                              <w:trHeight w:val="240"/>
                            </w:trPr>
                            <w:tc>
                              <w:tcPr>
                                <w:tcW w:w="1140" w:type="dxa"/>
                              </w:tcPr>
                              <w:p w14:paraId="3600A2CF" w14:textId="77777777" w:rsidR="003F2843" w:rsidRDefault="004E2F8D">
                                <w:r>
                                  <w:t>Betreft</w:t>
                                </w:r>
                              </w:p>
                            </w:tc>
                            <w:tc>
                              <w:tcPr>
                                <w:tcW w:w="5400" w:type="dxa"/>
                              </w:tcPr>
                              <w:p w14:paraId="5172B870" w14:textId="5CA3929C" w:rsidR="003F2843" w:rsidRDefault="00584FE8">
                                <w:r>
                                  <w:fldChar w:fldCharType="begin"/>
                                </w:r>
                                <w:r>
                                  <w:instrText xml:space="preserve"> DOCPROPERTY  "Onderwerp"  \* MERGEFORMAT </w:instrText>
                                </w:r>
                                <w:r>
                                  <w:fldChar w:fldCharType="separate"/>
                                </w:r>
                                <w:r>
                                  <w:t>Overzicht van fiscale prikkels om circulaire transitie te versnellen</w:t>
                                </w:r>
                                <w:r>
                                  <w:fldChar w:fldCharType="end"/>
                                </w:r>
                              </w:p>
                            </w:tc>
                          </w:tr>
                          <w:tr w:rsidR="003F2843" w14:paraId="28A9AAE9" w14:textId="77777777">
                            <w:trPr>
                              <w:trHeight w:val="200"/>
                            </w:trPr>
                            <w:tc>
                              <w:tcPr>
                                <w:tcW w:w="1140" w:type="dxa"/>
                              </w:tcPr>
                              <w:p w14:paraId="49C6E89A" w14:textId="77777777" w:rsidR="003F2843" w:rsidRDefault="003F2843"/>
                            </w:tc>
                            <w:tc>
                              <w:tcPr>
                                <w:tcW w:w="4738" w:type="dxa"/>
                              </w:tcPr>
                              <w:p w14:paraId="6ED6272C" w14:textId="77777777" w:rsidR="003F2843" w:rsidRDefault="003F2843"/>
                            </w:tc>
                          </w:tr>
                        </w:tbl>
                        <w:p w14:paraId="100E8417" w14:textId="77777777" w:rsidR="00A30232" w:rsidRDefault="00A30232"/>
                      </w:txbxContent>
                    </wps:txbx>
                    <wps:bodyPr vert="horz" wrap="square" lIns="0" tIns="0" rIns="0" bIns="0" anchor="t" anchorCtr="0"/>
                  </wps:wsp>
                </a:graphicData>
              </a:graphic>
            </wp:anchor>
          </w:drawing>
        </mc:Choice>
        <mc:Fallback>
          <w:pict>
            <v:shape w14:anchorId="558656AE" id="bd4aaf7a-03a6-11ee-8f29-0242ac130005" o:spid="_x0000_s1038"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3F2843" w14:paraId="49C69AED" w14:textId="77777777">
                      <w:trPr>
                        <w:trHeight w:val="200"/>
                      </w:trPr>
                      <w:tc>
                        <w:tcPr>
                          <w:tcW w:w="1140" w:type="dxa"/>
                        </w:tcPr>
                        <w:p w14:paraId="4C11604F" w14:textId="77777777" w:rsidR="003F2843" w:rsidRDefault="003F2843"/>
                      </w:tc>
                      <w:tc>
                        <w:tcPr>
                          <w:tcW w:w="5400" w:type="dxa"/>
                        </w:tcPr>
                        <w:p w14:paraId="51A88A18" w14:textId="77777777" w:rsidR="003F2843" w:rsidRDefault="003F2843"/>
                      </w:tc>
                    </w:tr>
                    <w:tr w:rsidR="003F2843" w14:paraId="29517BA1" w14:textId="77777777">
                      <w:trPr>
                        <w:trHeight w:val="240"/>
                      </w:trPr>
                      <w:tc>
                        <w:tcPr>
                          <w:tcW w:w="1140" w:type="dxa"/>
                        </w:tcPr>
                        <w:p w14:paraId="633258A0" w14:textId="77777777" w:rsidR="003F2843" w:rsidRDefault="004E2F8D">
                          <w:r>
                            <w:t>Datum</w:t>
                          </w:r>
                        </w:p>
                      </w:tc>
                      <w:tc>
                        <w:tcPr>
                          <w:tcW w:w="5400" w:type="dxa"/>
                        </w:tcPr>
                        <w:p w14:paraId="1D7EECDC" w14:textId="5FCE5FF7" w:rsidR="003F2843" w:rsidRDefault="001F06F7">
                          <w:r>
                            <w:t>26-09-2025</w:t>
                          </w:r>
                        </w:p>
                      </w:tc>
                    </w:tr>
                    <w:tr w:rsidR="003F2843" w14:paraId="391A8757" w14:textId="77777777">
                      <w:trPr>
                        <w:trHeight w:val="240"/>
                      </w:trPr>
                      <w:tc>
                        <w:tcPr>
                          <w:tcW w:w="1140" w:type="dxa"/>
                        </w:tcPr>
                        <w:p w14:paraId="3600A2CF" w14:textId="77777777" w:rsidR="003F2843" w:rsidRDefault="004E2F8D">
                          <w:r>
                            <w:t>Betreft</w:t>
                          </w:r>
                        </w:p>
                      </w:tc>
                      <w:tc>
                        <w:tcPr>
                          <w:tcW w:w="5400" w:type="dxa"/>
                        </w:tcPr>
                        <w:p w14:paraId="5172B870" w14:textId="5CA3929C" w:rsidR="003F2843" w:rsidRDefault="00584FE8">
                          <w:r>
                            <w:fldChar w:fldCharType="begin"/>
                          </w:r>
                          <w:r>
                            <w:instrText xml:space="preserve"> DOCPROPERTY  "Onderwerp"  \* MERGEFORMAT </w:instrText>
                          </w:r>
                          <w:r>
                            <w:fldChar w:fldCharType="separate"/>
                          </w:r>
                          <w:r>
                            <w:t>Overzicht van fiscale prikkels om circulaire transitie te versnellen</w:t>
                          </w:r>
                          <w:r>
                            <w:fldChar w:fldCharType="end"/>
                          </w:r>
                        </w:p>
                      </w:tc>
                    </w:tr>
                    <w:tr w:rsidR="003F2843" w14:paraId="28A9AAE9" w14:textId="77777777">
                      <w:trPr>
                        <w:trHeight w:val="200"/>
                      </w:trPr>
                      <w:tc>
                        <w:tcPr>
                          <w:tcW w:w="1140" w:type="dxa"/>
                        </w:tcPr>
                        <w:p w14:paraId="49C6E89A" w14:textId="77777777" w:rsidR="003F2843" w:rsidRDefault="003F2843"/>
                      </w:tc>
                      <w:tc>
                        <w:tcPr>
                          <w:tcW w:w="4738" w:type="dxa"/>
                        </w:tcPr>
                        <w:p w14:paraId="6ED6272C" w14:textId="77777777" w:rsidR="003F2843" w:rsidRDefault="003F2843"/>
                      </w:tc>
                    </w:tr>
                  </w:tbl>
                  <w:p w14:paraId="100E8417" w14:textId="77777777" w:rsidR="00A30232" w:rsidRDefault="00A3023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13AF6A6" wp14:editId="0E15114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43C73BC" w14:textId="47B52963" w:rsidR="00743CED" w:rsidRDefault="00584FE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3AF6A6" id="bd5d814d-03a6-11ee-8f29-0242ac130005" o:spid="_x0000_s1039"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ARL1xmTAQAAFQMA&#10;AA4AAAAAAAAAAAAAAAAALgIAAGRycy9lMm9Eb2MueG1sUEsBAi0AFAAGAAgAAAAhAPVV9H3iAAAA&#10;DQEAAA8AAAAAAAAAAAAAAAAA7QMAAGRycy9kb3ducmV2LnhtbFBLBQYAAAAABAAEAPMAAAD8BAAA&#10;AAA=&#10;" filled="f" stroked="f">
              <v:textbox inset="0,0,0,0">
                <w:txbxContent>
                  <w:p w14:paraId="243C73BC" w14:textId="47B52963" w:rsidR="00743CED" w:rsidRDefault="00584FE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5943A103" wp14:editId="1284C4FD">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DB1121F" w14:textId="77777777" w:rsidR="00A30232" w:rsidRDefault="00A30232"/>
                      </w:txbxContent>
                    </wps:txbx>
                    <wps:bodyPr vert="horz" wrap="square" lIns="0" tIns="0" rIns="0" bIns="0" anchor="t" anchorCtr="0"/>
                  </wps:wsp>
                </a:graphicData>
              </a:graphic>
            </wp:anchor>
          </w:drawing>
        </mc:Choice>
        <mc:Fallback>
          <w:pict>
            <v:shape w14:anchorId="5943A103" id="bd5a43b8-03a6-11ee-8f29-0242ac130005" o:spid="_x0000_s1040"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vLS3hpMBAAAVAwAA&#10;DgAAAAAAAAAAAAAAAAAuAgAAZHJzL2Uyb0RvYy54bWxQSwECLQAUAAYACAAAACEAaMMfuuEAAAAM&#10;AQAADwAAAAAAAAAAAAAAAADtAwAAZHJzL2Rvd25yZXYueG1sUEsFBgAAAAAEAAQA8wAAAPsEAAAA&#10;AA==&#10;" filled="f" stroked="f">
              <v:textbox inset="0,0,0,0">
                <w:txbxContent>
                  <w:p w14:paraId="6DB1121F" w14:textId="77777777" w:rsidR="00A30232" w:rsidRDefault="00A3023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3837FC"/>
    <w:multiLevelType w:val="multilevel"/>
    <w:tmpl w:val="972FB1E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D613FF"/>
    <w:multiLevelType w:val="multilevel"/>
    <w:tmpl w:val="70C65FE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640FC2"/>
    <w:multiLevelType w:val="multilevel"/>
    <w:tmpl w:val="B706E5E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30E0AA"/>
    <w:multiLevelType w:val="multilevel"/>
    <w:tmpl w:val="C09A70D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B196B7"/>
    <w:multiLevelType w:val="multilevel"/>
    <w:tmpl w:val="864A73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5EE8533"/>
    <w:multiLevelType w:val="multilevel"/>
    <w:tmpl w:val="9D42BB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E0D477A"/>
    <w:multiLevelType w:val="hybridMultilevel"/>
    <w:tmpl w:val="84F05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C90A03"/>
    <w:multiLevelType w:val="hybridMultilevel"/>
    <w:tmpl w:val="8CB68B10"/>
    <w:lvl w:ilvl="0" w:tplc="798EB276">
      <w:start w:val="1"/>
      <w:numFmt w:val="lowerLetter"/>
      <w:lvlText w:val="%1)"/>
      <w:lvlJc w:val="left"/>
      <w:pPr>
        <w:ind w:left="1020" w:hanging="360"/>
      </w:pPr>
    </w:lvl>
    <w:lvl w:ilvl="1" w:tplc="C646E9F0">
      <w:start w:val="1"/>
      <w:numFmt w:val="lowerLetter"/>
      <w:lvlText w:val="%2)"/>
      <w:lvlJc w:val="left"/>
      <w:pPr>
        <w:ind w:left="1020" w:hanging="360"/>
      </w:pPr>
    </w:lvl>
    <w:lvl w:ilvl="2" w:tplc="51E07528">
      <w:start w:val="1"/>
      <w:numFmt w:val="lowerLetter"/>
      <w:lvlText w:val="%3)"/>
      <w:lvlJc w:val="left"/>
      <w:pPr>
        <w:ind w:left="1020" w:hanging="360"/>
      </w:pPr>
    </w:lvl>
    <w:lvl w:ilvl="3" w:tplc="E9B0954C">
      <w:start w:val="1"/>
      <w:numFmt w:val="lowerLetter"/>
      <w:lvlText w:val="%4)"/>
      <w:lvlJc w:val="left"/>
      <w:pPr>
        <w:ind w:left="1020" w:hanging="360"/>
      </w:pPr>
    </w:lvl>
    <w:lvl w:ilvl="4" w:tplc="12FC9342">
      <w:start w:val="1"/>
      <w:numFmt w:val="lowerLetter"/>
      <w:lvlText w:val="%5)"/>
      <w:lvlJc w:val="left"/>
      <w:pPr>
        <w:ind w:left="1020" w:hanging="360"/>
      </w:pPr>
    </w:lvl>
    <w:lvl w:ilvl="5" w:tplc="B9E4DC96">
      <w:start w:val="1"/>
      <w:numFmt w:val="lowerLetter"/>
      <w:lvlText w:val="%6)"/>
      <w:lvlJc w:val="left"/>
      <w:pPr>
        <w:ind w:left="1020" w:hanging="360"/>
      </w:pPr>
    </w:lvl>
    <w:lvl w:ilvl="6" w:tplc="29668446">
      <w:start w:val="1"/>
      <w:numFmt w:val="lowerLetter"/>
      <w:lvlText w:val="%7)"/>
      <w:lvlJc w:val="left"/>
      <w:pPr>
        <w:ind w:left="1020" w:hanging="360"/>
      </w:pPr>
    </w:lvl>
    <w:lvl w:ilvl="7" w:tplc="0980C3DA">
      <w:start w:val="1"/>
      <w:numFmt w:val="lowerLetter"/>
      <w:lvlText w:val="%8)"/>
      <w:lvlJc w:val="left"/>
      <w:pPr>
        <w:ind w:left="1020" w:hanging="360"/>
      </w:pPr>
    </w:lvl>
    <w:lvl w:ilvl="8" w:tplc="11C04FB0">
      <w:start w:val="1"/>
      <w:numFmt w:val="lowerLetter"/>
      <w:lvlText w:val="%9)"/>
      <w:lvlJc w:val="left"/>
      <w:pPr>
        <w:ind w:left="1020" w:hanging="360"/>
      </w:pPr>
    </w:lvl>
  </w:abstractNum>
  <w:num w:numId="1" w16cid:durableId="1570308993">
    <w:abstractNumId w:val="1"/>
  </w:num>
  <w:num w:numId="2" w16cid:durableId="1792285448">
    <w:abstractNumId w:val="0"/>
  </w:num>
  <w:num w:numId="3" w16cid:durableId="1618639381">
    <w:abstractNumId w:val="4"/>
  </w:num>
  <w:num w:numId="4" w16cid:durableId="625625308">
    <w:abstractNumId w:val="5"/>
  </w:num>
  <w:num w:numId="5" w16cid:durableId="1616323768">
    <w:abstractNumId w:val="2"/>
  </w:num>
  <w:num w:numId="6" w16cid:durableId="40832446">
    <w:abstractNumId w:val="3"/>
  </w:num>
  <w:num w:numId="7" w16cid:durableId="1566792931">
    <w:abstractNumId w:val="6"/>
  </w:num>
  <w:num w:numId="8" w16cid:durableId="1235507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43"/>
    <w:rsid w:val="0000158C"/>
    <w:rsid w:val="00003819"/>
    <w:rsid w:val="000039AB"/>
    <w:rsid w:val="000148D2"/>
    <w:rsid w:val="00026106"/>
    <w:rsid w:val="000271E1"/>
    <w:rsid w:val="00034FCE"/>
    <w:rsid w:val="00042FE9"/>
    <w:rsid w:val="0004438B"/>
    <w:rsid w:val="00050150"/>
    <w:rsid w:val="000548F8"/>
    <w:rsid w:val="00057A2E"/>
    <w:rsid w:val="00060E58"/>
    <w:rsid w:val="00063829"/>
    <w:rsid w:val="00083123"/>
    <w:rsid w:val="00083952"/>
    <w:rsid w:val="00095344"/>
    <w:rsid w:val="000C371F"/>
    <w:rsid w:val="000D6604"/>
    <w:rsid w:val="000E3865"/>
    <w:rsid w:val="000E7448"/>
    <w:rsid w:val="000F072B"/>
    <w:rsid w:val="000F08BA"/>
    <w:rsid w:val="000F569D"/>
    <w:rsid w:val="000F6EBC"/>
    <w:rsid w:val="00106470"/>
    <w:rsid w:val="001314BB"/>
    <w:rsid w:val="00135877"/>
    <w:rsid w:val="0013696F"/>
    <w:rsid w:val="00141EB2"/>
    <w:rsid w:val="00154F8A"/>
    <w:rsid w:val="00160A47"/>
    <w:rsid w:val="00162CED"/>
    <w:rsid w:val="001711A8"/>
    <w:rsid w:val="001759D7"/>
    <w:rsid w:val="001762BE"/>
    <w:rsid w:val="00177F97"/>
    <w:rsid w:val="00192960"/>
    <w:rsid w:val="001A39B4"/>
    <w:rsid w:val="001A6CE0"/>
    <w:rsid w:val="001C1872"/>
    <w:rsid w:val="001F06F7"/>
    <w:rsid w:val="001F1B21"/>
    <w:rsid w:val="001F3BF7"/>
    <w:rsid w:val="00217D94"/>
    <w:rsid w:val="0022252E"/>
    <w:rsid w:val="0022595C"/>
    <w:rsid w:val="00225BEE"/>
    <w:rsid w:val="0023134D"/>
    <w:rsid w:val="0023356C"/>
    <w:rsid w:val="00247009"/>
    <w:rsid w:val="00250E0F"/>
    <w:rsid w:val="00254691"/>
    <w:rsid w:val="002622CB"/>
    <w:rsid w:val="00270C42"/>
    <w:rsid w:val="002745D4"/>
    <w:rsid w:val="002762E6"/>
    <w:rsid w:val="00286281"/>
    <w:rsid w:val="0029309F"/>
    <w:rsid w:val="00296FC0"/>
    <w:rsid w:val="00297B8A"/>
    <w:rsid w:val="002A654A"/>
    <w:rsid w:val="002A7D54"/>
    <w:rsid w:val="002D3D6B"/>
    <w:rsid w:val="002D593D"/>
    <w:rsid w:val="002D6F0B"/>
    <w:rsid w:val="002E0C97"/>
    <w:rsid w:val="002E291B"/>
    <w:rsid w:val="002E7AA6"/>
    <w:rsid w:val="00303D7D"/>
    <w:rsid w:val="00306F02"/>
    <w:rsid w:val="003229E8"/>
    <w:rsid w:val="00323F1D"/>
    <w:rsid w:val="00324C5C"/>
    <w:rsid w:val="00327F6A"/>
    <w:rsid w:val="00332D6A"/>
    <w:rsid w:val="003764D9"/>
    <w:rsid w:val="003B25F6"/>
    <w:rsid w:val="003B2759"/>
    <w:rsid w:val="003C5753"/>
    <w:rsid w:val="003E14F8"/>
    <w:rsid w:val="003E5938"/>
    <w:rsid w:val="003F2843"/>
    <w:rsid w:val="003F6585"/>
    <w:rsid w:val="004018F5"/>
    <w:rsid w:val="00407E06"/>
    <w:rsid w:val="00411B49"/>
    <w:rsid w:val="00411F98"/>
    <w:rsid w:val="004126FD"/>
    <w:rsid w:val="004149BB"/>
    <w:rsid w:val="00422C9E"/>
    <w:rsid w:val="00441982"/>
    <w:rsid w:val="0044549E"/>
    <w:rsid w:val="00446E75"/>
    <w:rsid w:val="00446FDC"/>
    <w:rsid w:val="00451BC1"/>
    <w:rsid w:val="00453CC4"/>
    <w:rsid w:val="004562A2"/>
    <w:rsid w:val="0046207F"/>
    <w:rsid w:val="00462C38"/>
    <w:rsid w:val="00466A12"/>
    <w:rsid w:val="0047147D"/>
    <w:rsid w:val="004A4893"/>
    <w:rsid w:val="004C0389"/>
    <w:rsid w:val="004D3188"/>
    <w:rsid w:val="004D60A2"/>
    <w:rsid w:val="004D62B6"/>
    <w:rsid w:val="004E20CB"/>
    <w:rsid w:val="004E2F8D"/>
    <w:rsid w:val="004E5664"/>
    <w:rsid w:val="004F0BFF"/>
    <w:rsid w:val="00531DB1"/>
    <w:rsid w:val="005444D9"/>
    <w:rsid w:val="00544D9D"/>
    <w:rsid w:val="0057014C"/>
    <w:rsid w:val="00580789"/>
    <w:rsid w:val="00582453"/>
    <w:rsid w:val="00584FE8"/>
    <w:rsid w:val="0059235C"/>
    <w:rsid w:val="005A0865"/>
    <w:rsid w:val="005B4B80"/>
    <w:rsid w:val="005B6220"/>
    <w:rsid w:val="005C2399"/>
    <w:rsid w:val="005C4E34"/>
    <w:rsid w:val="005D7D05"/>
    <w:rsid w:val="005E5520"/>
    <w:rsid w:val="005F1FF3"/>
    <w:rsid w:val="00606977"/>
    <w:rsid w:val="00607C88"/>
    <w:rsid w:val="00613296"/>
    <w:rsid w:val="0061369F"/>
    <w:rsid w:val="006228A1"/>
    <w:rsid w:val="00630DA8"/>
    <w:rsid w:val="00632B0B"/>
    <w:rsid w:val="006366B2"/>
    <w:rsid w:val="00636B33"/>
    <w:rsid w:val="006370FD"/>
    <w:rsid w:val="006372CA"/>
    <w:rsid w:val="006376CE"/>
    <w:rsid w:val="00641108"/>
    <w:rsid w:val="00652AC6"/>
    <w:rsid w:val="0066261B"/>
    <w:rsid w:val="0066496A"/>
    <w:rsid w:val="00672644"/>
    <w:rsid w:val="006B231B"/>
    <w:rsid w:val="006D1DD4"/>
    <w:rsid w:val="006D2297"/>
    <w:rsid w:val="006D42CD"/>
    <w:rsid w:val="006D6BA4"/>
    <w:rsid w:val="006E0161"/>
    <w:rsid w:val="006E074B"/>
    <w:rsid w:val="006E0A38"/>
    <w:rsid w:val="006E495B"/>
    <w:rsid w:val="006E59CF"/>
    <w:rsid w:val="006E5DEB"/>
    <w:rsid w:val="006E619D"/>
    <w:rsid w:val="006F6732"/>
    <w:rsid w:val="006F6890"/>
    <w:rsid w:val="00701685"/>
    <w:rsid w:val="00704027"/>
    <w:rsid w:val="00710B07"/>
    <w:rsid w:val="00710D4D"/>
    <w:rsid w:val="00712352"/>
    <w:rsid w:val="00713F3F"/>
    <w:rsid w:val="007224E8"/>
    <w:rsid w:val="00723BB3"/>
    <w:rsid w:val="00724BB4"/>
    <w:rsid w:val="00727E33"/>
    <w:rsid w:val="00734D15"/>
    <w:rsid w:val="00740DCF"/>
    <w:rsid w:val="00743CED"/>
    <w:rsid w:val="007451D0"/>
    <w:rsid w:val="0075410B"/>
    <w:rsid w:val="00776A9B"/>
    <w:rsid w:val="0078367A"/>
    <w:rsid w:val="00786E62"/>
    <w:rsid w:val="007956C5"/>
    <w:rsid w:val="007A2ECE"/>
    <w:rsid w:val="007A2EE6"/>
    <w:rsid w:val="007B5527"/>
    <w:rsid w:val="007B74D5"/>
    <w:rsid w:val="007D0F55"/>
    <w:rsid w:val="007D769C"/>
    <w:rsid w:val="007E2C5A"/>
    <w:rsid w:val="007F1DEB"/>
    <w:rsid w:val="007F38A3"/>
    <w:rsid w:val="008144C2"/>
    <w:rsid w:val="00814BAC"/>
    <w:rsid w:val="00821C5D"/>
    <w:rsid w:val="00821E99"/>
    <w:rsid w:val="00831941"/>
    <w:rsid w:val="00832185"/>
    <w:rsid w:val="00840888"/>
    <w:rsid w:val="008616AD"/>
    <w:rsid w:val="0086282E"/>
    <w:rsid w:val="00884864"/>
    <w:rsid w:val="008B6262"/>
    <w:rsid w:val="008E6A8E"/>
    <w:rsid w:val="008F73BB"/>
    <w:rsid w:val="00916C6A"/>
    <w:rsid w:val="00926177"/>
    <w:rsid w:val="009315E0"/>
    <w:rsid w:val="00936558"/>
    <w:rsid w:val="00942257"/>
    <w:rsid w:val="00944CC0"/>
    <w:rsid w:val="00956061"/>
    <w:rsid w:val="00964D43"/>
    <w:rsid w:val="00987D95"/>
    <w:rsid w:val="00993A9A"/>
    <w:rsid w:val="009A278D"/>
    <w:rsid w:val="009A395A"/>
    <w:rsid w:val="009A466A"/>
    <w:rsid w:val="009A523B"/>
    <w:rsid w:val="009A5CA9"/>
    <w:rsid w:val="009B36FD"/>
    <w:rsid w:val="009D1670"/>
    <w:rsid w:val="009E117E"/>
    <w:rsid w:val="009E53B8"/>
    <w:rsid w:val="00A048E8"/>
    <w:rsid w:val="00A05A0F"/>
    <w:rsid w:val="00A21ACA"/>
    <w:rsid w:val="00A2752B"/>
    <w:rsid w:val="00A30232"/>
    <w:rsid w:val="00A44A3A"/>
    <w:rsid w:val="00A44C72"/>
    <w:rsid w:val="00A5069C"/>
    <w:rsid w:val="00A54804"/>
    <w:rsid w:val="00A6010E"/>
    <w:rsid w:val="00A67103"/>
    <w:rsid w:val="00A676A3"/>
    <w:rsid w:val="00A70218"/>
    <w:rsid w:val="00A80D42"/>
    <w:rsid w:val="00A85E6D"/>
    <w:rsid w:val="00A93C32"/>
    <w:rsid w:val="00AA0259"/>
    <w:rsid w:val="00AA2865"/>
    <w:rsid w:val="00AA3153"/>
    <w:rsid w:val="00AA47AB"/>
    <w:rsid w:val="00AA7549"/>
    <w:rsid w:val="00AC428E"/>
    <w:rsid w:val="00AC753D"/>
    <w:rsid w:val="00AD1CEF"/>
    <w:rsid w:val="00AD676C"/>
    <w:rsid w:val="00AD6F1A"/>
    <w:rsid w:val="00AD7BF0"/>
    <w:rsid w:val="00AE18CE"/>
    <w:rsid w:val="00AE1A41"/>
    <w:rsid w:val="00AE4D35"/>
    <w:rsid w:val="00AE54A7"/>
    <w:rsid w:val="00AF111A"/>
    <w:rsid w:val="00AF3312"/>
    <w:rsid w:val="00AF3673"/>
    <w:rsid w:val="00AF463F"/>
    <w:rsid w:val="00B01CD5"/>
    <w:rsid w:val="00B03788"/>
    <w:rsid w:val="00B03ED5"/>
    <w:rsid w:val="00B116C2"/>
    <w:rsid w:val="00B13507"/>
    <w:rsid w:val="00B16C36"/>
    <w:rsid w:val="00B20B3F"/>
    <w:rsid w:val="00B232D1"/>
    <w:rsid w:val="00B27A63"/>
    <w:rsid w:val="00B27D32"/>
    <w:rsid w:val="00B36A7C"/>
    <w:rsid w:val="00B37810"/>
    <w:rsid w:val="00B436E2"/>
    <w:rsid w:val="00B45F8D"/>
    <w:rsid w:val="00B73172"/>
    <w:rsid w:val="00B763F1"/>
    <w:rsid w:val="00B80CB1"/>
    <w:rsid w:val="00B93B05"/>
    <w:rsid w:val="00BB4B2F"/>
    <w:rsid w:val="00BC18A3"/>
    <w:rsid w:val="00BC261A"/>
    <w:rsid w:val="00BD2CC8"/>
    <w:rsid w:val="00BD7A3B"/>
    <w:rsid w:val="00BE662D"/>
    <w:rsid w:val="00BF6D3A"/>
    <w:rsid w:val="00C00E47"/>
    <w:rsid w:val="00C02457"/>
    <w:rsid w:val="00C1394D"/>
    <w:rsid w:val="00C14C17"/>
    <w:rsid w:val="00C2659D"/>
    <w:rsid w:val="00C451B4"/>
    <w:rsid w:val="00C4667A"/>
    <w:rsid w:val="00C61207"/>
    <w:rsid w:val="00C65753"/>
    <w:rsid w:val="00C66E95"/>
    <w:rsid w:val="00C92E6F"/>
    <w:rsid w:val="00CB6E8B"/>
    <w:rsid w:val="00CB7ADC"/>
    <w:rsid w:val="00CC2A52"/>
    <w:rsid w:val="00CE12C2"/>
    <w:rsid w:val="00CE2740"/>
    <w:rsid w:val="00CE6293"/>
    <w:rsid w:val="00CF156E"/>
    <w:rsid w:val="00D167BD"/>
    <w:rsid w:val="00D16BC5"/>
    <w:rsid w:val="00D30404"/>
    <w:rsid w:val="00D353DC"/>
    <w:rsid w:val="00D3624F"/>
    <w:rsid w:val="00D37AA3"/>
    <w:rsid w:val="00D432B8"/>
    <w:rsid w:val="00D45775"/>
    <w:rsid w:val="00D47016"/>
    <w:rsid w:val="00D4723D"/>
    <w:rsid w:val="00D533E0"/>
    <w:rsid w:val="00D543D6"/>
    <w:rsid w:val="00D66AB4"/>
    <w:rsid w:val="00D745EE"/>
    <w:rsid w:val="00D77933"/>
    <w:rsid w:val="00DC4DA5"/>
    <w:rsid w:val="00DC56C9"/>
    <w:rsid w:val="00DE1CB6"/>
    <w:rsid w:val="00DE5385"/>
    <w:rsid w:val="00E002BB"/>
    <w:rsid w:val="00E027F7"/>
    <w:rsid w:val="00E04144"/>
    <w:rsid w:val="00E075E0"/>
    <w:rsid w:val="00E214F9"/>
    <w:rsid w:val="00E2151B"/>
    <w:rsid w:val="00E4195A"/>
    <w:rsid w:val="00E52FFF"/>
    <w:rsid w:val="00E62A7E"/>
    <w:rsid w:val="00E63136"/>
    <w:rsid w:val="00E674A5"/>
    <w:rsid w:val="00E725F0"/>
    <w:rsid w:val="00E72C23"/>
    <w:rsid w:val="00E85BB3"/>
    <w:rsid w:val="00E87984"/>
    <w:rsid w:val="00EA3F03"/>
    <w:rsid w:val="00EC4BFB"/>
    <w:rsid w:val="00EC54EC"/>
    <w:rsid w:val="00ED13B6"/>
    <w:rsid w:val="00ED2A2A"/>
    <w:rsid w:val="00EE3535"/>
    <w:rsid w:val="00EE3E09"/>
    <w:rsid w:val="00EF3B4B"/>
    <w:rsid w:val="00F00446"/>
    <w:rsid w:val="00F0056A"/>
    <w:rsid w:val="00F016BE"/>
    <w:rsid w:val="00F06D7A"/>
    <w:rsid w:val="00F13B05"/>
    <w:rsid w:val="00F21FC0"/>
    <w:rsid w:val="00F279B5"/>
    <w:rsid w:val="00F449F2"/>
    <w:rsid w:val="00F528FD"/>
    <w:rsid w:val="00F55C59"/>
    <w:rsid w:val="00F65FED"/>
    <w:rsid w:val="00F737E4"/>
    <w:rsid w:val="00F746A9"/>
    <w:rsid w:val="00F911D3"/>
    <w:rsid w:val="00FA3CEC"/>
    <w:rsid w:val="00FA541F"/>
    <w:rsid w:val="00FA79AF"/>
    <w:rsid w:val="00FB5FBA"/>
    <w:rsid w:val="0143534D"/>
    <w:rsid w:val="03ED478B"/>
    <w:rsid w:val="046369E1"/>
    <w:rsid w:val="0818DD16"/>
    <w:rsid w:val="0ABE3EC8"/>
    <w:rsid w:val="0EC233A6"/>
    <w:rsid w:val="159F6E87"/>
    <w:rsid w:val="1934D38B"/>
    <w:rsid w:val="1B488212"/>
    <w:rsid w:val="1D759564"/>
    <w:rsid w:val="1DE1A020"/>
    <w:rsid w:val="1EA3D20A"/>
    <w:rsid w:val="21BFBBB4"/>
    <w:rsid w:val="25C3B092"/>
    <w:rsid w:val="2743BE48"/>
    <w:rsid w:val="27CA5227"/>
    <w:rsid w:val="291CCAE3"/>
    <w:rsid w:val="298D85CC"/>
    <w:rsid w:val="2E9E0153"/>
    <w:rsid w:val="2F824EDC"/>
    <w:rsid w:val="317A4FE8"/>
    <w:rsid w:val="33610B85"/>
    <w:rsid w:val="33C87822"/>
    <w:rsid w:val="364C6045"/>
    <w:rsid w:val="3A42A71C"/>
    <w:rsid w:val="3EC1DEB7"/>
    <w:rsid w:val="41FBDC5E"/>
    <w:rsid w:val="43CC004F"/>
    <w:rsid w:val="45837AEB"/>
    <w:rsid w:val="472D4494"/>
    <w:rsid w:val="51B8A734"/>
    <w:rsid w:val="53E35309"/>
    <w:rsid w:val="54222D72"/>
    <w:rsid w:val="54E6579A"/>
    <w:rsid w:val="55D58706"/>
    <w:rsid w:val="58215CF3"/>
    <w:rsid w:val="593E2159"/>
    <w:rsid w:val="5A39D0D7"/>
    <w:rsid w:val="5AF41636"/>
    <w:rsid w:val="5B949BC0"/>
    <w:rsid w:val="5D258A3E"/>
    <w:rsid w:val="612487E9"/>
    <w:rsid w:val="63AA684A"/>
    <w:rsid w:val="6A03A89F"/>
    <w:rsid w:val="758A87EC"/>
    <w:rsid w:val="75F45D01"/>
    <w:rsid w:val="763EE396"/>
    <w:rsid w:val="793B405C"/>
    <w:rsid w:val="7B6A1A16"/>
    <w:rsid w:val="7D98FE68"/>
    <w:rsid w:val="7FCE3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E5FE"/>
  <w15:docId w15:val="{DCD57C37-15B8-464C-99B0-4088AFBD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6010E"/>
    <w:pPr>
      <w:spacing w:line="240" w:lineRule="atLeast"/>
    </w:pPr>
    <w:rPr>
      <w:rFonts w:ascii="Verdana" w:hAnsi="Verdana"/>
      <w:color w:val="000000"/>
      <w:sz w:val="18"/>
      <w:szCs w:val="18"/>
    </w:rPr>
  </w:style>
  <w:style w:type="paragraph" w:styleId="Kop1">
    <w:name w:val="heading 1"/>
    <w:basedOn w:val="Standaard"/>
    <w:next w:val="Standaard"/>
    <w:link w:val="Kop1Char"/>
    <w:uiPriority w:val="99"/>
    <w:semiHidden/>
    <w:rsid w:val="0075410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027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27F7"/>
    <w:rPr>
      <w:rFonts w:ascii="Verdana" w:hAnsi="Verdana"/>
      <w:color w:val="000000"/>
      <w:sz w:val="18"/>
      <w:szCs w:val="18"/>
    </w:rPr>
  </w:style>
  <w:style w:type="paragraph" w:styleId="Voettekst">
    <w:name w:val="footer"/>
    <w:basedOn w:val="Standaard"/>
    <w:link w:val="VoettekstChar"/>
    <w:uiPriority w:val="99"/>
    <w:unhideWhenUsed/>
    <w:rsid w:val="00E027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27F7"/>
    <w:rPr>
      <w:rFonts w:ascii="Verdana" w:hAnsi="Verdana"/>
      <w:color w:val="000000"/>
      <w:sz w:val="18"/>
      <w:szCs w:val="18"/>
    </w:rPr>
  </w:style>
  <w:style w:type="paragraph" w:styleId="Voetnoottekst">
    <w:name w:val="footnote text"/>
    <w:basedOn w:val="Standaard"/>
    <w:link w:val="VoetnoottekstChar"/>
    <w:uiPriority w:val="99"/>
    <w:semiHidden/>
    <w:unhideWhenUsed/>
    <w:rsid w:val="00E027F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027F7"/>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027F7"/>
    <w:rPr>
      <w:vertAlign w:val="superscript"/>
    </w:rPr>
  </w:style>
  <w:style w:type="paragraph" w:styleId="Revisie">
    <w:name w:val="Revision"/>
    <w:hidden/>
    <w:uiPriority w:val="99"/>
    <w:semiHidden/>
    <w:rsid w:val="002762E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762E6"/>
    <w:rPr>
      <w:sz w:val="16"/>
      <w:szCs w:val="16"/>
    </w:rPr>
  </w:style>
  <w:style w:type="paragraph" w:styleId="Tekstopmerking">
    <w:name w:val="annotation text"/>
    <w:basedOn w:val="Standaard"/>
    <w:link w:val="TekstopmerkingChar"/>
    <w:uiPriority w:val="99"/>
    <w:unhideWhenUsed/>
    <w:rsid w:val="002762E6"/>
    <w:pPr>
      <w:spacing w:line="240" w:lineRule="auto"/>
    </w:pPr>
    <w:rPr>
      <w:sz w:val="20"/>
      <w:szCs w:val="20"/>
    </w:rPr>
  </w:style>
  <w:style w:type="character" w:customStyle="1" w:styleId="TekstopmerkingChar">
    <w:name w:val="Tekst opmerking Char"/>
    <w:basedOn w:val="Standaardalinea-lettertype"/>
    <w:link w:val="Tekstopmerking"/>
    <w:uiPriority w:val="99"/>
    <w:rsid w:val="002762E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762E6"/>
    <w:rPr>
      <w:b/>
      <w:bCs/>
    </w:rPr>
  </w:style>
  <w:style w:type="character" w:customStyle="1" w:styleId="OnderwerpvanopmerkingChar">
    <w:name w:val="Onderwerp van opmerking Char"/>
    <w:basedOn w:val="TekstopmerkingChar"/>
    <w:link w:val="Onderwerpvanopmerking"/>
    <w:uiPriority w:val="99"/>
    <w:semiHidden/>
    <w:rsid w:val="002762E6"/>
    <w:rPr>
      <w:rFonts w:ascii="Verdana" w:hAnsi="Verdana"/>
      <w:b/>
      <w:bCs/>
      <w:color w:val="000000"/>
    </w:rPr>
  </w:style>
  <w:style w:type="character" w:styleId="Onopgelostemelding">
    <w:name w:val="Unresolved Mention"/>
    <w:basedOn w:val="Standaardalinea-lettertype"/>
    <w:uiPriority w:val="99"/>
    <w:semiHidden/>
    <w:unhideWhenUsed/>
    <w:rsid w:val="00CF156E"/>
    <w:rPr>
      <w:color w:val="605E5C"/>
      <w:shd w:val="clear" w:color="auto" w:fill="E1DFDD"/>
    </w:rPr>
  </w:style>
  <w:style w:type="character" w:styleId="GevolgdeHyperlink">
    <w:name w:val="FollowedHyperlink"/>
    <w:basedOn w:val="Standaardalinea-lettertype"/>
    <w:uiPriority w:val="99"/>
    <w:semiHidden/>
    <w:unhideWhenUsed/>
    <w:rsid w:val="00AA47AB"/>
    <w:rPr>
      <w:color w:val="96607D" w:themeColor="followedHyperlink"/>
      <w:u w:val="single"/>
    </w:rPr>
  </w:style>
  <w:style w:type="paragraph" w:styleId="Bijschrift">
    <w:name w:val="caption"/>
    <w:basedOn w:val="Standaard"/>
    <w:next w:val="Standaard"/>
    <w:uiPriority w:val="35"/>
    <w:unhideWhenUsed/>
    <w:qFormat/>
    <w:rsid w:val="006E59CF"/>
    <w:pPr>
      <w:spacing w:after="200" w:line="240" w:lineRule="auto"/>
    </w:pPr>
    <w:rPr>
      <w:i/>
      <w:iCs/>
      <w:color w:val="0E2841" w:themeColor="text2"/>
    </w:rPr>
  </w:style>
  <w:style w:type="character" w:customStyle="1" w:styleId="Kop1Char">
    <w:name w:val="Kop 1 Char"/>
    <w:basedOn w:val="Standaardalinea-lettertype"/>
    <w:link w:val="Kop1"/>
    <w:uiPriority w:val="99"/>
    <w:semiHidden/>
    <w:rsid w:val="0075410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74898">
      <w:bodyDiv w:val="1"/>
      <w:marLeft w:val="0"/>
      <w:marRight w:val="0"/>
      <w:marTop w:val="0"/>
      <w:marBottom w:val="0"/>
      <w:divBdr>
        <w:top w:val="none" w:sz="0" w:space="0" w:color="auto"/>
        <w:left w:val="none" w:sz="0" w:space="0" w:color="auto"/>
        <w:bottom w:val="none" w:sz="0" w:space="0" w:color="auto"/>
        <w:right w:val="none" w:sz="0" w:space="0" w:color="auto"/>
      </w:divBdr>
    </w:div>
    <w:div w:id="402340096">
      <w:bodyDiv w:val="1"/>
      <w:marLeft w:val="0"/>
      <w:marRight w:val="0"/>
      <w:marTop w:val="0"/>
      <w:marBottom w:val="0"/>
      <w:divBdr>
        <w:top w:val="none" w:sz="0" w:space="0" w:color="auto"/>
        <w:left w:val="none" w:sz="0" w:space="0" w:color="auto"/>
        <w:bottom w:val="none" w:sz="0" w:space="0" w:color="auto"/>
        <w:right w:val="none" w:sz="0" w:space="0" w:color="auto"/>
      </w:divBdr>
      <w:divsChild>
        <w:div w:id="1322319879">
          <w:marLeft w:val="0"/>
          <w:marRight w:val="0"/>
          <w:marTop w:val="0"/>
          <w:marBottom w:val="0"/>
          <w:divBdr>
            <w:top w:val="none" w:sz="0" w:space="0" w:color="auto"/>
            <w:left w:val="none" w:sz="0" w:space="0" w:color="auto"/>
            <w:bottom w:val="none" w:sz="0" w:space="0" w:color="auto"/>
            <w:right w:val="none" w:sz="0" w:space="0" w:color="auto"/>
          </w:divBdr>
        </w:div>
      </w:divsChild>
    </w:div>
    <w:div w:id="506363814">
      <w:bodyDiv w:val="1"/>
      <w:marLeft w:val="0"/>
      <w:marRight w:val="0"/>
      <w:marTop w:val="0"/>
      <w:marBottom w:val="0"/>
      <w:divBdr>
        <w:top w:val="none" w:sz="0" w:space="0" w:color="auto"/>
        <w:left w:val="none" w:sz="0" w:space="0" w:color="auto"/>
        <w:bottom w:val="none" w:sz="0" w:space="0" w:color="auto"/>
        <w:right w:val="none" w:sz="0" w:space="0" w:color="auto"/>
      </w:divBdr>
    </w:div>
    <w:div w:id="523396806">
      <w:bodyDiv w:val="1"/>
      <w:marLeft w:val="0"/>
      <w:marRight w:val="0"/>
      <w:marTop w:val="0"/>
      <w:marBottom w:val="0"/>
      <w:divBdr>
        <w:top w:val="none" w:sz="0" w:space="0" w:color="auto"/>
        <w:left w:val="none" w:sz="0" w:space="0" w:color="auto"/>
        <w:bottom w:val="none" w:sz="0" w:space="0" w:color="auto"/>
        <w:right w:val="none" w:sz="0" w:space="0" w:color="auto"/>
      </w:divBdr>
    </w:div>
    <w:div w:id="1585259879">
      <w:bodyDiv w:val="1"/>
      <w:marLeft w:val="0"/>
      <w:marRight w:val="0"/>
      <w:marTop w:val="0"/>
      <w:marBottom w:val="0"/>
      <w:divBdr>
        <w:top w:val="none" w:sz="0" w:space="0" w:color="auto"/>
        <w:left w:val="none" w:sz="0" w:space="0" w:color="auto"/>
        <w:bottom w:val="none" w:sz="0" w:space="0" w:color="auto"/>
        <w:right w:val="none" w:sz="0" w:space="0" w:color="auto"/>
      </w:divBdr>
    </w:div>
    <w:div w:id="1603805962">
      <w:bodyDiv w:val="1"/>
      <w:marLeft w:val="0"/>
      <w:marRight w:val="0"/>
      <w:marTop w:val="0"/>
      <w:marBottom w:val="0"/>
      <w:divBdr>
        <w:top w:val="none" w:sz="0" w:space="0" w:color="auto"/>
        <w:left w:val="none" w:sz="0" w:space="0" w:color="auto"/>
        <w:bottom w:val="none" w:sz="0" w:space="0" w:color="auto"/>
        <w:right w:val="none" w:sz="0" w:space="0" w:color="auto"/>
      </w:divBdr>
    </w:div>
    <w:div w:id="1636792218">
      <w:bodyDiv w:val="1"/>
      <w:marLeft w:val="0"/>
      <w:marRight w:val="0"/>
      <w:marTop w:val="0"/>
      <w:marBottom w:val="0"/>
      <w:divBdr>
        <w:top w:val="none" w:sz="0" w:space="0" w:color="auto"/>
        <w:left w:val="none" w:sz="0" w:space="0" w:color="auto"/>
        <w:bottom w:val="none" w:sz="0" w:space="0" w:color="auto"/>
        <w:right w:val="none" w:sz="0" w:space="0" w:color="auto"/>
      </w:divBdr>
    </w:div>
    <w:div w:id="1704788297">
      <w:bodyDiv w:val="1"/>
      <w:marLeft w:val="0"/>
      <w:marRight w:val="0"/>
      <w:marTop w:val="0"/>
      <w:marBottom w:val="0"/>
      <w:divBdr>
        <w:top w:val="none" w:sz="0" w:space="0" w:color="auto"/>
        <w:left w:val="none" w:sz="0" w:space="0" w:color="auto"/>
        <w:bottom w:val="none" w:sz="0" w:space="0" w:color="auto"/>
        <w:right w:val="none" w:sz="0" w:space="0" w:color="auto"/>
      </w:divBdr>
      <w:divsChild>
        <w:div w:id="50599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 Id="rId27"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04/03/definitieve-evaluatierapport-verlaagde-btw-tarief" TargetMode="External"/><Relationship Id="rId2" Type="http://schemas.openxmlformats.org/officeDocument/2006/relationships/hyperlink" Target="https://www.rijksoverheid.nl/documenten/rapporten/2025/08/20/bijlage-2-eindrapportage-plastictafel-1-juli-2025" TargetMode="External"/><Relationship Id="rId1" Type="http://schemas.openxmlformats.org/officeDocument/2006/relationships/hyperlink" Target="https://www.rijksoverheid.nl/documenten/rapporten/2025/08/20/bijlage-2-eindrapportage-plastictafel-1-juli-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1882</ap:Words>
  <ap:Characters>10351</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aan Eerste of Tweede Kamer - Overzicht van fiscale prikkels om circulaire transitie te versnellen</vt:lpstr>
    </vt:vector>
  </ap:TitlesOfParts>
  <ap:LinksUpToDate>false</ap:LinksUpToDate>
  <ap:CharactersWithSpaces>12209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2025-09-26T12:46:00.0000000Z</lastPrinted>
  <dcterms:created xsi:type="dcterms:W3CDTF">2025-09-26T12:47:00.0000000Z</dcterms:created>
  <dcterms:modified xsi:type="dcterms:W3CDTF">2025-09-26T12:47:00.0000000Z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Overzicht van fiscale prikkels om circulaire transitie te versnellen</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2025-0000452239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Overzicht van fiscale prikkels om circulaire transitie te versnellen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2025-08-08T09:40:05Z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16e06508-a526-4b5c-91ce-b75939e81ac9</vt:lpwstr>
  </property>
  <property fmtid="{D5CDD505-2E9C-101B-9397-08002B2CF9AE}" pid="37" name="MSIP_Label_b2aa6e22-2c82-48c6-bf24-1790f4b9c128_ContentBits">
    <vt:lpwstr>0</vt:lpwstr>
  </property>
  <property fmtid="{D5CDD505-2E9C-101B-9397-08002B2CF9AE}" pid="38" name="ContentTypeId">
    <vt:lpwstr>0x0101009E0E3E51B9E6154BA5CE06300301A24C</vt:lpwstr>
  </property>
  <property fmtid="{D5CDD505-2E9C-101B-9397-08002B2CF9AE}" pid="39" name="ClassificationContentMarkingFooterShapeIds">
    <vt:lpwstr>6bddb261,4fd134a,592a25a1</vt:lpwstr>
  </property>
  <property fmtid="{D5CDD505-2E9C-101B-9397-08002B2CF9AE}" pid="40" name="ClassificationContentMarkingFooterFontProps">
    <vt:lpwstr>#000000,10,Calibri</vt:lpwstr>
  </property>
  <property fmtid="{D5CDD505-2E9C-101B-9397-08002B2CF9AE}" pid="41" name="ClassificationContentMarkingFooterText">
    <vt:lpwstr>Intern gebruik</vt:lpwstr>
  </property>
</Properties>
</file>