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AD1" w:rsidR="00F70A43" w:rsidP="00F70A43" w:rsidRDefault="00F70A43" w14:paraId="637BB278" w14:textId="77777777">
      <w:pPr>
        <w:pStyle w:val="Kop2"/>
        <w:rPr>
          <w:rFonts w:ascii="Verdana" w:hAnsi="Verdana"/>
          <w:sz w:val="18"/>
          <w:szCs w:val="18"/>
        </w:rPr>
      </w:pPr>
      <w:r w:rsidRPr="00621AD1">
        <w:rPr>
          <w:rFonts w:ascii="Verdana" w:hAnsi="Verdana"/>
          <w:sz w:val="18"/>
          <w:szCs w:val="18"/>
        </w:rPr>
        <w:t>Bijlage 1: Overzicht fiscale prikkels voor de circulaire transitie</w:t>
      </w:r>
    </w:p>
    <w:p w:rsidRPr="00F92503" w:rsidR="00F70A43" w:rsidP="00F70A43" w:rsidRDefault="00F70A43" w14:paraId="1B7A95B0" w14:textId="77777777">
      <w:pPr>
        <w:rPr>
          <w:rFonts w:ascii="Verdana" w:hAnsi="Verdana"/>
          <w:sz w:val="18"/>
          <w:szCs w:val="18"/>
        </w:rPr>
      </w:pPr>
      <w:r w:rsidRPr="00621AD1">
        <w:rPr>
          <w:rFonts w:ascii="Verdana" w:hAnsi="Verdana"/>
          <w:sz w:val="18"/>
          <w:szCs w:val="18"/>
        </w:rPr>
        <w:t xml:space="preserve">In deze bijlage wordt een niet-uitputtend overzicht gepresenteerd van </w:t>
      </w:r>
      <w:r>
        <w:rPr>
          <w:rFonts w:ascii="Verdana" w:hAnsi="Verdana"/>
          <w:sz w:val="18"/>
          <w:szCs w:val="18"/>
        </w:rPr>
        <w:t>mogelijke</w:t>
      </w:r>
      <w:r w:rsidRPr="00621AD1">
        <w:rPr>
          <w:rFonts w:ascii="Verdana" w:hAnsi="Verdana"/>
          <w:sz w:val="18"/>
          <w:szCs w:val="18"/>
        </w:rPr>
        <w:t xml:space="preserve"> </w:t>
      </w:r>
      <w:r>
        <w:rPr>
          <w:rFonts w:ascii="Verdana" w:hAnsi="Verdana"/>
          <w:sz w:val="18"/>
          <w:szCs w:val="18"/>
        </w:rPr>
        <w:t xml:space="preserve">nationale </w:t>
      </w:r>
      <w:r w:rsidRPr="00621AD1">
        <w:rPr>
          <w:rFonts w:ascii="Verdana" w:hAnsi="Verdana"/>
          <w:sz w:val="18"/>
          <w:szCs w:val="18"/>
        </w:rPr>
        <w:t xml:space="preserve">fiscale prikkels die ingezet kunnen worden om de ontwikkeling van de circulaire economie te bevorderen. Daarbij wordt onderscheid gemaakt tussen bestaande instrumenten en potentiële aanvullende maatregelen die in de toekomst kunnen worden verkend. Voor elke </w:t>
      </w:r>
      <w:r>
        <w:rPr>
          <w:rFonts w:ascii="Verdana" w:hAnsi="Verdana"/>
          <w:sz w:val="18"/>
          <w:szCs w:val="18"/>
        </w:rPr>
        <w:t>maat</w:t>
      </w:r>
      <w:r w:rsidRPr="00621AD1">
        <w:rPr>
          <w:rFonts w:ascii="Verdana" w:hAnsi="Verdana"/>
          <w:sz w:val="18"/>
          <w:szCs w:val="18"/>
        </w:rPr>
        <w:t>regel wordt kort aangegeven wat de</w:t>
      </w:r>
      <w:r>
        <w:rPr>
          <w:rFonts w:ascii="Verdana" w:hAnsi="Verdana"/>
          <w:sz w:val="18"/>
          <w:szCs w:val="18"/>
        </w:rPr>
        <w:t>ze inhoudt</w:t>
      </w:r>
      <w:r w:rsidRPr="00621AD1">
        <w:rPr>
          <w:rFonts w:ascii="Verdana" w:hAnsi="Verdana"/>
          <w:sz w:val="18"/>
          <w:szCs w:val="18"/>
        </w:rPr>
        <w:t xml:space="preserve">, </w:t>
      </w:r>
      <w:r>
        <w:rPr>
          <w:rFonts w:ascii="Verdana" w:hAnsi="Verdana"/>
          <w:sz w:val="18"/>
          <w:szCs w:val="18"/>
        </w:rPr>
        <w:t xml:space="preserve">hoe deze bijdraagt aan de circulaire economie, </w:t>
      </w:r>
      <w:r w:rsidRPr="00621AD1">
        <w:rPr>
          <w:rFonts w:ascii="Verdana" w:hAnsi="Verdana"/>
          <w:sz w:val="18"/>
          <w:szCs w:val="18"/>
        </w:rPr>
        <w:t xml:space="preserve">op welke plek in de keten de </w:t>
      </w:r>
      <w:r>
        <w:rPr>
          <w:rFonts w:ascii="Verdana" w:hAnsi="Verdana"/>
          <w:sz w:val="18"/>
          <w:szCs w:val="18"/>
        </w:rPr>
        <w:t>maat</w:t>
      </w:r>
      <w:r w:rsidRPr="00621AD1">
        <w:rPr>
          <w:rFonts w:ascii="Verdana" w:hAnsi="Verdana"/>
          <w:sz w:val="18"/>
          <w:szCs w:val="18"/>
        </w:rPr>
        <w:t>regel aangrijpt en wat de appreciatie is vanuit het kabinet.</w:t>
      </w:r>
      <w:r>
        <w:rPr>
          <w:rFonts w:ascii="Verdana" w:hAnsi="Verdana"/>
          <w:sz w:val="18"/>
          <w:szCs w:val="18"/>
        </w:rPr>
        <w:t xml:space="preserve"> </w:t>
      </w:r>
      <w:r w:rsidRPr="003349CE">
        <w:rPr>
          <w:rFonts w:ascii="Verdana" w:hAnsi="Verdana"/>
          <w:sz w:val="18"/>
          <w:szCs w:val="18"/>
        </w:rPr>
        <w:t>De focus ligt bij deze verkenning op maatregelen die bijdragen aan het aanzienlijk efficiënter gebruiken van grondstoffen om negatieve milieueffecten en leveringsrisico’s te verminderen. Bij de term ‘grondstoffengebruik’ wordt er gerefereerd aan: de winning van grondstoffen en de verwerking ervan tot materialen, halffabricaten en producten.</w:t>
      </w:r>
      <w:r>
        <w:rPr>
          <w:rFonts w:ascii="Verdana" w:hAnsi="Verdana"/>
          <w:sz w:val="18"/>
          <w:szCs w:val="18"/>
        </w:rPr>
        <w:t xml:space="preserve"> </w:t>
      </w:r>
    </w:p>
    <w:tbl>
      <w:tblPr>
        <w:tblStyle w:val="Tabelrasterlicht"/>
        <w:tblW w:w="9351" w:type="dxa"/>
        <w:tblLayout w:type="fixed"/>
        <w:tblLook w:val="04A0" w:firstRow="1" w:lastRow="0" w:firstColumn="1" w:lastColumn="0" w:noHBand="0" w:noVBand="1"/>
      </w:tblPr>
      <w:tblGrid>
        <w:gridCol w:w="1555"/>
        <w:gridCol w:w="3543"/>
        <w:gridCol w:w="4253"/>
      </w:tblGrid>
      <w:tr w:rsidRPr="00621AD1" w:rsidR="00F70A43" w:rsidTr="00E90905" w14:paraId="0E6F11FC" w14:textId="77777777">
        <w:tc>
          <w:tcPr>
            <w:tcW w:w="1555" w:type="dxa"/>
            <w:shd w:val="clear" w:color="auto" w:fill="8EAADB" w:themeFill="accent1" w:themeFillTint="99"/>
            <w:hideMark/>
          </w:tcPr>
          <w:p w:rsidRPr="00621AD1" w:rsidR="00F70A43" w:rsidP="00E90905" w:rsidRDefault="00F70A43" w14:paraId="48CD5096" w14:textId="77777777">
            <w:pPr>
              <w:spacing w:after="160" w:line="259" w:lineRule="auto"/>
              <w:rPr>
                <w:rFonts w:ascii="Verdana" w:hAnsi="Verdana"/>
                <w:b/>
                <w:bCs/>
                <w:sz w:val="18"/>
                <w:szCs w:val="18"/>
              </w:rPr>
            </w:pPr>
            <w:r w:rsidRPr="00621AD1">
              <w:rPr>
                <w:rFonts w:ascii="Verdana" w:hAnsi="Verdana"/>
                <w:b/>
                <w:bCs/>
                <w:sz w:val="18"/>
                <w:szCs w:val="18"/>
              </w:rPr>
              <w:t>Prikkel / regeling</w:t>
            </w:r>
          </w:p>
          <w:p w:rsidRPr="00621AD1" w:rsidR="00F70A43" w:rsidP="00E90905" w:rsidRDefault="00F70A43" w14:paraId="0799678F" w14:textId="77777777">
            <w:pPr>
              <w:spacing w:after="160" w:line="259" w:lineRule="auto"/>
              <w:rPr>
                <w:rFonts w:ascii="Verdana" w:hAnsi="Verdana"/>
                <w:b/>
                <w:bCs/>
                <w:sz w:val="18"/>
                <w:szCs w:val="18"/>
              </w:rPr>
            </w:pPr>
            <w:r w:rsidRPr="00621AD1">
              <w:rPr>
                <w:rFonts w:ascii="Verdana" w:hAnsi="Verdana"/>
                <w:b/>
                <w:bCs/>
                <w:sz w:val="18"/>
                <w:szCs w:val="18"/>
              </w:rPr>
              <w:t xml:space="preserve">(* is een </w:t>
            </w:r>
            <w:r w:rsidRPr="008411C3">
              <w:rPr>
                <w:rFonts w:ascii="Verdana" w:hAnsi="Verdana"/>
                <w:b/>
                <w:bCs/>
                <w:sz w:val="18"/>
                <w:szCs w:val="18"/>
              </w:rPr>
              <w:t>verandering binnen bestaande regeling</w:t>
            </w:r>
            <w:r>
              <w:rPr>
                <w:rFonts w:ascii="Verdana" w:hAnsi="Verdana"/>
                <w:b/>
                <w:bCs/>
                <w:sz w:val="18"/>
                <w:szCs w:val="18"/>
              </w:rPr>
              <w:t>)</w:t>
            </w:r>
          </w:p>
        </w:tc>
        <w:tc>
          <w:tcPr>
            <w:tcW w:w="3543" w:type="dxa"/>
            <w:shd w:val="clear" w:color="auto" w:fill="8EAADB" w:themeFill="accent1" w:themeFillTint="99"/>
          </w:tcPr>
          <w:p w:rsidRPr="00621AD1" w:rsidR="00F70A43" w:rsidP="00E90905" w:rsidRDefault="00F70A43" w14:paraId="23267CFE" w14:textId="77777777">
            <w:pPr>
              <w:rPr>
                <w:rFonts w:ascii="Verdana" w:hAnsi="Verdana"/>
                <w:b/>
                <w:bCs/>
                <w:sz w:val="18"/>
                <w:szCs w:val="18"/>
              </w:rPr>
            </w:pPr>
            <w:r w:rsidRPr="00621AD1">
              <w:rPr>
                <w:rFonts w:ascii="Verdana" w:hAnsi="Verdana"/>
                <w:b/>
                <w:bCs/>
                <w:sz w:val="18"/>
                <w:szCs w:val="18"/>
              </w:rPr>
              <w:t>Omschrijving</w:t>
            </w:r>
          </w:p>
        </w:tc>
        <w:tc>
          <w:tcPr>
            <w:tcW w:w="4253" w:type="dxa"/>
            <w:shd w:val="clear" w:color="auto" w:fill="8EAADB" w:themeFill="accent1" w:themeFillTint="99"/>
            <w:hideMark/>
          </w:tcPr>
          <w:p w:rsidRPr="00621AD1" w:rsidR="00F70A43" w:rsidP="00E90905" w:rsidRDefault="00F70A43" w14:paraId="1695DDEA" w14:textId="77777777">
            <w:pPr>
              <w:spacing w:after="160" w:line="259" w:lineRule="auto"/>
              <w:rPr>
                <w:rFonts w:ascii="Verdana" w:hAnsi="Verdana"/>
                <w:b/>
                <w:bCs/>
                <w:sz w:val="18"/>
                <w:szCs w:val="18"/>
              </w:rPr>
            </w:pPr>
            <w:r w:rsidRPr="00621AD1">
              <w:rPr>
                <w:rFonts w:ascii="Verdana" w:hAnsi="Verdana"/>
                <w:b/>
                <w:bCs/>
                <w:sz w:val="18"/>
                <w:szCs w:val="18"/>
              </w:rPr>
              <w:t>Appreciatie</w:t>
            </w:r>
          </w:p>
        </w:tc>
      </w:tr>
      <w:tr w:rsidRPr="00621AD1" w:rsidR="00F70A43" w:rsidTr="00E90905" w14:paraId="7BFF80AB" w14:textId="77777777">
        <w:tc>
          <w:tcPr>
            <w:tcW w:w="9351" w:type="dxa"/>
            <w:gridSpan w:val="3"/>
            <w:shd w:val="clear" w:color="auto" w:fill="D9E2F3" w:themeFill="accent1" w:themeFillTint="33"/>
          </w:tcPr>
          <w:p w:rsidRPr="00806233" w:rsidR="00F70A43" w:rsidP="00E90905" w:rsidRDefault="00F70A43" w14:paraId="561197F5" w14:textId="77777777">
            <w:pPr>
              <w:jc w:val="center"/>
              <w:rPr>
                <w:rFonts w:ascii="Verdana" w:hAnsi="Verdana"/>
                <w:b/>
                <w:bCs/>
                <w:sz w:val="18"/>
                <w:szCs w:val="18"/>
              </w:rPr>
            </w:pPr>
            <w:r w:rsidRPr="007B53FA">
              <w:rPr>
                <w:rFonts w:ascii="Verdana" w:hAnsi="Verdana"/>
                <w:b/>
                <w:bCs/>
                <w:sz w:val="18"/>
                <w:szCs w:val="18"/>
              </w:rPr>
              <w:t>Grondstoffen</w:t>
            </w:r>
            <w:r>
              <w:rPr>
                <w:rFonts w:ascii="Verdana" w:hAnsi="Verdana"/>
                <w:b/>
                <w:bCs/>
                <w:sz w:val="18"/>
                <w:szCs w:val="18"/>
              </w:rPr>
              <w:t>winning en -gebruik</w:t>
            </w:r>
          </w:p>
        </w:tc>
      </w:tr>
      <w:tr w:rsidRPr="00621AD1" w:rsidR="00F70A43" w:rsidTr="00E90905" w14:paraId="79E9229F" w14:textId="77777777">
        <w:tc>
          <w:tcPr>
            <w:tcW w:w="1555" w:type="dxa"/>
          </w:tcPr>
          <w:p w:rsidRPr="00621AD1" w:rsidR="00F70A43" w:rsidP="00E90905" w:rsidRDefault="00F70A43" w14:paraId="13F82B31" w14:textId="77777777">
            <w:pPr>
              <w:rPr>
                <w:rFonts w:ascii="Verdana" w:hAnsi="Verdana"/>
                <w:sz w:val="18"/>
                <w:szCs w:val="18"/>
              </w:rPr>
            </w:pPr>
            <w:r>
              <w:rPr>
                <w:rFonts w:ascii="Verdana" w:hAnsi="Verdana"/>
                <w:sz w:val="18"/>
                <w:szCs w:val="18"/>
              </w:rPr>
              <w:t xml:space="preserve">Een </w:t>
            </w:r>
            <w:proofErr w:type="spellStart"/>
            <w:r>
              <w:rPr>
                <w:rFonts w:ascii="Verdana" w:hAnsi="Verdana"/>
                <w:sz w:val="18"/>
                <w:szCs w:val="18"/>
              </w:rPr>
              <w:t>tax</w:t>
            </w:r>
            <w:proofErr w:type="spellEnd"/>
            <w:r>
              <w:rPr>
                <w:rFonts w:ascii="Verdana" w:hAnsi="Verdana"/>
                <w:sz w:val="18"/>
                <w:szCs w:val="18"/>
              </w:rPr>
              <w:t xml:space="preserve"> shift waarbij grondstoffen-gebruik meer belast wordt en de lasten op arbeid verlaagd worden.</w:t>
            </w:r>
          </w:p>
        </w:tc>
        <w:tc>
          <w:tcPr>
            <w:tcW w:w="3543" w:type="dxa"/>
          </w:tcPr>
          <w:p w:rsidRPr="008411C3" w:rsidR="00F70A43" w:rsidP="00E90905" w:rsidRDefault="00F70A43" w14:paraId="329DAF13" w14:textId="77777777">
            <w:pPr>
              <w:rPr>
                <w:rFonts w:ascii="Verdana" w:hAnsi="Verdana"/>
                <w:sz w:val="18"/>
                <w:szCs w:val="18"/>
              </w:rPr>
            </w:pPr>
            <w:r>
              <w:rPr>
                <w:rFonts w:ascii="Verdana" w:hAnsi="Verdana"/>
                <w:sz w:val="18"/>
                <w:szCs w:val="18"/>
              </w:rPr>
              <w:t xml:space="preserve">Door het hoger belasten van grondstoffen worden de externe kosten van grondstoffengebruik beter </w:t>
            </w:r>
            <w:proofErr w:type="spellStart"/>
            <w:r>
              <w:rPr>
                <w:rFonts w:ascii="Verdana" w:hAnsi="Verdana"/>
                <w:sz w:val="18"/>
                <w:szCs w:val="18"/>
              </w:rPr>
              <w:t>beprijsd</w:t>
            </w:r>
            <w:proofErr w:type="spellEnd"/>
            <w:r>
              <w:rPr>
                <w:rFonts w:ascii="Verdana" w:hAnsi="Verdana"/>
                <w:sz w:val="18"/>
                <w:szCs w:val="18"/>
              </w:rPr>
              <w:t>, waardoor circulaire alternatieven aantrekkelijker kunnen worden. Met de opbrengsten die hierdoor gegenereerd worden kunnen de lasten op arbeid verlaagd worden.</w:t>
            </w:r>
          </w:p>
        </w:tc>
        <w:tc>
          <w:tcPr>
            <w:tcW w:w="4253" w:type="dxa"/>
          </w:tcPr>
          <w:p w:rsidRPr="007B53FA" w:rsidR="00F70A43" w:rsidP="00E90905" w:rsidRDefault="00F70A43" w14:paraId="66522F30" w14:textId="77777777">
            <w:pPr>
              <w:rPr>
                <w:rFonts w:ascii="Verdana" w:hAnsi="Verdana"/>
                <w:sz w:val="18"/>
                <w:szCs w:val="18"/>
              </w:rPr>
            </w:pPr>
            <w:r>
              <w:rPr>
                <w:rFonts w:ascii="Verdana" w:hAnsi="Verdana"/>
                <w:sz w:val="18"/>
                <w:szCs w:val="18"/>
              </w:rPr>
              <w:t>E</w:t>
            </w:r>
            <w:r w:rsidRPr="005349A3">
              <w:rPr>
                <w:rFonts w:ascii="Verdana" w:hAnsi="Verdana"/>
                <w:sz w:val="18"/>
                <w:szCs w:val="18"/>
              </w:rPr>
              <w:t xml:space="preserve">en </w:t>
            </w:r>
            <w:proofErr w:type="spellStart"/>
            <w:r w:rsidRPr="005349A3">
              <w:rPr>
                <w:rFonts w:ascii="Verdana" w:hAnsi="Verdana"/>
                <w:sz w:val="18"/>
                <w:szCs w:val="18"/>
              </w:rPr>
              <w:t>tax</w:t>
            </w:r>
            <w:proofErr w:type="spellEnd"/>
            <w:r w:rsidRPr="005349A3">
              <w:rPr>
                <w:rFonts w:ascii="Verdana" w:hAnsi="Verdana"/>
                <w:sz w:val="18"/>
                <w:szCs w:val="18"/>
              </w:rPr>
              <w:t xml:space="preserve"> shift van arbeid naar vergroening </w:t>
            </w:r>
            <w:r>
              <w:rPr>
                <w:rFonts w:ascii="Verdana" w:hAnsi="Verdana"/>
                <w:sz w:val="18"/>
                <w:szCs w:val="18"/>
              </w:rPr>
              <w:t xml:space="preserve">is </w:t>
            </w:r>
            <w:r w:rsidRPr="005349A3">
              <w:rPr>
                <w:rFonts w:ascii="Verdana" w:hAnsi="Verdana"/>
                <w:sz w:val="18"/>
                <w:szCs w:val="18"/>
              </w:rPr>
              <w:t xml:space="preserve">in beginsel een aantrekkelijk principe, </w:t>
            </w:r>
            <w:r>
              <w:rPr>
                <w:rFonts w:ascii="Verdana" w:hAnsi="Verdana"/>
                <w:sz w:val="18"/>
                <w:szCs w:val="18"/>
              </w:rPr>
              <w:t>aan</w:t>
            </w:r>
            <w:r w:rsidRPr="005349A3">
              <w:rPr>
                <w:rFonts w:ascii="Verdana" w:hAnsi="Verdana"/>
                <w:sz w:val="18"/>
                <w:szCs w:val="18"/>
              </w:rPr>
              <w:t xml:space="preserve">gezien het de prikkel vergroot om hieraan te gaan werken en om vervuiling te verminderen. In de praktijk blijkt een </w:t>
            </w:r>
            <w:proofErr w:type="spellStart"/>
            <w:r w:rsidRPr="005349A3">
              <w:rPr>
                <w:rFonts w:ascii="Verdana" w:hAnsi="Verdana"/>
                <w:sz w:val="18"/>
                <w:szCs w:val="18"/>
              </w:rPr>
              <w:t>taxshift</w:t>
            </w:r>
            <w:proofErr w:type="spellEnd"/>
            <w:r w:rsidRPr="005349A3">
              <w:rPr>
                <w:rFonts w:ascii="Verdana" w:hAnsi="Verdana"/>
                <w:sz w:val="18"/>
                <w:szCs w:val="18"/>
              </w:rPr>
              <w:t xml:space="preserve"> echter ingewikkeld. Een belangrijke reden hiervoor is dat in absolute euro’s de lasten op arbeid veel hoger zijn, dan de lasten op vergroening. Ter illustratie: in 2024 waren de inkomsten uit milieu- en auto gerelateerde belastingen circa 22 miljard, terwijl de lasten op arbeid op circa 231 miljard euro lagen. Een ander aandachtspunt is dat de belastingopbrengst erodeert indien milieubelastingen succesvol zijn. De opbrengst van milieubelastingen kan – vanuit begrotingsperspectief - daarom beter niet worden ingezet voor structurele lastenverlichting op arbeid</w:t>
            </w:r>
            <w:r>
              <w:rPr>
                <w:rFonts w:ascii="Verdana" w:hAnsi="Verdana"/>
                <w:sz w:val="18"/>
                <w:szCs w:val="18"/>
              </w:rPr>
              <w:t>.</w:t>
            </w:r>
          </w:p>
        </w:tc>
      </w:tr>
      <w:tr w:rsidRPr="00621AD1" w:rsidR="00F70A43" w:rsidTr="00E90905" w14:paraId="07A842F0" w14:textId="77777777">
        <w:tc>
          <w:tcPr>
            <w:tcW w:w="1555" w:type="dxa"/>
          </w:tcPr>
          <w:p w:rsidRPr="00621AD1" w:rsidR="00F70A43" w:rsidP="00E90905" w:rsidRDefault="00F70A43" w14:paraId="7FE213F6" w14:textId="77777777">
            <w:pPr>
              <w:rPr>
                <w:rFonts w:ascii="Verdana" w:hAnsi="Verdana"/>
                <w:sz w:val="18"/>
                <w:szCs w:val="18"/>
              </w:rPr>
            </w:pPr>
            <w:r w:rsidRPr="00621AD1">
              <w:rPr>
                <w:rFonts w:ascii="Verdana" w:hAnsi="Verdana"/>
                <w:sz w:val="18"/>
                <w:szCs w:val="18"/>
              </w:rPr>
              <w:t xml:space="preserve">Een heffing op niet-energetisch verbruik van minerale oliën </w:t>
            </w:r>
          </w:p>
        </w:tc>
        <w:tc>
          <w:tcPr>
            <w:tcW w:w="3543" w:type="dxa"/>
          </w:tcPr>
          <w:p w:rsidRPr="00621AD1" w:rsidR="00F70A43" w:rsidP="00E90905" w:rsidRDefault="00F70A43" w14:paraId="1F24BB48" w14:textId="77777777">
            <w:pPr>
              <w:rPr>
                <w:rFonts w:ascii="Verdana" w:hAnsi="Verdana"/>
                <w:sz w:val="18"/>
                <w:szCs w:val="18"/>
              </w:rPr>
            </w:pPr>
            <w:r w:rsidRPr="008411C3">
              <w:rPr>
                <w:rFonts w:ascii="Verdana" w:hAnsi="Verdana"/>
                <w:sz w:val="18"/>
                <w:szCs w:val="18"/>
              </w:rPr>
              <w:t>De maatregel betreft een nieuwe verbruiksbelasting op gebruik van minerale oliën, als onderdeel van de Wet Belastingen op Milieugrondslag (WBM).</w:t>
            </w:r>
            <w:r w:rsidRPr="00621AD1">
              <w:rPr>
                <w:rFonts w:ascii="Verdana" w:hAnsi="Verdana"/>
                <w:sz w:val="18"/>
                <w:szCs w:val="18"/>
              </w:rPr>
              <w:t xml:space="preserve"> </w:t>
            </w:r>
            <w:r>
              <w:rPr>
                <w:rFonts w:ascii="Verdana" w:hAnsi="Verdana"/>
                <w:sz w:val="18"/>
                <w:szCs w:val="18"/>
              </w:rPr>
              <w:t>Minerale oliën</w:t>
            </w:r>
            <w:r w:rsidRPr="00621AD1">
              <w:rPr>
                <w:rFonts w:ascii="Verdana" w:hAnsi="Verdana"/>
                <w:sz w:val="18"/>
                <w:szCs w:val="18"/>
              </w:rPr>
              <w:t xml:space="preserve"> betreffen voor het merendeel grondstoffen</w:t>
            </w:r>
            <w:r>
              <w:rPr>
                <w:rFonts w:ascii="Verdana" w:hAnsi="Verdana"/>
                <w:sz w:val="18"/>
                <w:szCs w:val="18"/>
              </w:rPr>
              <w:t xml:space="preserve"> (grotendeels nafta) </w:t>
            </w:r>
            <w:r w:rsidRPr="00621AD1">
              <w:rPr>
                <w:rFonts w:ascii="Verdana" w:hAnsi="Verdana"/>
                <w:sz w:val="18"/>
                <w:szCs w:val="18"/>
              </w:rPr>
              <w:t>in de chemie, maar ook brandstoffen.</w:t>
            </w:r>
            <w:r>
              <w:rPr>
                <w:rFonts w:ascii="Verdana" w:hAnsi="Verdana"/>
                <w:sz w:val="18"/>
                <w:szCs w:val="18"/>
              </w:rPr>
              <w:t xml:space="preserve"> N</w:t>
            </w:r>
            <w:r w:rsidRPr="0040022B">
              <w:rPr>
                <w:rFonts w:ascii="Verdana" w:hAnsi="Verdana"/>
                <w:sz w:val="18"/>
                <w:szCs w:val="18"/>
              </w:rPr>
              <w:t xml:space="preserve">iet-energetisch gebruik van </w:t>
            </w:r>
            <w:r>
              <w:rPr>
                <w:rFonts w:ascii="Verdana" w:hAnsi="Verdana"/>
                <w:sz w:val="18"/>
                <w:szCs w:val="18"/>
              </w:rPr>
              <w:t xml:space="preserve">minerale oliën leidt </w:t>
            </w:r>
            <w:r w:rsidRPr="0040022B">
              <w:rPr>
                <w:rFonts w:ascii="Verdana" w:hAnsi="Verdana"/>
                <w:sz w:val="18"/>
                <w:szCs w:val="18"/>
              </w:rPr>
              <w:t>in de productieketen of in een latere fase van de levensduur van het</w:t>
            </w:r>
            <w:r>
              <w:rPr>
                <w:rFonts w:ascii="Verdana" w:hAnsi="Verdana"/>
                <w:sz w:val="18"/>
                <w:szCs w:val="18"/>
              </w:rPr>
              <w:t xml:space="preserve"> uiteindelijk </w:t>
            </w:r>
            <w:r w:rsidRPr="0040022B">
              <w:rPr>
                <w:rFonts w:ascii="Verdana" w:hAnsi="Verdana"/>
                <w:sz w:val="18"/>
                <w:szCs w:val="18"/>
              </w:rPr>
              <w:t>geproduceerde product</w:t>
            </w:r>
            <w:r>
              <w:rPr>
                <w:rFonts w:ascii="Verdana" w:hAnsi="Verdana"/>
                <w:sz w:val="18"/>
                <w:szCs w:val="18"/>
              </w:rPr>
              <w:t xml:space="preserve"> tot uitstoot</w:t>
            </w:r>
            <w:r w:rsidRPr="0040022B">
              <w:rPr>
                <w:rFonts w:ascii="Verdana" w:hAnsi="Verdana"/>
                <w:sz w:val="18"/>
                <w:szCs w:val="18"/>
              </w:rPr>
              <w:t xml:space="preserve">. </w:t>
            </w:r>
            <w:r>
              <w:rPr>
                <w:rFonts w:ascii="Verdana" w:hAnsi="Verdana"/>
                <w:sz w:val="18"/>
                <w:szCs w:val="18"/>
              </w:rPr>
              <w:t xml:space="preserve">Door het te belasten worden de externe kosten van het gebruik van minerale oliën als grondstof beter </w:t>
            </w:r>
            <w:proofErr w:type="spellStart"/>
            <w:r>
              <w:rPr>
                <w:rFonts w:ascii="Verdana" w:hAnsi="Verdana"/>
                <w:sz w:val="18"/>
                <w:szCs w:val="18"/>
              </w:rPr>
              <w:t>beprijsd</w:t>
            </w:r>
            <w:proofErr w:type="spellEnd"/>
            <w:r>
              <w:rPr>
                <w:rFonts w:ascii="Verdana" w:hAnsi="Verdana"/>
                <w:sz w:val="18"/>
                <w:szCs w:val="18"/>
              </w:rPr>
              <w:t>.</w:t>
            </w:r>
          </w:p>
        </w:tc>
        <w:tc>
          <w:tcPr>
            <w:tcW w:w="4253" w:type="dxa"/>
          </w:tcPr>
          <w:p w:rsidRPr="00806233" w:rsidR="00F70A43" w:rsidP="00E90905" w:rsidRDefault="00F70A43" w14:paraId="5F3176D2" w14:textId="77777777">
            <w:pPr>
              <w:rPr>
                <w:rFonts w:ascii="Verdana" w:hAnsi="Verdana"/>
                <w:sz w:val="18"/>
                <w:szCs w:val="18"/>
              </w:rPr>
            </w:pPr>
            <w:r w:rsidRPr="007B53FA">
              <w:rPr>
                <w:rFonts w:ascii="Verdana" w:hAnsi="Verdana"/>
                <w:sz w:val="18"/>
                <w:szCs w:val="18"/>
              </w:rPr>
              <w:t xml:space="preserve">Dit voorstel is geanalyseerd in het ambtelijk rapport ‘Bouwstenen voor een beter en eenvoudiger belastingstelsel’ (2024) en </w:t>
            </w:r>
            <w:proofErr w:type="spellStart"/>
            <w:r>
              <w:rPr>
                <w:rFonts w:ascii="Verdana" w:hAnsi="Verdana"/>
                <w:sz w:val="18"/>
                <w:szCs w:val="18"/>
              </w:rPr>
              <w:t>Kalavasta</w:t>
            </w:r>
            <w:proofErr w:type="spellEnd"/>
            <w:r>
              <w:rPr>
                <w:rStyle w:val="Voetnootmarkering"/>
                <w:rFonts w:ascii="Verdana" w:hAnsi="Verdana"/>
                <w:sz w:val="18"/>
                <w:szCs w:val="18"/>
              </w:rPr>
              <w:footnoteReference w:id="2"/>
            </w:r>
            <w:r>
              <w:rPr>
                <w:rFonts w:ascii="Verdana" w:hAnsi="Verdana"/>
                <w:sz w:val="18"/>
                <w:szCs w:val="18"/>
              </w:rPr>
              <w:t>(2023) en Copper8 (2023)</w:t>
            </w:r>
            <w:r>
              <w:rPr>
                <w:rStyle w:val="Voetnootmarkering"/>
                <w:rFonts w:ascii="Verdana" w:hAnsi="Verdana"/>
                <w:sz w:val="18"/>
                <w:szCs w:val="18"/>
              </w:rPr>
              <w:footnoteReference w:id="3"/>
            </w:r>
            <w:r w:rsidRPr="007B53FA">
              <w:rPr>
                <w:rFonts w:ascii="Verdana" w:hAnsi="Verdana"/>
                <w:sz w:val="18"/>
                <w:szCs w:val="18"/>
              </w:rPr>
              <w:t xml:space="preserve">. </w:t>
            </w:r>
            <w:r w:rsidRPr="003F2F1B">
              <w:rPr>
                <w:rFonts w:ascii="Verdana" w:hAnsi="Verdana"/>
                <w:sz w:val="18"/>
                <w:szCs w:val="18"/>
              </w:rPr>
              <w:t>Vanwege groot weglekrisico</w:t>
            </w:r>
            <w:r>
              <w:rPr>
                <w:rFonts w:ascii="Verdana" w:hAnsi="Verdana"/>
                <w:sz w:val="18"/>
                <w:szCs w:val="18"/>
              </w:rPr>
              <w:t xml:space="preserve"> is het</w:t>
            </w:r>
            <w:r w:rsidRPr="003F2F1B">
              <w:rPr>
                <w:rFonts w:ascii="Verdana" w:hAnsi="Verdana"/>
                <w:sz w:val="18"/>
                <w:szCs w:val="18"/>
              </w:rPr>
              <w:t xml:space="preserve"> advies om </w:t>
            </w:r>
            <w:r>
              <w:rPr>
                <w:rFonts w:ascii="Verdana" w:hAnsi="Verdana"/>
                <w:sz w:val="18"/>
                <w:szCs w:val="18"/>
              </w:rPr>
              <w:t xml:space="preserve">op EU niveau </w:t>
            </w:r>
            <w:r w:rsidRPr="003F2F1B">
              <w:rPr>
                <w:rFonts w:ascii="Verdana" w:hAnsi="Verdana"/>
                <w:sz w:val="18"/>
                <w:szCs w:val="18"/>
              </w:rPr>
              <w:t>in te zetten op een norm voor de minimale inzet van nie</w:t>
            </w:r>
            <w:r>
              <w:rPr>
                <w:rFonts w:ascii="Verdana" w:hAnsi="Verdana"/>
                <w:sz w:val="18"/>
                <w:szCs w:val="18"/>
              </w:rPr>
              <w:t>t-</w:t>
            </w:r>
            <w:r w:rsidRPr="003F2F1B">
              <w:rPr>
                <w:rFonts w:ascii="Verdana" w:hAnsi="Verdana"/>
                <w:sz w:val="18"/>
                <w:szCs w:val="18"/>
              </w:rPr>
              <w:t>fossiele grondstoffen, eventueel in combinatie met beprijzen in Europees verband dan wel ander beleid</w:t>
            </w:r>
            <w:r>
              <w:rPr>
                <w:rFonts w:ascii="Verdana" w:hAnsi="Verdana"/>
                <w:sz w:val="18"/>
                <w:szCs w:val="18"/>
              </w:rPr>
              <w:t xml:space="preserve">. </w:t>
            </w:r>
            <w:r w:rsidRPr="007B53FA">
              <w:rPr>
                <w:rFonts w:ascii="Verdana" w:hAnsi="Verdana"/>
                <w:sz w:val="18"/>
                <w:szCs w:val="18"/>
              </w:rPr>
              <w:t xml:space="preserve">Grondstoffen vormen een belangrijk deel van de productiekosten, waardoor nationaal </w:t>
            </w:r>
            <w:proofErr w:type="spellStart"/>
            <w:r w:rsidRPr="007B53FA">
              <w:rPr>
                <w:rFonts w:ascii="Verdana" w:hAnsi="Verdana"/>
                <w:sz w:val="18"/>
                <w:szCs w:val="18"/>
              </w:rPr>
              <w:t>beprijzingsbeleid</w:t>
            </w:r>
            <w:proofErr w:type="spellEnd"/>
            <w:r w:rsidRPr="007B53FA">
              <w:rPr>
                <w:rFonts w:ascii="Verdana" w:hAnsi="Verdana"/>
                <w:sz w:val="18"/>
                <w:szCs w:val="18"/>
              </w:rPr>
              <w:t xml:space="preserve"> vroeg in de keten vaak grote weglekrisico’s kent. Dit zorgt ervoor dat de budgettaire opbrengst en de klimaat- en milieueffecten beperkt zullen zijn. </w:t>
            </w:r>
            <w:r w:rsidRPr="00D97D38">
              <w:rPr>
                <w:rFonts w:ascii="Verdana" w:hAnsi="Verdana"/>
                <w:color w:val="000000"/>
                <w:sz w:val="18"/>
                <w:szCs w:val="18"/>
              </w:rPr>
              <w:t xml:space="preserve"> </w:t>
            </w:r>
          </w:p>
        </w:tc>
      </w:tr>
      <w:tr w:rsidRPr="00621AD1" w:rsidR="00F70A43" w:rsidTr="00E90905" w14:paraId="38540A42" w14:textId="77777777">
        <w:tc>
          <w:tcPr>
            <w:tcW w:w="1555" w:type="dxa"/>
          </w:tcPr>
          <w:p w:rsidRPr="00621AD1" w:rsidR="00F70A43" w:rsidP="00E90905" w:rsidRDefault="00F70A43" w14:paraId="5D1CB333" w14:textId="77777777">
            <w:pPr>
              <w:rPr>
                <w:rFonts w:ascii="Verdana" w:hAnsi="Verdana"/>
                <w:sz w:val="18"/>
                <w:szCs w:val="18"/>
              </w:rPr>
            </w:pPr>
            <w:r w:rsidRPr="00621AD1">
              <w:rPr>
                <w:rFonts w:ascii="Verdana" w:hAnsi="Verdana"/>
                <w:sz w:val="18"/>
                <w:szCs w:val="18"/>
              </w:rPr>
              <w:lastRenderedPageBreak/>
              <w:t>Afschaffen vrijstelling non-energetisch verbruik aardgas</w:t>
            </w:r>
          </w:p>
        </w:tc>
        <w:tc>
          <w:tcPr>
            <w:tcW w:w="3543" w:type="dxa"/>
          </w:tcPr>
          <w:p w:rsidRPr="00621AD1" w:rsidR="00F70A43" w:rsidP="00E90905" w:rsidRDefault="00F70A43" w14:paraId="31138657" w14:textId="77777777">
            <w:pPr>
              <w:rPr>
                <w:rFonts w:ascii="Verdana" w:hAnsi="Verdana"/>
                <w:sz w:val="18"/>
                <w:szCs w:val="18"/>
              </w:rPr>
            </w:pPr>
            <w:r w:rsidRPr="00621AD1">
              <w:rPr>
                <w:rFonts w:ascii="Verdana" w:hAnsi="Verdana"/>
                <w:sz w:val="18"/>
                <w:szCs w:val="18"/>
              </w:rPr>
              <w:t>In de energiebelasting op aardgas geldt een vrijstelling voor “de levering of het verbruik van aardgas dat wordt gebruikt anders dan als brandstof” (artikel 64, vijfde lid, Wet belastingen op milieugrondslag). Dit betekent dat het aardgas niet wordt verbrand, maar wordt gebruikt als grondstof voor het maken van een product. Deze vrijstelling kan worden afgeschaft</w:t>
            </w:r>
            <w:r>
              <w:rPr>
                <w:rFonts w:ascii="Verdana" w:hAnsi="Verdana"/>
                <w:sz w:val="18"/>
                <w:szCs w:val="18"/>
              </w:rPr>
              <w:t xml:space="preserve"> waardoor de externe effecten van aardgas als grondstof beter </w:t>
            </w:r>
            <w:proofErr w:type="spellStart"/>
            <w:r>
              <w:rPr>
                <w:rFonts w:ascii="Verdana" w:hAnsi="Verdana"/>
                <w:sz w:val="18"/>
                <w:szCs w:val="18"/>
              </w:rPr>
              <w:t>beprijsd</w:t>
            </w:r>
            <w:proofErr w:type="spellEnd"/>
            <w:r>
              <w:rPr>
                <w:rFonts w:ascii="Verdana" w:hAnsi="Verdana"/>
                <w:sz w:val="18"/>
                <w:szCs w:val="18"/>
              </w:rPr>
              <w:t xml:space="preserve"> worden</w:t>
            </w:r>
            <w:r w:rsidRPr="00621AD1">
              <w:rPr>
                <w:rFonts w:ascii="Verdana" w:hAnsi="Verdana"/>
                <w:sz w:val="18"/>
                <w:szCs w:val="18"/>
              </w:rPr>
              <w:t>.</w:t>
            </w:r>
          </w:p>
        </w:tc>
        <w:tc>
          <w:tcPr>
            <w:tcW w:w="4253" w:type="dxa"/>
          </w:tcPr>
          <w:p w:rsidRPr="00806233" w:rsidR="00F70A43" w:rsidP="00E90905" w:rsidRDefault="00F70A43" w14:paraId="55159723" w14:textId="77777777">
            <w:pPr>
              <w:rPr>
                <w:rFonts w:ascii="Verdana" w:hAnsi="Verdana"/>
                <w:sz w:val="18"/>
                <w:szCs w:val="18"/>
              </w:rPr>
            </w:pPr>
            <w:r w:rsidRPr="007B53FA">
              <w:rPr>
                <w:rFonts w:ascii="Verdana" w:hAnsi="Verdana"/>
                <w:sz w:val="18"/>
                <w:szCs w:val="18"/>
              </w:rPr>
              <w:t>Deze maatregel is geanalyseerd in het ambtelijk rapport ‘Bouwstenen voor een beter en eenvoudiger belastingstelsel’ (2024)</w:t>
            </w:r>
            <w:r>
              <w:rPr>
                <w:rFonts w:ascii="Verdana" w:hAnsi="Verdana"/>
                <w:sz w:val="18"/>
                <w:szCs w:val="18"/>
              </w:rPr>
              <w:t xml:space="preserve"> en Kalavasta</w:t>
            </w:r>
            <w:r>
              <w:rPr>
                <w:rStyle w:val="Voetnootmarkering"/>
                <w:rFonts w:ascii="Verdana" w:hAnsi="Verdana"/>
                <w:sz w:val="18"/>
                <w:szCs w:val="18"/>
              </w:rPr>
              <w:t>1</w:t>
            </w:r>
            <w:r>
              <w:rPr>
                <w:rFonts w:ascii="Verdana" w:hAnsi="Verdana"/>
                <w:sz w:val="18"/>
                <w:szCs w:val="18"/>
              </w:rPr>
              <w:t xml:space="preserve"> (2023)</w:t>
            </w:r>
            <w:r w:rsidRPr="007B53FA">
              <w:rPr>
                <w:rFonts w:ascii="Verdana" w:hAnsi="Verdana"/>
                <w:sz w:val="18"/>
                <w:szCs w:val="18"/>
              </w:rPr>
              <w:t xml:space="preserve">. Gegeven dat het om een aantal specifieke bedrijven gaat die opereren in een zeer internationaal concurrerende markt waarin de prijs wordt gezet door concurrenten buiten de EU die aardgas gebruiken zonder energiebelasting, zou de maatregel ertoe leiden dat de productiekosten boven de marktprijs zouden komen te liggen. In dat geval stopt de productie in Nederland en worden producten of </w:t>
            </w:r>
            <w:proofErr w:type="spellStart"/>
            <w:r w:rsidRPr="007B53FA">
              <w:rPr>
                <w:rFonts w:ascii="Verdana" w:hAnsi="Verdana"/>
                <w:sz w:val="18"/>
                <w:szCs w:val="18"/>
              </w:rPr>
              <w:t>halffabrikaten</w:t>
            </w:r>
            <w:proofErr w:type="spellEnd"/>
            <w:r w:rsidRPr="007B53FA">
              <w:rPr>
                <w:rFonts w:ascii="Verdana" w:hAnsi="Verdana"/>
                <w:sz w:val="18"/>
                <w:szCs w:val="18"/>
              </w:rPr>
              <w:t xml:space="preserve"> van buiten de EU geïmporteerd, zoals vanuit Rusland (kunstmest geproduceerd met zeer goedkoop Russisch aardgas is immers niet gesanctioneerd). Dat zou betekenen dat de maatregel niet tot verduurzaming leidt maar tot verplaatsing van emissies.</w:t>
            </w:r>
            <w:r>
              <w:rPr>
                <w:rFonts w:ascii="Verdana" w:hAnsi="Verdana"/>
                <w:sz w:val="18"/>
                <w:szCs w:val="18"/>
              </w:rPr>
              <w:t xml:space="preserve"> </w:t>
            </w:r>
          </w:p>
        </w:tc>
      </w:tr>
      <w:tr w:rsidRPr="00621AD1" w:rsidR="00F70A43" w:rsidTr="00E90905" w14:paraId="0CD7F23E" w14:textId="77777777">
        <w:tc>
          <w:tcPr>
            <w:tcW w:w="9351" w:type="dxa"/>
            <w:gridSpan w:val="3"/>
            <w:shd w:val="clear" w:color="auto" w:fill="D9E2F3" w:themeFill="accent1" w:themeFillTint="33"/>
          </w:tcPr>
          <w:p w:rsidRPr="00806233" w:rsidR="00F70A43" w:rsidP="00E90905" w:rsidRDefault="00F70A43" w14:paraId="0B1A5913" w14:textId="77777777">
            <w:pPr>
              <w:jc w:val="center"/>
              <w:rPr>
                <w:rFonts w:ascii="Verdana" w:hAnsi="Verdana"/>
                <w:sz w:val="18"/>
                <w:szCs w:val="18"/>
              </w:rPr>
            </w:pPr>
            <w:r w:rsidRPr="007B53FA">
              <w:rPr>
                <w:rFonts w:ascii="Verdana" w:hAnsi="Verdana"/>
                <w:b/>
                <w:bCs/>
                <w:sz w:val="18"/>
                <w:szCs w:val="18"/>
              </w:rPr>
              <w:t>Productie</w:t>
            </w:r>
          </w:p>
        </w:tc>
      </w:tr>
      <w:tr w:rsidRPr="00621AD1" w:rsidR="00F70A43" w:rsidTr="00E90905" w14:paraId="403E9FEA" w14:textId="77777777">
        <w:tc>
          <w:tcPr>
            <w:tcW w:w="1555" w:type="dxa"/>
          </w:tcPr>
          <w:p w:rsidRPr="00621AD1" w:rsidR="00F70A43" w:rsidP="00E90905" w:rsidRDefault="00F70A43" w14:paraId="5374DAD0" w14:textId="77777777">
            <w:pPr>
              <w:rPr>
                <w:rFonts w:ascii="Verdana" w:hAnsi="Verdana"/>
                <w:sz w:val="18"/>
                <w:szCs w:val="18"/>
              </w:rPr>
            </w:pPr>
            <w:r w:rsidRPr="00621AD1">
              <w:rPr>
                <w:rFonts w:ascii="Verdana" w:hAnsi="Verdana"/>
                <w:sz w:val="18"/>
                <w:szCs w:val="18"/>
              </w:rPr>
              <w:t>Verhoging budget van milieu-investeringsaftrek (MIA)*/ Willekeurige afschrijving milieu-investeringen (</w:t>
            </w:r>
            <w:proofErr w:type="spellStart"/>
            <w:r w:rsidRPr="00621AD1">
              <w:rPr>
                <w:rFonts w:ascii="Verdana" w:hAnsi="Verdana"/>
                <w:sz w:val="18"/>
                <w:szCs w:val="18"/>
              </w:rPr>
              <w:t>Vamil</w:t>
            </w:r>
            <w:proofErr w:type="spellEnd"/>
            <w:r w:rsidRPr="00621AD1">
              <w:rPr>
                <w:rFonts w:ascii="Verdana" w:hAnsi="Verdana"/>
                <w:sz w:val="18"/>
                <w:szCs w:val="18"/>
              </w:rPr>
              <w:t>)*</w:t>
            </w:r>
          </w:p>
        </w:tc>
        <w:tc>
          <w:tcPr>
            <w:tcW w:w="3543" w:type="dxa"/>
          </w:tcPr>
          <w:p w:rsidRPr="00621AD1" w:rsidR="00F70A43" w:rsidP="00E90905" w:rsidRDefault="00F70A43" w14:paraId="44FB306F" w14:textId="77777777">
            <w:pPr>
              <w:rPr>
                <w:rFonts w:ascii="Verdana" w:hAnsi="Verdana"/>
                <w:sz w:val="18"/>
                <w:szCs w:val="18"/>
              </w:rPr>
            </w:pPr>
            <w:r w:rsidRPr="007B53FA">
              <w:rPr>
                <w:rFonts w:ascii="Verdana" w:hAnsi="Verdana"/>
                <w:sz w:val="18"/>
                <w:szCs w:val="18"/>
              </w:rPr>
              <w:t xml:space="preserve">Met de regelingen MIA en </w:t>
            </w:r>
            <w:proofErr w:type="spellStart"/>
            <w:r w:rsidRPr="007B53FA">
              <w:rPr>
                <w:rFonts w:ascii="Verdana" w:hAnsi="Verdana"/>
                <w:sz w:val="18"/>
                <w:szCs w:val="18"/>
              </w:rPr>
              <w:t>V</w:t>
            </w:r>
            <w:r>
              <w:rPr>
                <w:rFonts w:ascii="Verdana" w:hAnsi="Verdana"/>
                <w:sz w:val="18"/>
                <w:szCs w:val="18"/>
              </w:rPr>
              <w:t>amil</w:t>
            </w:r>
            <w:proofErr w:type="spellEnd"/>
            <w:r w:rsidRPr="007B53FA">
              <w:rPr>
                <w:rFonts w:ascii="Verdana" w:hAnsi="Verdana"/>
                <w:sz w:val="18"/>
                <w:szCs w:val="18"/>
              </w:rPr>
              <w:t xml:space="preserve"> is het mogelijk om bij de winstbepaling in de inkomsten of vennootschapsbelasting – indien wordt geïnvesteerd in aangewezen bedrijfsmiddelen – een aanvullende aftrekpost (MIA) in aanmerking te nemen en/of willekeurig af te schrijven (VAMIL) op een bedrijfsmiddel.</w:t>
            </w:r>
            <w:r>
              <w:rPr>
                <w:rFonts w:ascii="Verdana" w:hAnsi="Verdana"/>
                <w:sz w:val="18"/>
                <w:szCs w:val="18"/>
              </w:rPr>
              <w:t xml:space="preserve"> </w:t>
            </w:r>
          </w:p>
        </w:tc>
        <w:tc>
          <w:tcPr>
            <w:tcW w:w="4253" w:type="dxa"/>
          </w:tcPr>
          <w:p w:rsidRPr="00806233" w:rsidR="00F70A43" w:rsidP="00E90905" w:rsidRDefault="00F70A43" w14:paraId="737DE81D" w14:textId="77777777">
            <w:pPr>
              <w:rPr>
                <w:rFonts w:ascii="Verdana" w:hAnsi="Verdana"/>
                <w:sz w:val="18"/>
                <w:szCs w:val="18"/>
              </w:rPr>
            </w:pPr>
            <w:r w:rsidRPr="00621AD1">
              <w:rPr>
                <w:rFonts w:ascii="Verdana" w:hAnsi="Verdana"/>
                <w:sz w:val="18"/>
                <w:szCs w:val="18"/>
              </w:rPr>
              <w:t xml:space="preserve">Op basis van onderzoek van CE Delft uit 2023 blijkt dat beide regelingen doeltreffend en doelmatig zijn om investeringsbeslissingen te beïnvloeden in de richting van milieutechnieken die een bovenwettelijke milieuwinst realiseren en voorlopen op de markt. </w:t>
            </w:r>
            <w:r>
              <w:rPr>
                <w:rFonts w:ascii="Verdana" w:hAnsi="Verdana"/>
                <w:sz w:val="18"/>
                <w:szCs w:val="18"/>
              </w:rPr>
              <w:t xml:space="preserve">Het budget van de MIA en de </w:t>
            </w:r>
            <w:proofErr w:type="spellStart"/>
            <w:r>
              <w:rPr>
                <w:rFonts w:ascii="Verdana" w:hAnsi="Verdana"/>
                <w:sz w:val="18"/>
                <w:szCs w:val="18"/>
              </w:rPr>
              <w:t>Vamil</w:t>
            </w:r>
            <w:proofErr w:type="spellEnd"/>
            <w:r>
              <w:rPr>
                <w:rFonts w:ascii="Verdana" w:hAnsi="Verdana"/>
                <w:sz w:val="18"/>
                <w:szCs w:val="18"/>
              </w:rPr>
              <w:t xml:space="preserve"> is b</w:t>
            </w:r>
            <w:r w:rsidRPr="00621AD1">
              <w:rPr>
                <w:rFonts w:ascii="Verdana" w:hAnsi="Verdana"/>
                <w:sz w:val="18"/>
                <w:szCs w:val="18"/>
              </w:rPr>
              <w:t>ij de parlementaire behandeling van het Belastingplan 2025</w:t>
            </w:r>
            <w:r>
              <w:rPr>
                <w:rFonts w:ascii="Verdana" w:hAnsi="Verdana"/>
                <w:sz w:val="18"/>
                <w:szCs w:val="18"/>
              </w:rPr>
              <w:t xml:space="preserve"> vanaf 2025 gekort door een amendement vanuit de Tweede Kamer.</w:t>
            </w:r>
            <w:r>
              <w:rPr>
                <w:rStyle w:val="Voetnootmarkering"/>
                <w:rFonts w:ascii="Verdana" w:hAnsi="Verdana"/>
                <w:sz w:val="18"/>
                <w:szCs w:val="18"/>
              </w:rPr>
              <w:footnoteReference w:id="4"/>
            </w:r>
            <w:r>
              <w:rPr>
                <w:rFonts w:ascii="Verdana" w:hAnsi="Verdana"/>
                <w:sz w:val="18"/>
                <w:szCs w:val="18"/>
              </w:rPr>
              <w:t xml:space="preserve"> D</w:t>
            </w:r>
            <w:r w:rsidRPr="00621AD1">
              <w:rPr>
                <w:rFonts w:ascii="Verdana" w:hAnsi="Verdana"/>
                <w:sz w:val="18"/>
                <w:szCs w:val="18"/>
              </w:rPr>
              <w:t xml:space="preserve">oor een </w:t>
            </w:r>
            <w:r>
              <w:rPr>
                <w:rFonts w:ascii="Verdana" w:hAnsi="Verdana"/>
                <w:sz w:val="18"/>
                <w:szCs w:val="18"/>
              </w:rPr>
              <w:t>tweede amendement is het budget van de MIA vanaf 2026 verder gekort</w:t>
            </w:r>
            <w:r w:rsidRPr="00621AD1">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w:t>
            </w:r>
            <w:r w:rsidRPr="00D97D38">
              <w:rPr>
                <w:rFonts w:ascii="Verdana" w:hAnsi="Verdana"/>
                <w:color w:val="000000"/>
                <w:sz w:val="18"/>
                <w:szCs w:val="18"/>
              </w:rPr>
              <w:t>Vanwege de demissionaire status laat het kabinet een besluit over eventuele ophoging van het budget aan een volgend kabinet.</w:t>
            </w:r>
          </w:p>
        </w:tc>
      </w:tr>
      <w:tr w:rsidRPr="00621AD1" w:rsidR="00F70A43" w:rsidTr="00E90905" w14:paraId="2B5852F1" w14:textId="77777777">
        <w:tc>
          <w:tcPr>
            <w:tcW w:w="1555" w:type="dxa"/>
          </w:tcPr>
          <w:p w:rsidRPr="00621AD1" w:rsidR="00F70A43" w:rsidP="00E90905" w:rsidRDefault="00F70A43" w14:paraId="3D89A5C1" w14:textId="77777777">
            <w:pPr>
              <w:rPr>
                <w:rFonts w:ascii="Verdana" w:hAnsi="Verdana"/>
                <w:sz w:val="18"/>
                <w:szCs w:val="18"/>
              </w:rPr>
            </w:pPr>
            <w:r>
              <w:rPr>
                <w:rFonts w:ascii="Verdana" w:hAnsi="Verdana"/>
                <w:sz w:val="18"/>
                <w:szCs w:val="18"/>
              </w:rPr>
              <w:t>Verhoging van budget voor afdrachtvermindering</w:t>
            </w:r>
            <w:r w:rsidRPr="00160064">
              <w:rPr>
                <w:rFonts w:ascii="Verdana" w:hAnsi="Verdana"/>
                <w:sz w:val="18"/>
                <w:szCs w:val="18"/>
              </w:rPr>
              <w:t xml:space="preserve"> voor speur- en ontwikkelingswerk</w:t>
            </w:r>
            <w:r>
              <w:rPr>
                <w:rFonts w:ascii="Verdana" w:hAnsi="Verdana"/>
                <w:sz w:val="18"/>
                <w:szCs w:val="18"/>
              </w:rPr>
              <w:t xml:space="preserve"> (WBSO*</w:t>
            </w:r>
          </w:p>
        </w:tc>
        <w:tc>
          <w:tcPr>
            <w:tcW w:w="3543" w:type="dxa"/>
          </w:tcPr>
          <w:p w:rsidRPr="007B53FA" w:rsidR="00F70A43" w:rsidP="00E90905" w:rsidRDefault="00F70A43" w14:paraId="64A8BD78" w14:textId="77777777">
            <w:pPr>
              <w:rPr>
                <w:rFonts w:ascii="Verdana" w:hAnsi="Verdana"/>
                <w:sz w:val="18"/>
                <w:szCs w:val="18"/>
              </w:rPr>
            </w:pPr>
            <w:r w:rsidRPr="00707559">
              <w:rPr>
                <w:rFonts w:ascii="Verdana" w:hAnsi="Verdana"/>
                <w:sz w:val="18"/>
                <w:szCs w:val="18"/>
              </w:rPr>
              <w:t xml:space="preserve">Via de </w:t>
            </w:r>
            <w:r>
              <w:rPr>
                <w:rFonts w:ascii="Verdana" w:hAnsi="Verdana"/>
                <w:sz w:val="18"/>
                <w:szCs w:val="18"/>
              </w:rPr>
              <w:t xml:space="preserve">WBSO </w:t>
            </w:r>
            <w:r w:rsidRPr="00707559">
              <w:rPr>
                <w:rFonts w:ascii="Verdana" w:hAnsi="Verdana"/>
                <w:sz w:val="18"/>
                <w:szCs w:val="18"/>
              </w:rPr>
              <w:t xml:space="preserve">ondersteunt de overheid innovatie, waaronder innovatie in de circulaire economie. </w:t>
            </w:r>
            <w:r>
              <w:rPr>
                <w:rFonts w:ascii="Verdana" w:hAnsi="Verdana"/>
                <w:sz w:val="18"/>
                <w:szCs w:val="18"/>
              </w:rPr>
              <w:t>D</w:t>
            </w:r>
            <w:r w:rsidRPr="00707559">
              <w:rPr>
                <w:rFonts w:ascii="Verdana" w:hAnsi="Verdana"/>
                <w:sz w:val="18"/>
                <w:szCs w:val="18"/>
              </w:rPr>
              <w:t xml:space="preserve">e </w:t>
            </w:r>
            <w:r>
              <w:rPr>
                <w:rFonts w:ascii="Verdana" w:hAnsi="Verdana"/>
                <w:sz w:val="18"/>
                <w:szCs w:val="18"/>
              </w:rPr>
              <w:t xml:space="preserve">WBSO </w:t>
            </w:r>
            <w:r w:rsidRPr="00707559">
              <w:rPr>
                <w:rFonts w:ascii="Verdana" w:hAnsi="Verdana"/>
                <w:sz w:val="18"/>
                <w:szCs w:val="18"/>
              </w:rPr>
              <w:t xml:space="preserve">is een fiscale regeling waarmee </w:t>
            </w:r>
            <w:r>
              <w:rPr>
                <w:rFonts w:ascii="Verdana" w:hAnsi="Verdana"/>
                <w:sz w:val="18"/>
                <w:szCs w:val="18"/>
              </w:rPr>
              <w:t xml:space="preserve">de </w:t>
            </w:r>
            <w:r w:rsidRPr="00707559">
              <w:rPr>
                <w:rFonts w:ascii="Verdana" w:hAnsi="Verdana"/>
                <w:sz w:val="18"/>
                <w:szCs w:val="18"/>
              </w:rPr>
              <w:t>kosten voor Research &amp; Development (R&amp;D) van de werkgeverskosten voor de loonbelasting</w:t>
            </w:r>
            <w:r>
              <w:rPr>
                <w:rFonts w:ascii="Verdana" w:hAnsi="Verdana"/>
                <w:sz w:val="18"/>
                <w:szCs w:val="18"/>
              </w:rPr>
              <w:t xml:space="preserve"> afgetrokken kunnen worden</w:t>
            </w:r>
            <w:r w:rsidRPr="00707559">
              <w:rPr>
                <w:rFonts w:ascii="Verdana" w:hAnsi="Verdana"/>
                <w:sz w:val="18"/>
                <w:szCs w:val="18"/>
              </w:rPr>
              <w:t>.</w:t>
            </w:r>
            <w:r>
              <w:rPr>
                <w:rFonts w:ascii="Verdana" w:hAnsi="Verdana"/>
                <w:sz w:val="18"/>
                <w:szCs w:val="18"/>
              </w:rPr>
              <w:t xml:space="preserve"> </w:t>
            </w:r>
            <w:r w:rsidRPr="00707559">
              <w:rPr>
                <w:rFonts w:ascii="Verdana" w:hAnsi="Verdana"/>
                <w:sz w:val="18"/>
                <w:szCs w:val="18"/>
              </w:rPr>
              <w:t xml:space="preserve">In 2023 </w:t>
            </w:r>
            <w:r>
              <w:rPr>
                <w:rFonts w:ascii="Verdana" w:hAnsi="Verdana"/>
                <w:sz w:val="18"/>
                <w:szCs w:val="18"/>
              </w:rPr>
              <w:t xml:space="preserve">waren er </w:t>
            </w:r>
            <w:r w:rsidRPr="00707559">
              <w:rPr>
                <w:rFonts w:ascii="Verdana" w:hAnsi="Verdana"/>
                <w:sz w:val="18"/>
                <w:szCs w:val="18"/>
              </w:rPr>
              <w:t>4.261 projecten binnen de WBSO met een circulair kenmerk</w:t>
            </w:r>
            <w:r>
              <w:rPr>
                <w:rStyle w:val="Voetnootmarkering"/>
                <w:rFonts w:ascii="Verdana" w:hAnsi="Verdana"/>
                <w:sz w:val="18"/>
                <w:szCs w:val="18"/>
              </w:rPr>
              <w:footnoteReference w:id="6"/>
            </w:r>
            <w:r w:rsidRPr="00707559">
              <w:rPr>
                <w:rFonts w:ascii="Verdana" w:hAnsi="Verdana"/>
                <w:sz w:val="18"/>
                <w:szCs w:val="18"/>
              </w:rPr>
              <w:t>. Dit is 9,3% van het totaal aantal projecten</w:t>
            </w:r>
            <w:r>
              <w:rPr>
                <w:rFonts w:ascii="Verdana" w:hAnsi="Verdana"/>
                <w:sz w:val="18"/>
                <w:szCs w:val="18"/>
              </w:rPr>
              <w:t xml:space="preserve"> binnen de WSBO</w:t>
            </w:r>
            <w:r w:rsidRPr="00707559">
              <w:rPr>
                <w:rFonts w:ascii="Verdana" w:hAnsi="Verdana"/>
                <w:sz w:val="18"/>
                <w:szCs w:val="18"/>
              </w:rPr>
              <w:t>.</w:t>
            </w:r>
          </w:p>
        </w:tc>
        <w:tc>
          <w:tcPr>
            <w:tcW w:w="4253" w:type="dxa"/>
          </w:tcPr>
          <w:p w:rsidRPr="00621AD1" w:rsidR="00F70A43" w:rsidP="00E90905" w:rsidRDefault="00F70A43" w14:paraId="38799510" w14:textId="77777777">
            <w:pPr>
              <w:rPr>
                <w:rFonts w:ascii="Verdana" w:hAnsi="Verdana"/>
                <w:sz w:val="18"/>
                <w:szCs w:val="18"/>
              </w:rPr>
            </w:pPr>
            <w:r>
              <w:rPr>
                <w:rFonts w:ascii="Verdana" w:hAnsi="Verdana"/>
                <w:sz w:val="18"/>
                <w:szCs w:val="18"/>
              </w:rPr>
              <w:t>Dit instrument is onderzocht door SEO in 2025</w:t>
            </w:r>
            <w:r>
              <w:rPr>
                <w:rStyle w:val="Voetnootmarkering"/>
                <w:rFonts w:ascii="Verdana" w:hAnsi="Verdana"/>
                <w:sz w:val="18"/>
                <w:szCs w:val="18"/>
              </w:rPr>
              <w:footnoteReference w:id="7"/>
            </w:r>
            <w:r>
              <w:rPr>
                <w:rFonts w:ascii="Verdana" w:hAnsi="Verdana"/>
                <w:sz w:val="18"/>
                <w:szCs w:val="18"/>
              </w:rPr>
              <w:t xml:space="preserve">. </w:t>
            </w:r>
            <w:r w:rsidRPr="00357EED">
              <w:rPr>
                <w:rFonts w:ascii="Verdana" w:hAnsi="Verdana"/>
                <w:sz w:val="18"/>
                <w:szCs w:val="18"/>
              </w:rPr>
              <w:t>De onderzoekers beoordelen de WBSO als overwegend doeltreffend. De WBSO stimuleert S&amp;O- en R&amp;D-investeringen bij bedrijven, zorgt ervoor dat meer bedrijven S&amp;O-activiteiten doen en creëert met door haar gestimuleerde R&amp;D</w:t>
            </w:r>
            <w:r>
              <w:rPr>
                <w:rFonts w:ascii="Verdana" w:hAnsi="Verdana"/>
                <w:sz w:val="18"/>
                <w:szCs w:val="18"/>
              </w:rPr>
              <w:t>-</w:t>
            </w:r>
            <w:r w:rsidRPr="00357EED">
              <w:rPr>
                <w:rFonts w:ascii="Verdana" w:hAnsi="Verdana"/>
                <w:sz w:val="18"/>
                <w:szCs w:val="18"/>
              </w:rPr>
              <w:t xml:space="preserve">investeringen additionele </w:t>
            </w:r>
            <w:proofErr w:type="spellStart"/>
            <w:r w:rsidRPr="00357EED">
              <w:rPr>
                <w:rFonts w:ascii="Verdana" w:hAnsi="Verdana"/>
                <w:sz w:val="18"/>
                <w:szCs w:val="18"/>
              </w:rPr>
              <w:t>kennisspillovers</w:t>
            </w:r>
            <w:proofErr w:type="spellEnd"/>
            <w:r w:rsidRPr="00357EED">
              <w:rPr>
                <w:rFonts w:ascii="Verdana" w:hAnsi="Verdana"/>
                <w:sz w:val="18"/>
                <w:szCs w:val="18"/>
              </w:rPr>
              <w:t>.</w:t>
            </w:r>
            <w:r>
              <w:rPr>
                <w:rFonts w:ascii="Verdana" w:hAnsi="Verdana"/>
                <w:sz w:val="18"/>
                <w:szCs w:val="18"/>
              </w:rPr>
              <w:t xml:space="preserve"> </w:t>
            </w:r>
            <w:r w:rsidRPr="00E00075">
              <w:rPr>
                <w:rFonts w:ascii="Verdana" w:hAnsi="Verdana"/>
                <w:sz w:val="18"/>
                <w:szCs w:val="18"/>
              </w:rPr>
              <w:t>Wanneer de opbrengsten, kosten en alternatieven worden afgewogen, concluderen de onderzoekers desondanks dat de WBSO overwegend macrodoelmatig is. Wel blijkt dat voor microbedrijven minder effecten gevonden worden. Desalniettemin lijkt de WBSO nog altijd het meest geschikte instrument te zijn om op grote schaal additionele S&amp;O/R&amp;D bij bedrijven te stimuleren.</w:t>
            </w:r>
            <w:r>
              <w:rPr>
                <w:rFonts w:ascii="Verdana" w:hAnsi="Verdana"/>
                <w:sz w:val="18"/>
                <w:szCs w:val="18"/>
              </w:rPr>
              <w:t xml:space="preserve"> </w:t>
            </w:r>
            <w:r w:rsidRPr="00D97D38">
              <w:rPr>
                <w:rFonts w:ascii="Verdana" w:hAnsi="Verdana"/>
                <w:color w:val="000000"/>
                <w:sz w:val="18"/>
                <w:szCs w:val="18"/>
              </w:rPr>
              <w:t xml:space="preserve">Vanwege de demissionaire status laat het kabinet een </w:t>
            </w:r>
            <w:r w:rsidRPr="00D97D38">
              <w:rPr>
                <w:rFonts w:ascii="Verdana" w:hAnsi="Verdana"/>
                <w:color w:val="000000"/>
                <w:sz w:val="18"/>
                <w:szCs w:val="18"/>
              </w:rPr>
              <w:lastRenderedPageBreak/>
              <w:t>besluit over eventuele ophoging van het budget aan een volgend kabinet.</w:t>
            </w:r>
          </w:p>
        </w:tc>
      </w:tr>
      <w:tr w:rsidRPr="00621AD1" w:rsidR="00F70A43" w:rsidTr="00E90905" w14:paraId="0B826CB3" w14:textId="77777777">
        <w:tc>
          <w:tcPr>
            <w:tcW w:w="1555" w:type="dxa"/>
          </w:tcPr>
          <w:p w:rsidRPr="00621AD1" w:rsidR="00F70A43" w:rsidP="00E90905" w:rsidRDefault="00F70A43" w14:paraId="7672B001" w14:textId="77777777">
            <w:pPr>
              <w:rPr>
                <w:rFonts w:ascii="Verdana" w:hAnsi="Verdana"/>
                <w:sz w:val="18"/>
                <w:szCs w:val="18"/>
              </w:rPr>
            </w:pPr>
            <w:r>
              <w:rPr>
                <w:rFonts w:ascii="Verdana" w:hAnsi="Verdana"/>
                <w:sz w:val="18"/>
                <w:szCs w:val="18"/>
              </w:rPr>
              <w:lastRenderedPageBreak/>
              <w:t>Continuering fiscaal voordeel groen sparen en beleggen*</w:t>
            </w:r>
          </w:p>
        </w:tc>
        <w:tc>
          <w:tcPr>
            <w:tcW w:w="3543" w:type="dxa"/>
          </w:tcPr>
          <w:p w:rsidRPr="00806233" w:rsidR="00F70A43" w:rsidP="00E90905" w:rsidRDefault="00F70A43" w14:paraId="28D70901" w14:textId="77777777">
            <w:pPr>
              <w:rPr>
                <w:rFonts w:ascii="Verdana" w:hAnsi="Verdana"/>
                <w:color w:val="000000"/>
                <w:sz w:val="18"/>
                <w:szCs w:val="18"/>
              </w:rPr>
            </w:pPr>
            <w:r w:rsidRPr="00D97D38">
              <w:rPr>
                <w:rFonts w:ascii="Verdana" w:hAnsi="Verdana"/>
                <w:color w:val="000000"/>
                <w:sz w:val="18"/>
                <w:szCs w:val="18"/>
              </w:rPr>
              <w:t xml:space="preserve">Voor groene beleggingen en groene spaartegoeden geldt een vrijstelling binnen de vermogensrendementsheffing. In 2023 zijn 1.340 groenprojecten toegekend, waarmee ondernemers van een groenbank een lening kunnen verkrijgen tegen een lagere rente. Uit dit aantal waren volgens RVO maar 2 groenverklaringen toegekend die gericht zijn op circulariteit. </w:t>
            </w:r>
            <w:r w:rsidRPr="0061458B">
              <w:rPr>
                <w:rFonts w:ascii="Verdana" w:hAnsi="Verdana"/>
                <w:sz w:val="18"/>
                <w:szCs w:val="18"/>
              </w:rPr>
              <w:t>Bij amendement van Eijk/Vermeer werd bij de behandeling van het Belastingplan 2025 door de Tweede Kamer het fiscaal voordeel voor groen beleggen afgeschaft</w:t>
            </w:r>
            <w:r>
              <w:rPr>
                <w:rFonts w:ascii="Verdana" w:hAnsi="Verdana"/>
                <w:sz w:val="18"/>
                <w:szCs w:val="18"/>
              </w:rPr>
              <w:t xml:space="preserve"> per 2027. </w:t>
            </w:r>
            <w:r w:rsidRPr="00D97D38">
              <w:rPr>
                <w:rFonts w:ascii="Verdana" w:hAnsi="Verdana"/>
                <w:color w:val="000000"/>
                <w:sz w:val="18"/>
                <w:szCs w:val="18"/>
              </w:rPr>
              <w:t xml:space="preserve">Continuering hiervan zorgt voor meer private investeringen in duurzame businesscases waaronder binnen de circulaire </w:t>
            </w:r>
            <w:r>
              <w:rPr>
                <w:rFonts w:ascii="Verdana" w:hAnsi="Verdana"/>
                <w:sz w:val="18"/>
                <w:szCs w:val="18"/>
              </w:rPr>
              <w:t>economie</w:t>
            </w:r>
          </w:p>
          <w:p w:rsidRPr="00621AD1" w:rsidR="00F70A43" w:rsidP="00E90905" w:rsidRDefault="00F70A43" w14:paraId="5C8141E7" w14:textId="77777777">
            <w:pPr>
              <w:rPr>
                <w:rFonts w:ascii="Verdana" w:hAnsi="Verdana" w:cstheme="minorHAnsi"/>
                <w:color w:val="000000"/>
                <w:sz w:val="18"/>
                <w:szCs w:val="18"/>
              </w:rPr>
            </w:pPr>
          </w:p>
        </w:tc>
        <w:tc>
          <w:tcPr>
            <w:tcW w:w="4253" w:type="dxa"/>
          </w:tcPr>
          <w:p w:rsidRPr="0061458B" w:rsidR="00F70A43" w:rsidP="00E90905" w:rsidRDefault="00F70A43" w14:paraId="65CA3340" w14:textId="77777777">
            <w:pPr>
              <w:rPr>
                <w:rFonts w:ascii="Verdana" w:hAnsi="Verdana"/>
                <w:sz w:val="18"/>
                <w:szCs w:val="18"/>
              </w:rPr>
            </w:pPr>
            <w:r>
              <w:rPr>
                <w:rFonts w:ascii="Verdana" w:hAnsi="Verdana"/>
                <w:sz w:val="18"/>
                <w:szCs w:val="18"/>
              </w:rPr>
              <w:t>Deze maatregel is geëvalueerd door RVO</w:t>
            </w:r>
            <w:r>
              <w:rPr>
                <w:rStyle w:val="Voetnootmarkering"/>
                <w:rFonts w:ascii="Verdana" w:hAnsi="Verdana"/>
                <w:sz w:val="18"/>
                <w:szCs w:val="18"/>
              </w:rPr>
              <w:footnoteReference w:id="8"/>
            </w:r>
            <w:r w:rsidRPr="0061458B">
              <w:rPr>
                <w:rFonts w:ascii="Verdana" w:hAnsi="Verdana"/>
                <w:sz w:val="18"/>
                <w:szCs w:val="18"/>
              </w:rPr>
              <w:t xml:space="preserve">. De regeling werd als </w:t>
            </w:r>
            <w:r>
              <w:rPr>
                <w:rFonts w:ascii="Verdana" w:hAnsi="Verdana"/>
                <w:sz w:val="18"/>
                <w:szCs w:val="18"/>
              </w:rPr>
              <w:t xml:space="preserve">doeltreffend en </w:t>
            </w:r>
            <w:r w:rsidRPr="0061458B">
              <w:rPr>
                <w:rFonts w:ascii="Verdana" w:hAnsi="Verdana"/>
                <w:sz w:val="18"/>
                <w:szCs w:val="18"/>
              </w:rPr>
              <w:t>doelmatig beoordeeld: 1 euro fiscale derving leidt tot €29-34 extra private investeringen in duurzame projecten. Met name projecten (koplopers) worden hiermee ondersteund en krijgen de kans zich te ontwikkelen. Continuering van de regeling is relatief eenvoudig uitvoerbaar.</w:t>
            </w:r>
            <w:r>
              <w:rPr>
                <w:rFonts w:ascii="Verdana" w:hAnsi="Verdana"/>
                <w:sz w:val="18"/>
                <w:szCs w:val="18"/>
              </w:rPr>
              <w:t xml:space="preserve"> </w:t>
            </w:r>
            <w:r w:rsidRPr="00D97D38">
              <w:rPr>
                <w:rFonts w:ascii="Verdana" w:hAnsi="Verdana"/>
                <w:color w:val="000000"/>
                <w:sz w:val="18"/>
                <w:szCs w:val="18"/>
              </w:rPr>
              <w:t>Vanwege de demissionaire status laat het kabinet een besluit hierover aan een volgend kabinet.</w:t>
            </w:r>
          </w:p>
          <w:p w:rsidRPr="00621AD1" w:rsidR="00F70A43" w:rsidP="00E90905" w:rsidRDefault="00F70A43" w14:paraId="191D1384" w14:textId="77777777">
            <w:pPr>
              <w:rPr>
                <w:rFonts w:ascii="Verdana" w:hAnsi="Verdana"/>
                <w:sz w:val="18"/>
                <w:szCs w:val="18"/>
              </w:rPr>
            </w:pPr>
          </w:p>
        </w:tc>
      </w:tr>
      <w:tr w:rsidRPr="00621AD1" w:rsidR="00F70A43" w:rsidTr="00E90905" w14:paraId="5C342E0E" w14:textId="77777777">
        <w:tc>
          <w:tcPr>
            <w:tcW w:w="1555" w:type="dxa"/>
          </w:tcPr>
          <w:p w:rsidRPr="00621AD1" w:rsidR="00F70A43" w:rsidP="00E90905" w:rsidRDefault="00F70A43" w14:paraId="2590B5EB" w14:textId="77777777">
            <w:pPr>
              <w:rPr>
                <w:rFonts w:ascii="Verdana" w:hAnsi="Verdana"/>
                <w:sz w:val="18"/>
                <w:szCs w:val="18"/>
              </w:rPr>
            </w:pPr>
            <w:r w:rsidRPr="00D97D38">
              <w:rPr>
                <w:rFonts w:ascii="Verdana" w:hAnsi="Verdana"/>
                <w:sz w:val="18"/>
                <w:szCs w:val="18"/>
              </w:rPr>
              <w:t xml:space="preserve">Aanpassen </w:t>
            </w:r>
            <w:proofErr w:type="spellStart"/>
            <w:r w:rsidRPr="00D97D38">
              <w:rPr>
                <w:rFonts w:ascii="Verdana" w:hAnsi="Verdana"/>
                <w:sz w:val="18"/>
                <w:szCs w:val="18"/>
              </w:rPr>
              <w:t>energie-belasting</w:t>
            </w:r>
            <w:proofErr w:type="spellEnd"/>
            <w:r>
              <w:rPr>
                <w:rFonts w:ascii="Verdana" w:hAnsi="Verdana"/>
                <w:sz w:val="18"/>
                <w:szCs w:val="18"/>
              </w:rPr>
              <w:t>*</w:t>
            </w:r>
          </w:p>
        </w:tc>
        <w:tc>
          <w:tcPr>
            <w:tcW w:w="3543" w:type="dxa"/>
          </w:tcPr>
          <w:p w:rsidRPr="00621AD1" w:rsidR="00F70A43" w:rsidP="00E90905" w:rsidRDefault="00F70A43" w14:paraId="3B9FB643" w14:textId="77777777">
            <w:pPr>
              <w:rPr>
                <w:rFonts w:ascii="Verdana" w:hAnsi="Verdana"/>
                <w:sz w:val="18"/>
                <w:szCs w:val="18"/>
              </w:rPr>
            </w:pPr>
            <w:r w:rsidRPr="007B53FA">
              <w:rPr>
                <w:rFonts w:ascii="Verdana" w:hAnsi="Verdana"/>
                <w:color w:val="000000"/>
                <w:sz w:val="18"/>
                <w:szCs w:val="18"/>
              </w:rPr>
              <w:t>Via verschillende varianten kunnen de tarieven in de energiebelasting meer in lijn worden gebracht met de klimaatschadekosten die gepaard gaan met het gebruik van de energiebronnen (</w:t>
            </w:r>
            <w:r>
              <w:rPr>
                <w:rFonts w:ascii="Verdana" w:hAnsi="Verdana"/>
                <w:color w:val="000000"/>
                <w:sz w:val="18"/>
                <w:szCs w:val="18"/>
              </w:rPr>
              <w:t xml:space="preserve">bijvoorbeeld door: </w:t>
            </w:r>
            <w:r w:rsidRPr="007B53FA">
              <w:rPr>
                <w:rFonts w:ascii="Verdana" w:hAnsi="Verdana"/>
                <w:color w:val="000000"/>
                <w:sz w:val="18"/>
                <w:szCs w:val="18"/>
              </w:rPr>
              <w:t>minder degressief</w:t>
            </w:r>
            <w:r>
              <w:rPr>
                <w:rFonts w:ascii="Verdana" w:hAnsi="Verdana"/>
                <w:color w:val="000000"/>
                <w:sz w:val="18"/>
                <w:szCs w:val="18"/>
              </w:rPr>
              <w:t xml:space="preserve"> stelsel</w:t>
            </w:r>
            <w:r w:rsidRPr="007B53FA">
              <w:rPr>
                <w:rFonts w:ascii="Verdana" w:hAnsi="Verdana"/>
                <w:color w:val="000000"/>
                <w:sz w:val="18"/>
                <w:szCs w:val="18"/>
              </w:rPr>
              <w:t>, aardgas</w:t>
            </w:r>
            <w:r>
              <w:rPr>
                <w:rFonts w:ascii="Verdana" w:hAnsi="Verdana"/>
                <w:color w:val="000000"/>
                <w:sz w:val="18"/>
                <w:szCs w:val="18"/>
              </w:rPr>
              <w:t xml:space="preserve">tarieven </w:t>
            </w:r>
            <w:r w:rsidRPr="007B53FA">
              <w:rPr>
                <w:rFonts w:ascii="Verdana" w:hAnsi="Verdana"/>
                <w:color w:val="000000"/>
                <w:sz w:val="18"/>
                <w:szCs w:val="18"/>
              </w:rPr>
              <w:t xml:space="preserve"> meer belasten</w:t>
            </w:r>
            <w:r>
              <w:rPr>
                <w:rFonts w:ascii="Verdana" w:hAnsi="Verdana"/>
                <w:color w:val="000000"/>
                <w:sz w:val="18"/>
                <w:szCs w:val="18"/>
              </w:rPr>
              <w:t>, afschaffen vrijstellingen</w:t>
            </w:r>
            <w:r w:rsidRPr="007B53FA">
              <w:rPr>
                <w:rFonts w:ascii="Verdana" w:hAnsi="Verdana"/>
                <w:color w:val="000000"/>
                <w:sz w:val="18"/>
                <w:szCs w:val="18"/>
              </w:rPr>
              <w:t>)</w:t>
            </w:r>
            <w:r>
              <w:rPr>
                <w:rFonts w:ascii="Verdana" w:hAnsi="Verdana"/>
                <w:color w:val="000000"/>
                <w:sz w:val="18"/>
                <w:szCs w:val="18"/>
              </w:rPr>
              <w:t xml:space="preserve">. Met name bij de productiefase wordt nog veel gebruik gemaakt van fossiele energiedragers, door dit meer te belasten worden minder </w:t>
            </w:r>
            <w:proofErr w:type="spellStart"/>
            <w:r>
              <w:rPr>
                <w:rFonts w:ascii="Verdana" w:hAnsi="Verdana"/>
                <w:color w:val="000000"/>
                <w:sz w:val="18"/>
                <w:szCs w:val="18"/>
              </w:rPr>
              <w:t>energieverbruikende</w:t>
            </w:r>
            <w:proofErr w:type="spellEnd"/>
            <w:r>
              <w:rPr>
                <w:rFonts w:ascii="Verdana" w:hAnsi="Verdana"/>
                <w:color w:val="000000"/>
                <w:sz w:val="18"/>
                <w:szCs w:val="18"/>
              </w:rPr>
              <w:t xml:space="preserve"> alternatieven zoals hergebruik van grondstoffen relatief aantrekkelijker.</w:t>
            </w:r>
          </w:p>
        </w:tc>
        <w:tc>
          <w:tcPr>
            <w:tcW w:w="4253" w:type="dxa"/>
          </w:tcPr>
          <w:p w:rsidRPr="00806233" w:rsidR="00F70A43" w:rsidP="00E90905" w:rsidRDefault="00F70A43" w14:paraId="79200386" w14:textId="77777777">
            <w:pPr>
              <w:rPr>
                <w:rFonts w:ascii="Verdana" w:hAnsi="Verdana"/>
                <w:color w:val="000000" w:themeColor="text1"/>
                <w:sz w:val="18"/>
                <w:szCs w:val="18"/>
              </w:rPr>
            </w:pPr>
            <w:r w:rsidRPr="007B53FA">
              <w:rPr>
                <w:rFonts w:ascii="Verdana" w:hAnsi="Verdana"/>
                <w:color w:val="000000"/>
                <w:sz w:val="18"/>
                <w:szCs w:val="18"/>
              </w:rPr>
              <w:t xml:space="preserve">De energiebelasting op aardgas loopt richting 2030 al op in het </w:t>
            </w:r>
            <w:proofErr w:type="spellStart"/>
            <w:r w:rsidRPr="007B53FA">
              <w:rPr>
                <w:rFonts w:ascii="Verdana" w:hAnsi="Verdana"/>
                <w:color w:val="000000"/>
                <w:sz w:val="18"/>
                <w:szCs w:val="18"/>
              </w:rPr>
              <w:t>basispad</w:t>
            </w:r>
            <w:proofErr w:type="spellEnd"/>
            <w:r w:rsidRPr="007B53FA">
              <w:rPr>
                <w:rFonts w:ascii="Verdana" w:hAnsi="Verdana"/>
                <w:color w:val="000000"/>
                <w:sz w:val="18"/>
                <w:szCs w:val="18"/>
              </w:rPr>
              <w:t xml:space="preserve"> en wordt minder degressief. Tegelijkertijd </w:t>
            </w:r>
            <w:r>
              <w:rPr>
                <w:rFonts w:ascii="Verdana" w:hAnsi="Verdana"/>
                <w:color w:val="000000"/>
                <w:sz w:val="18"/>
                <w:szCs w:val="18"/>
              </w:rPr>
              <w:t>wordt door de onderzoekers van CE Delft in de evaluatie van de energiebelasting</w:t>
            </w:r>
            <w:r>
              <w:rPr>
                <w:rStyle w:val="Voetnootmarkering"/>
                <w:rFonts w:ascii="Verdana" w:hAnsi="Verdana"/>
                <w:color w:val="000000"/>
                <w:sz w:val="18"/>
                <w:szCs w:val="18"/>
              </w:rPr>
              <w:footnoteReference w:id="9"/>
            </w:r>
            <w:r>
              <w:rPr>
                <w:rFonts w:ascii="Verdana" w:hAnsi="Verdana"/>
                <w:color w:val="000000"/>
                <w:sz w:val="18"/>
                <w:szCs w:val="18"/>
              </w:rPr>
              <w:t xml:space="preserve"> aanbevolen om </w:t>
            </w:r>
            <w:r w:rsidRPr="00CE2DA7">
              <w:rPr>
                <w:rFonts w:ascii="Verdana" w:hAnsi="Verdana"/>
                <w:color w:val="000000"/>
                <w:sz w:val="18"/>
                <w:szCs w:val="18"/>
              </w:rPr>
              <w:t xml:space="preserve">de </w:t>
            </w:r>
            <w:r>
              <w:rPr>
                <w:rFonts w:ascii="Verdana" w:hAnsi="Verdana"/>
                <w:color w:val="000000"/>
                <w:sz w:val="18"/>
                <w:szCs w:val="18"/>
              </w:rPr>
              <w:t>energie</w:t>
            </w:r>
            <w:r w:rsidRPr="00CE2DA7">
              <w:rPr>
                <w:rFonts w:ascii="Verdana" w:hAnsi="Verdana"/>
                <w:color w:val="000000"/>
                <w:sz w:val="18"/>
                <w:szCs w:val="18"/>
              </w:rPr>
              <w:t xml:space="preserve">tarieven geleidelijk in lijn </w:t>
            </w:r>
            <w:r>
              <w:rPr>
                <w:rFonts w:ascii="Verdana" w:hAnsi="Verdana"/>
                <w:color w:val="000000"/>
                <w:sz w:val="18"/>
                <w:szCs w:val="18"/>
              </w:rPr>
              <w:t xml:space="preserve">te brengen </w:t>
            </w:r>
            <w:r w:rsidRPr="00CE2DA7">
              <w:rPr>
                <w:rFonts w:ascii="Verdana" w:hAnsi="Verdana"/>
                <w:color w:val="000000"/>
                <w:sz w:val="18"/>
                <w:szCs w:val="18"/>
              </w:rPr>
              <w:t xml:space="preserve">met de hoogte van de externe kosten die samenhangen met het energiegebruik en klimaat, </w:t>
            </w:r>
            <w:r>
              <w:rPr>
                <w:rFonts w:ascii="Verdana" w:hAnsi="Verdana"/>
                <w:color w:val="000000"/>
                <w:sz w:val="18"/>
                <w:szCs w:val="18"/>
              </w:rPr>
              <w:t xml:space="preserve">wat een extra aanscherping bovenop de al aangekondigde tariefswijziging in het </w:t>
            </w:r>
            <w:proofErr w:type="spellStart"/>
            <w:r>
              <w:rPr>
                <w:rFonts w:ascii="Verdana" w:hAnsi="Verdana"/>
                <w:color w:val="000000"/>
                <w:sz w:val="18"/>
                <w:szCs w:val="18"/>
              </w:rPr>
              <w:t>basispad</w:t>
            </w:r>
            <w:proofErr w:type="spellEnd"/>
            <w:r>
              <w:rPr>
                <w:rFonts w:ascii="Verdana" w:hAnsi="Verdana"/>
                <w:color w:val="000000"/>
                <w:sz w:val="18"/>
                <w:szCs w:val="18"/>
              </w:rPr>
              <w:t xml:space="preserve"> zou betekenen</w:t>
            </w:r>
            <w:r w:rsidRPr="00CE2DA7">
              <w:rPr>
                <w:rFonts w:ascii="Verdana" w:hAnsi="Verdana"/>
                <w:color w:val="000000"/>
                <w:sz w:val="18"/>
                <w:szCs w:val="18"/>
              </w:rPr>
              <w:t>.</w:t>
            </w:r>
            <w:r>
              <w:rPr>
                <w:rFonts w:ascii="Verdana" w:hAnsi="Verdana"/>
                <w:color w:val="000000"/>
                <w:sz w:val="18"/>
                <w:szCs w:val="18"/>
              </w:rPr>
              <w:t xml:space="preserve"> Een verhoging van de energiebelasting</w:t>
            </w:r>
            <w:r w:rsidRPr="007B53FA">
              <w:rPr>
                <w:rFonts w:ascii="Verdana" w:hAnsi="Verdana"/>
                <w:color w:val="000000"/>
                <w:sz w:val="18"/>
                <w:szCs w:val="18"/>
              </w:rPr>
              <w:t xml:space="preserve"> verhoogt echter tevens de lasten van huishoudens en kan in de hogere schijven mogelijk leiden tot productieweglek van grootgebruikers. </w:t>
            </w:r>
            <w:r w:rsidRPr="00D97D38">
              <w:rPr>
                <w:rFonts w:ascii="Verdana" w:hAnsi="Verdana"/>
                <w:color w:val="000000"/>
                <w:sz w:val="18"/>
                <w:szCs w:val="18"/>
              </w:rPr>
              <w:t xml:space="preserve">Vanwege de demissionaire status laat het kabinet een besluit hierover aan een volgend kabinet. </w:t>
            </w:r>
          </w:p>
        </w:tc>
      </w:tr>
      <w:tr w:rsidRPr="00621AD1" w:rsidR="00F70A43" w:rsidTr="00E90905" w14:paraId="27891BDE" w14:textId="77777777">
        <w:tc>
          <w:tcPr>
            <w:tcW w:w="1555" w:type="dxa"/>
          </w:tcPr>
          <w:p w:rsidRPr="00621AD1" w:rsidR="00F70A43" w:rsidP="00E90905" w:rsidRDefault="00F70A43" w14:paraId="58D7AB06" w14:textId="77777777">
            <w:pPr>
              <w:rPr>
                <w:rFonts w:ascii="Verdana" w:hAnsi="Verdana"/>
                <w:sz w:val="18"/>
                <w:szCs w:val="18"/>
              </w:rPr>
            </w:pPr>
            <w:bookmarkStart w:name="_Hlk205483898" w:id="0"/>
            <w:r w:rsidRPr="00621AD1">
              <w:rPr>
                <w:rFonts w:ascii="Verdana" w:hAnsi="Verdana"/>
                <w:sz w:val="18"/>
                <w:szCs w:val="18"/>
              </w:rPr>
              <w:t>Milieubelasting op</w:t>
            </w:r>
          </w:p>
          <w:p w:rsidRPr="00621AD1" w:rsidR="00F70A43" w:rsidP="00E90905" w:rsidRDefault="00F70A43" w14:paraId="64C8DA25" w14:textId="77777777">
            <w:pPr>
              <w:rPr>
                <w:rFonts w:ascii="Verdana" w:hAnsi="Verdana"/>
                <w:sz w:val="18"/>
                <w:szCs w:val="18"/>
              </w:rPr>
            </w:pPr>
            <w:r w:rsidRPr="00621AD1">
              <w:rPr>
                <w:rFonts w:ascii="Verdana" w:hAnsi="Verdana"/>
                <w:sz w:val="18"/>
                <w:szCs w:val="18"/>
              </w:rPr>
              <w:t>drankverpakkingen</w:t>
            </w:r>
          </w:p>
          <w:p w:rsidRPr="00621AD1" w:rsidR="00F70A43" w:rsidP="00E90905" w:rsidRDefault="00F70A43" w14:paraId="0865BCE6" w14:textId="77777777">
            <w:pPr>
              <w:rPr>
                <w:rFonts w:ascii="Verdana" w:hAnsi="Verdana"/>
                <w:sz w:val="18"/>
                <w:szCs w:val="18"/>
              </w:rPr>
            </w:pPr>
            <w:r w:rsidRPr="00621AD1">
              <w:rPr>
                <w:rFonts w:ascii="Verdana" w:hAnsi="Verdana"/>
                <w:sz w:val="18"/>
                <w:szCs w:val="18"/>
              </w:rPr>
              <w:t>(Noors model)</w:t>
            </w:r>
            <w:bookmarkEnd w:id="0"/>
          </w:p>
        </w:tc>
        <w:tc>
          <w:tcPr>
            <w:tcW w:w="3543" w:type="dxa"/>
          </w:tcPr>
          <w:p w:rsidRPr="00621AD1" w:rsidR="00F70A43" w:rsidP="00E90905" w:rsidRDefault="00F70A43" w14:paraId="420C75E8" w14:textId="77777777">
            <w:pPr>
              <w:rPr>
                <w:rFonts w:ascii="Verdana" w:hAnsi="Verdana"/>
                <w:sz w:val="18"/>
                <w:szCs w:val="18"/>
              </w:rPr>
            </w:pPr>
            <w:r>
              <w:rPr>
                <w:rFonts w:ascii="Verdana" w:hAnsi="Verdana"/>
                <w:sz w:val="18"/>
                <w:szCs w:val="18"/>
              </w:rPr>
              <w:t>Een nieuwe heffing waarbij p</w:t>
            </w:r>
            <w:r w:rsidRPr="00621AD1">
              <w:rPr>
                <w:rFonts w:ascii="Verdana" w:hAnsi="Verdana"/>
                <w:sz w:val="18"/>
                <w:szCs w:val="18"/>
              </w:rPr>
              <w:t>roducenten per</w:t>
            </w:r>
          </w:p>
          <w:p w:rsidRPr="00621AD1" w:rsidR="00F70A43" w:rsidP="00E90905" w:rsidRDefault="00F70A43" w14:paraId="73142184" w14:textId="77777777">
            <w:pPr>
              <w:rPr>
                <w:rFonts w:ascii="Verdana" w:hAnsi="Verdana"/>
                <w:sz w:val="18"/>
                <w:szCs w:val="18"/>
              </w:rPr>
            </w:pPr>
            <w:r w:rsidRPr="00621AD1">
              <w:rPr>
                <w:rFonts w:ascii="Verdana" w:hAnsi="Verdana"/>
                <w:sz w:val="18"/>
                <w:szCs w:val="18"/>
              </w:rPr>
              <w:t xml:space="preserve">verpakkingseenheid belasting </w:t>
            </w:r>
            <w:r>
              <w:rPr>
                <w:rFonts w:ascii="Verdana" w:hAnsi="Verdana"/>
                <w:sz w:val="18"/>
                <w:szCs w:val="18"/>
              </w:rPr>
              <w:t xml:space="preserve">betalen </w:t>
            </w:r>
            <w:r w:rsidRPr="00621AD1">
              <w:rPr>
                <w:rFonts w:ascii="Verdana" w:hAnsi="Verdana"/>
                <w:sz w:val="18"/>
                <w:szCs w:val="18"/>
              </w:rPr>
              <w:t xml:space="preserve">waarvan de tariefhoogte afneemt naarmate het inzamelpercentage van de verpakkingen hoger wordt. Bij een inzamelpercentage van 95% vervalt de heffing volledig. </w:t>
            </w:r>
          </w:p>
        </w:tc>
        <w:tc>
          <w:tcPr>
            <w:tcW w:w="4253" w:type="dxa"/>
          </w:tcPr>
          <w:p w:rsidRPr="00806233" w:rsidR="00F70A43" w:rsidP="00E90905" w:rsidRDefault="00F70A43" w14:paraId="6656B5CB" w14:textId="77777777">
            <w:pPr>
              <w:rPr>
                <w:rFonts w:ascii="Verdana" w:hAnsi="Verdana"/>
                <w:sz w:val="18"/>
                <w:szCs w:val="18"/>
              </w:rPr>
            </w:pPr>
            <w:r w:rsidRPr="00D97D38">
              <w:rPr>
                <w:rFonts w:ascii="Verdana" w:hAnsi="Verdana"/>
                <w:sz w:val="18"/>
                <w:szCs w:val="18"/>
              </w:rPr>
              <w:t xml:space="preserve">Het ministerie van </w:t>
            </w:r>
            <w:proofErr w:type="spellStart"/>
            <w:r w:rsidRPr="00D97D38">
              <w:rPr>
                <w:rFonts w:ascii="Verdana" w:hAnsi="Verdana"/>
                <w:sz w:val="18"/>
                <w:szCs w:val="18"/>
              </w:rPr>
              <w:t>IenW</w:t>
            </w:r>
            <w:proofErr w:type="spellEnd"/>
            <w:r w:rsidRPr="00D97D38">
              <w:rPr>
                <w:rFonts w:ascii="Verdana" w:hAnsi="Verdana"/>
                <w:sz w:val="18"/>
                <w:szCs w:val="18"/>
              </w:rPr>
              <w:t xml:space="preserve"> heeft een korte verkenning laten uitvoeren door KPMG (</w:t>
            </w:r>
            <w:r>
              <w:rPr>
                <w:rFonts w:ascii="Verdana" w:hAnsi="Verdana"/>
                <w:sz w:val="18"/>
                <w:szCs w:val="18"/>
              </w:rPr>
              <w:t>zie bijlage 3</w:t>
            </w:r>
            <w:r w:rsidRPr="00D97D38">
              <w:rPr>
                <w:rFonts w:ascii="Verdana" w:hAnsi="Verdana"/>
                <w:sz w:val="18"/>
                <w:szCs w:val="18"/>
              </w:rPr>
              <w:t xml:space="preserve">) naar een belasting die gekoppeld is aan het gerealiseerde inzamelpercentage van flessen en blikjes. Hierbij worden producenten en importeurs die verantwoordelijk zijn om de statiegeld inzameldoelstelling op flessen en blikjes te behalen, afhankelijk van hun behaalde inzamelresultaten. De belasting wordt lager, naarmate er meer wordt ingezameld. Dit model wordt in Noorwegen al zeer succesvol toegepast en vormt een positieve circulaire prikkel. </w:t>
            </w:r>
            <w:r w:rsidRPr="00FE3FAD">
              <w:rPr>
                <w:rFonts w:ascii="Verdana" w:hAnsi="Verdana"/>
                <w:sz w:val="18"/>
                <w:szCs w:val="18"/>
              </w:rPr>
              <w:t xml:space="preserve">Indien de heffing politiek wenselijk wordt geacht, dient de exacte vormgeving van de heffing nader verkend en getoetst te worden, onder andere op uitvoerbaarheid. </w:t>
            </w:r>
            <w:r w:rsidRPr="00FE3FAD">
              <w:rPr>
                <w:rFonts w:ascii="Verdana" w:hAnsi="Verdana"/>
                <w:sz w:val="18"/>
                <w:szCs w:val="18"/>
              </w:rPr>
              <w:lastRenderedPageBreak/>
              <w:t>Bij invoering is het voor de milieueffecten en behalen van wettelijke doelstellingen cruciaal dat een eventuele nieuwe heffing als deel van een pakket aan beleidsmaatregelen geïntroduceerd wordt.</w:t>
            </w:r>
          </w:p>
        </w:tc>
      </w:tr>
      <w:tr w:rsidRPr="00621AD1" w:rsidR="00F70A43" w:rsidTr="00E90905" w14:paraId="1107F5F5" w14:textId="77777777">
        <w:tc>
          <w:tcPr>
            <w:tcW w:w="1555" w:type="dxa"/>
          </w:tcPr>
          <w:p w:rsidRPr="00621AD1" w:rsidR="00F70A43" w:rsidP="00E90905" w:rsidRDefault="00F70A43" w14:paraId="51FED56F" w14:textId="77777777">
            <w:pPr>
              <w:rPr>
                <w:rFonts w:ascii="Verdana" w:hAnsi="Verdana"/>
                <w:sz w:val="18"/>
                <w:szCs w:val="18"/>
              </w:rPr>
            </w:pPr>
            <w:r w:rsidRPr="00621AD1">
              <w:rPr>
                <w:rFonts w:ascii="Verdana" w:hAnsi="Verdana"/>
                <w:sz w:val="18"/>
                <w:szCs w:val="18"/>
              </w:rPr>
              <w:lastRenderedPageBreak/>
              <w:t>Polymerenheffing</w:t>
            </w:r>
          </w:p>
        </w:tc>
        <w:tc>
          <w:tcPr>
            <w:tcW w:w="3543" w:type="dxa"/>
          </w:tcPr>
          <w:p w:rsidRPr="00621AD1" w:rsidR="00F70A43" w:rsidP="00E90905" w:rsidRDefault="00F70A43" w14:paraId="384EEF99" w14:textId="77777777">
            <w:pPr>
              <w:rPr>
                <w:rFonts w:ascii="Verdana" w:hAnsi="Verdana"/>
                <w:sz w:val="18"/>
                <w:szCs w:val="18"/>
              </w:rPr>
            </w:pPr>
            <w:r w:rsidRPr="007B53FA">
              <w:rPr>
                <w:rFonts w:ascii="Verdana" w:hAnsi="Verdana"/>
                <w:color w:val="000000"/>
                <w:sz w:val="18"/>
                <w:szCs w:val="18"/>
              </w:rPr>
              <w:t>Een</w:t>
            </w:r>
            <w:r>
              <w:rPr>
                <w:rFonts w:ascii="Verdana" w:hAnsi="Verdana"/>
                <w:color w:val="000000"/>
                <w:sz w:val="18"/>
                <w:szCs w:val="18"/>
              </w:rPr>
              <w:t xml:space="preserve"> nieuwe</w:t>
            </w:r>
            <w:r w:rsidRPr="007B53FA">
              <w:rPr>
                <w:rFonts w:ascii="Verdana" w:hAnsi="Verdana"/>
                <w:color w:val="000000"/>
                <w:sz w:val="18"/>
                <w:szCs w:val="18"/>
              </w:rPr>
              <w:t xml:space="preserve"> belasting op de productie en verwerking van fossiele polymeren</w:t>
            </w:r>
          </w:p>
        </w:tc>
        <w:tc>
          <w:tcPr>
            <w:tcW w:w="4253" w:type="dxa"/>
          </w:tcPr>
          <w:p w:rsidRPr="00806233" w:rsidR="00F70A43" w:rsidP="00E90905" w:rsidRDefault="00F70A43" w14:paraId="474A861E" w14:textId="77777777">
            <w:pPr>
              <w:rPr>
                <w:rFonts w:ascii="Verdana" w:hAnsi="Verdana"/>
                <w:color w:val="000000" w:themeColor="text1"/>
                <w:sz w:val="18"/>
                <w:szCs w:val="18"/>
              </w:rPr>
            </w:pPr>
            <w:r w:rsidRPr="007B53FA">
              <w:rPr>
                <w:rFonts w:ascii="Verdana" w:hAnsi="Verdana"/>
                <w:color w:val="000000"/>
                <w:sz w:val="18"/>
                <w:szCs w:val="18"/>
              </w:rPr>
              <w:t xml:space="preserve">Onderzoeksbureau </w:t>
            </w:r>
            <w:proofErr w:type="spellStart"/>
            <w:r w:rsidRPr="007B53FA">
              <w:rPr>
                <w:rFonts w:ascii="Verdana" w:hAnsi="Verdana"/>
                <w:color w:val="000000"/>
                <w:sz w:val="18"/>
                <w:szCs w:val="18"/>
              </w:rPr>
              <w:t>Trinomics</w:t>
            </w:r>
            <w:proofErr w:type="spellEnd"/>
            <w:r w:rsidRPr="007B53FA">
              <w:rPr>
                <w:rFonts w:ascii="Verdana" w:hAnsi="Verdana"/>
                <w:color w:val="000000"/>
                <w:sz w:val="18"/>
                <w:szCs w:val="18"/>
              </w:rPr>
              <w:t xml:space="preserve"> heeft in opdracht van het kabinet de beleidseffecten hiervan nader in kaart gebracht. </w:t>
            </w:r>
            <w:r w:rsidRPr="00D97D38">
              <w:rPr>
                <w:rFonts w:ascii="Verdana" w:hAnsi="Verdana"/>
                <w:color w:val="000000"/>
                <w:sz w:val="18"/>
                <w:szCs w:val="18"/>
              </w:rPr>
              <w:t>Het</w:t>
            </w:r>
            <w:r w:rsidRPr="007B53FA">
              <w:rPr>
                <w:rFonts w:ascii="Verdana" w:hAnsi="Verdana"/>
                <w:color w:val="000000"/>
                <w:sz w:val="18"/>
                <w:szCs w:val="18"/>
              </w:rPr>
              <w:t xml:space="preserve"> kabinet </w:t>
            </w:r>
            <w:r w:rsidRPr="00D97D38">
              <w:rPr>
                <w:rFonts w:ascii="Verdana" w:hAnsi="Verdana"/>
                <w:color w:val="000000"/>
                <w:sz w:val="18"/>
                <w:szCs w:val="18"/>
              </w:rPr>
              <w:t xml:space="preserve">heeft </w:t>
            </w:r>
            <w:r w:rsidRPr="007B53FA">
              <w:rPr>
                <w:rFonts w:ascii="Verdana" w:hAnsi="Verdana"/>
                <w:color w:val="000000"/>
                <w:sz w:val="18"/>
                <w:szCs w:val="18"/>
              </w:rPr>
              <w:t xml:space="preserve">besloten om de polymerenheffing en de </w:t>
            </w:r>
            <w:proofErr w:type="spellStart"/>
            <w:r w:rsidRPr="007B53FA">
              <w:rPr>
                <w:rFonts w:ascii="Verdana" w:hAnsi="Verdana"/>
                <w:color w:val="000000"/>
                <w:sz w:val="18"/>
                <w:szCs w:val="18"/>
              </w:rPr>
              <w:t>circulaireplasticnorm</w:t>
            </w:r>
            <w:proofErr w:type="spellEnd"/>
            <w:r w:rsidRPr="007B53FA">
              <w:rPr>
                <w:rFonts w:ascii="Verdana" w:hAnsi="Verdana"/>
                <w:color w:val="000000"/>
                <w:sz w:val="18"/>
                <w:szCs w:val="18"/>
              </w:rPr>
              <w:t xml:space="preserve"> allebei niet in te voeren</w:t>
            </w:r>
            <w:r w:rsidRPr="00D97D38">
              <w:rPr>
                <w:rFonts w:ascii="Verdana" w:hAnsi="Verdana"/>
                <w:color w:val="000000"/>
                <w:sz w:val="18"/>
                <w:szCs w:val="18"/>
              </w:rPr>
              <w:t xml:space="preserve"> vanwege de verwachte gecombineerde weglekeffecten en </w:t>
            </w:r>
            <w:r w:rsidRPr="007B53FA">
              <w:rPr>
                <w:rFonts w:ascii="Verdana" w:hAnsi="Verdana"/>
                <w:color w:val="000000"/>
                <w:sz w:val="18"/>
                <w:szCs w:val="18"/>
              </w:rPr>
              <w:t xml:space="preserve">de zorgen uit de sector over de </w:t>
            </w:r>
            <w:r w:rsidRPr="00D97D38">
              <w:rPr>
                <w:rFonts w:ascii="Verdana" w:hAnsi="Verdana"/>
                <w:color w:val="000000"/>
                <w:sz w:val="18"/>
                <w:szCs w:val="18"/>
              </w:rPr>
              <w:t xml:space="preserve">internationale </w:t>
            </w:r>
            <w:r w:rsidRPr="007B53FA">
              <w:rPr>
                <w:rFonts w:ascii="Verdana" w:hAnsi="Verdana"/>
                <w:color w:val="000000"/>
                <w:sz w:val="18"/>
                <w:szCs w:val="18"/>
              </w:rPr>
              <w:t xml:space="preserve">concurrentiepositie van de Nederlandse industrie en het </w:t>
            </w:r>
            <w:proofErr w:type="spellStart"/>
            <w:r w:rsidRPr="007B53FA">
              <w:rPr>
                <w:rFonts w:ascii="Verdana" w:hAnsi="Verdana"/>
                <w:color w:val="000000"/>
                <w:sz w:val="18"/>
                <w:szCs w:val="18"/>
              </w:rPr>
              <w:t>polymeerverwerkende</w:t>
            </w:r>
            <w:proofErr w:type="spellEnd"/>
            <w:r w:rsidRPr="007B53FA">
              <w:rPr>
                <w:rFonts w:ascii="Verdana" w:hAnsi="Verdana"/>
                <w:color w:val="000000"/>
                <w:sz w:val="18"/>
                <w:szCs w:val="18"/>
              </w:rPr>
              <w:t xml:space="preserve"> midden- en kleinbedrijf.</w:t>
            </w:r>
          </w:p>
        </w:tc>
      </w:tr>
      <w:tr w:rsidRPr="00621AD1" w:rsidR="00F70A43" w:rsidTr="00E90905" w14:paraId="63FE4736" w14:textId="77777777">
        <w:tc>
          <w:tcPr>
            <w:tcW w:w="1555" w:type="dxa"/>
          </w:tcPr>
          <w:p w:rsidRPr="00621AD1" w:rsidR="00F70A43" w:rsidP="00E90905" w:rsidRDefault="00F70A43" w14:paraId="79736F4C" w14:textId="77777777">
            <w:pPr>
              <w:rPr>
                <w:rFonts w:ascii="Verdana" w:hAnsi="Verdana"/>
                <w:sz w:val="18"/>
                <w:szCs w:val="18"/>
              </w:rPr>
            </w:pPr>
            <w:r w:rsidRPr="00621AD1">
              <w:rPr>
                <w:rFonts w:ascii="Verdana" w:hAnsi="Verdana"/>
                <w:sz w:val="18"/>
                <w:szCs w:val="18"/>
              </w:rPr>
              <w:t xml:space="preserve">SUP-heffing op verpakkingen </w:t>
            </w:r>
          </w:p>
        </w:tc>
        <w:tc>
          <w:tcPr>
            <w:tcW w:w="3543" w:type="dxa"/>
          </w:tcPr>
          <w:p w:rsidRPr="00F92503" w:rsidR="00F70A43" w:rsidP="00E90905" w:rsidRDefault="00F70A43" w14:paraId="5C81B8C2" w14:textId="77777777">
            <w:pPr>
              <w:rPr>
                <w:rFonts w:ascii="Verdana" w:hAnsi="Verdana"/>
                <w:sz w:val="18"/>
                <w:szCs w:val="18"/>
              </w:rPr>
            </w:pPr>
            <w:r w:rsidRPr="00621AD1">
              <w:rPr>
                <w:rFonts w:ascii="Verdana" w:hAnsi="Verdana"/>
                <w:sz w:val="18"/>
                <w:szCs w:val="18"/>
              </w:rPr>
              <w:t xml:space="preserve">Een </w:t>
            </w:r>
            <w:r>
              <w:rPr>
                <w:rFonts w:ascii="Verdana" w:hAnsi="Verdana"/>
                <w:sz w:val="18"/>
                <w:szCs w:val="18"/>
              </w:rPr>
              <w:t xml:space="preserve">nieuwe </w:t>
            </w:r>
            <w:r w:rsidRPr="00621AD1">
              <w:rPr>
                <w:rFonts w:ascii="Verdana" w:hAnsi="Verdana"/>
                <w:sz w:val="18"/>
                <w:szCs w:val="18"/>
              </w:rPr>
              <w:t>heffing op verpakkingen voor eenmalig gebruik bij producenten.</w:t>
            </w:r>
          </w:p>
        </w:tc>
        <w:tc>
          <w:tcPr>
            <w:tcW w:w="4253" w:type="dxa"/>
          </w:tcPr>
          <w:p w:rsidRPr="00806233" w:rsidR="00F70A43" w:rsidP="00E90905" w:rsidRDefault="00F70A43" w14:paraId="7799D7F2" w14:textId="77777777">
            <w:pPr>
              <w:rPr>
                <w:rFonts w:ascii="Verdana" w:hAnsi="Verdana"/>
                <w:color w:val="000000" w:themeColor="text1"/>
                <w:sz w:val="18"/>
                <w:szCs w:val="18"/>
              </w:rPr>
            </w:pPr>
            <w:r w:rsidRPr="00D97D38">
              <w:rPr>
                <w:rFonts w:ascii="Verdana" w:hAnsi="Verdana"/>
                <w:sz w:val="18"/>
                <w:szCs w:val="18"/>
              </w:rPr>
              <w:t xml:space="preserve">Het ministerie van </w:t>
            </w:r>
            <w:proofErr w:type="spellStart"/>
            <w:r w:rsidRPr="00D97D38">
              <w:rPr>
                <w:rFonts w:ascii="Verdana" w:hAnsi="Verdana"/>
                <w:sz w:val="18"/>
                <w:szCs w:val="18"/>
              </w:rPr>
              <w:t>IenW</w:t>
            </w:r>
            <w:proofErr w:type="spellEnd"/>
            <w:r w:rsidRPr="00D97D38">
              <w:rPr>
                <w:rFonts w:ascii="Verdana" w:hAnsi="Verdana"/>
                <w:sz w:val="18"/>
                <w:szCs w:val="18"/>
              </w:rPr>
              <w:t xml:space="preserve"> heeft een korte verkenning uit laten voeren door Berenschot (</w:t>
            </w:r>
            <w:r>
              <w:rPr>
                <w:rFonts w:ascii="Verdana" w:hAnsi="Verdana"/>
                <w:sz w:val="18"/>
                <w:szCs w:val="18"/>
              </w:rPr>
              <w:t>zie bijlage 2</w:t>
            </w:r>
            <w:r w:rsidRPr="00D97D38">
              <w:rPr>
                <w:rFonts w:ascii="Verdana" w:hAnsi="Verdana"/>
                <w:sz w:val="18"/>
                <w:szCs w:val="18"/>
              </w:rPr>
              <w:t xml:space="preserve">) naar mogelijke vormgeving van een belasting op specifieke eenmalige plastic verpakkingssoorten bestaande uit </w:t>
            </w:r>
            <w:proofErr w:type="spellStart"/>
            <w:r w:rsidRPr="00D97D38">
              <w:rPr>
                <w:rFonts w:ascii="Verdana" w:hAnsi="Verdana"/>
                <w:sz w:val="18"/>
                <w:szCs w:val="18"/>
              </w:rPr>
              <w:t>virgin</w:t>
            </w:r>
            <w:proofErr w:type="spellEnd"/>
            <w:r w:rsidRPr="00D97D38">
              <w:rPr>
                <w:rFonts w:ascii="Verdana" w:hAnsi="Verdana"/>
                <w:sz w:val="18"/>
                <w:szCs w:val="18"/>
              </w:rPr>
              <w:t xml:space="preserve"> plastic. </w:t>
            </w:r>
            <w:r w:rsidRPr="00FE3FAD">
              <w:rPr>
                <w:rFonts w:ascii="Verdana" w:hAnsi="Verdana"/>
                <w:sz w:val="18"/>
                <w:szCs w:val="18"/>
              </w:rPr>
              <w:t>Indien de heffing politiek wenselijk wordt geacht, dient de exacte vormgeving van de heffing nader verkend en getoetst te worden, onder andere op uitvoerbaarheid en circulaire effecten. Bij invoering is het voor de milieueffecten en behalen van wettelijke doelstellingen cruciaal dat een eventuele nieuwe heffing als deel van een pakket aan beleidsmaatregelen geïntroduceerd wordt</w:t>
            </w:r>
          </w:p>
        </w:tc>
      </w:tr>
      <w:tr w:rsidRPr="00621AD1" w:rsidR="00F70A43" w:rsidTr="00E90905" w14:paraId="486A6E4F" w14:textId="77777777">
        <w:tc>
          <w:tcPr>
            <w:tcW w:w="9351" w:type="dxa"/>
            <w:gridSpan w:val="3"/>
            <w:shd w:val="clear" w:color="auto" w:fill="D9E2F3" w:themeFill="accent1" w:themeFillTint="33"/>
          </w:tcPr>
          <w:p w:rsidRPr="00F70A43" w:rsidR="00F70A43" w:rsidP="00E90905" w:rsidRDefault="00F70A43" w14:paraId="2CFEDCD4" w14:textId="77777777">
            <w:pPr>
              <w:jc w:val="center"/>
              <w:rPr>
                <w:rFonts w:ascii="Verdana" w:hAnsi="Verdana"/>
                <w:b/>
                <w:bCs/>
                <w:color w:val="000000"/>
                <w:sz w:val="18"/>
                <w:szCs w:val="18"/>
              </w:rPr>
            </w:pPr>
            <w:r w:rsidRPr="00F70A43">
              <w:rPr>
                <w:rFonts w:ascii="Verdana" w:hAnsi="Verdana"/>
                <w:b/>
                <w:bCs/>
                <w:sz w:val="18"/>
                <w:szCs w:val="18"/>
              </w:rPr>
              <w:t>Distributie en verkoop(detailhandel)/consumptie</w:t>
            </w:r>
          </w:p>
        </w:tc>
      </w:tr>
      <w:tr w:rsidRPr="00621AD1" w:rsidR="00F70A43" w:rsidTr="00E90905" w14:paraId="10AD40E8" w14:textId="77777777">
        <w:tc>
          <w:tcPr>
            <w:tcW w:w="1555" w:type="dxa"/>
          </w:tcPr>
          <w:p w:rsidRPr="00621AD1" w:rsidR="00F70A43" w:rsidP="00E90905" w:rsidRDefault="00F70A43" w14:paraId="36169681" w14:textId="77777777">
            <w:pPr>
              <w:rPr>
                <w:rFonts w:ascii="Verdana" w:hAnsi="Verdana"/>
                <w:sz w:val="18"/>
                <w:szCs w:val="18"/>
              </w:rPr>
            </w:pPr>
            <w:r w:rsidRPr="00621AD1">
              <w:rPr>
                <w:rFonts w:ascii="Verdana" w:hAnsi="Verdana"/>
                <w:sz w:val="18"/>
                <w:szCs w:val="18"/>
              </w:rPr>
              <w:t>Belasting op plastic producten</w:t>
            </w:r>
          </w:p>
        </w:tc>
        <w:tc>
          <w:tcPr>
            <w:tcW w:w="3543" w:type="dxa"/>
          </w:tcPr>
          <w:p w:rsidRPr="00621AD1" w:rsidR="00F70A43" w:rsidP="00E90905" w:rsidRDefault="00F70A43" w14:paraId="1B98A97C" w14:textId="77777777">
            <w:pPr>
              <w:rPr>
                <w:rFonts w:ascii="Verdana" w:hAnsi="Verdana"/>
                <w:sz w:val="18"/>
                <w:szCs w:val="18"/>
              </w:rPr>
            </w:pPr>
            <w:r w:rsidRPr="00621AD1">
              <w:rPr>
                <w:rFonts w:ascii="Verdana" w:hAnsi="Verdana"/>
                <w:sz w:val="18"/>
                <w:szCs w:val="18"/>
              </w:rPr>
              <w:t xml:space="preserve">Een </w:t>
            </w:r>
            <w:r>
              <w:rPr>
                <w:rFonts w:ascii="Verdana" w:hAnsi="Verdana"/>
                <w:sz w:val="18"/>
                <w:szCs w:val="18"/>
              </w:rPr>
              <w:t xml:space="preserve">nieuwe </w:t>
            </w:r>
            <w:r w:rsidRPr="00621AD1">
              <w:rPr>
                <w:rFonts w:ascii="Verdana" w:hAnsi="Verdana"/>
                <w:sz w:val="18"/>
                <w:szCs w:val="18"/>
              </w:rPr>
              <w:t>heffing op plastic productgroepen (verpakkingen, bouw, automo</w:t>
            </w:r>
            <w:r>
              <w:rPr>
                <w:rFonts w:ascii="Verdana" w:hAnsi="Verdana"/>
                <w:sz w:val="18"/>
                <w:szCs w:val="18"/>
              </w:rPr>
              <w:t>biel</w:t>
            </w:r>
            <w:r w:rsidRPr="00621AD1">
              <w:rPr>
                <w:rFonts w:ascii="Verdana" w:hAnsi="Verdana"/>
                <w:sz w:val="18"/>
                <w:szCs w:val="18"/>
              </w:rPr>
              <w:t>, landbouw, elektronica)</w:t>
            </w:r>
          </w:p>
        </w:tc>
        <w:tc>
          <w:tcPr>
            <w:tcW w:w="4253" w:type="dxa"/>
          </w:tcPr>
          <w:p w:rsidRPr="00806233" w:rsidR="00F70A43" w:rsidP="00E90905" w:rsidRDefault="00F70A43" w14:paraId="4AAAACA0" w14:textId="77777777">
            <w:pPr>
              <w:rPr>
                <w:rFonts w:ascii="Verdana" w:hAnsi="Verdana"/>
                <w:color w:val="000000" w:themeColor="text1"/>
                <w:sz w:val="18"/>
                <w:szCs w:val="18"/>
              </w:rPr>
            </w:pPr>
            <w:proofErr w:type="spellStart"/>
            <w:r w:rsidRPr="007B53FA">
              <w:rPr>
                <w:rFonts w:ascii="Verdana" w:hAnsi="Verdana"/>
                <w:color w:val="000000"/>
                <w:sz w:val="18"/>
                <w:szCs w:val="18"/>
              </w:rPr>
              <w:t>Ecorys</w:t>
            </w:r>
            <w:proofErr w:type="spellEnd"/>
            <w:r w:rsidRPr="007B53FA">
              <w:rPr>
                <w:rFonts w:ascii="Verdana" w:hAnsi="Verdana"/>
                <w:color w:val="000000"/>
                <w:sz w:val="18"/>
                <w:szCs w:val="18"/>
              </w:rPr>
              <w:t xml:space="preserve"> heeft recent verkennend onderzoek gedaan (2025) naar een heffing op plastic productniveau. Een belasting aan het einde van de keten (‘op de markt brengen’) heeft mogelijk minder weglekrisico’s en potentie voor marktcreatie. </w:t>
            </w:r>
            <w:proofErr w:type="spellStart"/>
            <w:r w:rsidRPr="007B53FA">
              <w:rPr>
                <w:rFonts w:ascii="Verdana" w:hAnsi="Verdana"/>
                <w:color w:val="000000"/>
                <w:sz w:val="18"/>
                <w:szCs w:val="18"/>
              </w:rPr>
              <w:t>Ecorys</w:t>
            </w:r>
            <w:proofErr w:type="spellEnd"/>
            <w:r w:rsidRPr="007B53FA">
              <w:rPr>
                <w:rFonts w:ascii="Verdana" w:hAnsi="Verdana"/>
                <w:color w:val="000000"/>
                <w:sz w:val="18"/>
                <w:szCs w:val="18"/>
              </w:rPr>
              <w:t xml:space="preserve"> acht van de bekeken varianten een beperkte belasting op plastic verpakkingen het meest kansrijk. Daarbij is echter niet in detail gekeken naar de handhaafbaarheid, uitvoerbaarheid en fraudegevoeligheid van </w:t>
            </w:r>
            <w:r>
              <w:rPr>
                <w:rFonts w:ascii="Verdana" w:hAnsi="Verdana"/>
                <w:color w:val="000000"/>
                <w:sz w:val="18"/>
                <w:szCs w:val="18"/>
              </w:rPr>
              <w:t>de mogelijke</w:t>
            </w:r>
            <w:r w:rsidRPr="007B53FA">
              <w:rPr>
                <w:rFonts w:ascii="Verdana" w:hAnsi="Verdana"/>
                <w:color w:val="000000"/>
                <w:sz w:val="18"/>
                <w:szCs w:val="18"/>
              </w:rPr>
              <w:t xml:space="preserve"> heffing. </w:t>
            </w:r>
            <w:r>
              <w:rPr>
                <w:rFonts w:ascii="Verdana" w:hAnsi="Verdana"/>
                <w:color w:val="000000"/>
                <w:sz w:val="18"/>
                <w:szCs w:val="18"/>
              </w:rPr>
              <w:t>Waarbij er op het eerste oog vraagtekens zijn bij de uitvoerbaarheid van een dergelijke belasting op basis van de huidige data van uitvoerders voor plastic producten, die als grondslag zou moeten dienen voor de belasting.</w:t>
            </w:r>
            <w:r w:rsidRPr="00934685">
              <w:rPr>
                <w:rFonts w:ascii="Verdana" w:hAnsi="Verdana"/>
                <w:color w:val="000000"/>
                <w:sz w:val="18"/>
                <w:szCs w:val="18"/>
              </w:rPr>
              <w:t xml:space="preserve"> </w:t>
            </w:r>
            <w:r w:rsidRPr="007B53FA">
              <w:rPr>
                <w:rFonts w:ascii="Verdana" w:hAnsi="Verdana"/>
                <w:color w:val="000000"/>
                <w:sz w:val="18"/>
                <w:szCs w:val="18"/>
              </w:rPr>
              <w:t xml:space="preserve">Voor de andere bekeken </w:t>
            </w:r>
            <w:r w:rsidRPr="00D97D38">
              <w:rPr>
                <w:rFonts w:ascii="Verdana" w:hAnsi="Verdana"/>
                <w:color w:val="000000"/>
                <w:sz w:val="18"/>
                <w:szCs w:val="18"/>
              </w:rPr>
              <w:t>productgroepen</w:t>
            </w:r>
            <w:r w:rsidRPr="007B53FA">
              <w:rPr>
                <w:rFonts w:ascii="Verdana" w:hAnsi="Verdana"/>
                <w:color w:val="000000"/>
                <w:sz w:val="18"/>
                <w:szCs w:val="18"/>
              </w:rPr>
              <w:t xml:space="preserve"> ziet </w:t>
            </w:r>
            <w:proofErr w:type="spellStart"/>
            <w:r w:rsidRPr="007B53FA">
              <w:rPr>
                <w:rFonts w:ascii="Verdana" w:hAnsi="Verdana"/>
                <w:color w:val="000000"/>
                <w:sz w:val="18"/>
                <w:szCs w:val="18"/>
              </w:rPr>
              <w:t>Ecorys</w:t>
            </w:r>
            <w:proofErr w:type="spellEnd"/>
            <w:r w:rsidRPr="007B53FA">
              <w:rPr>
                <w:rFonts w:ascii="Verdana" w:hAnsi="Verdana"/>
                <w:color w:val="000000"/>
                <w:sz w:val="18"/>
                <w:szCs w:val="18"/>
              </w:rPr>
              <w:t xml:space="preserve"> veel bezwaren. Zo zijn bepaalde heffingen gemakkelijk te omzeilen voor consumenten door online spullen te kopen buiten Nederland (textiel, </w:t>
            </w:r>
            <w:proofErr w:type="spellStart"/>
            <w:r w:rsidRPr="007B53FA">
              <w:rPr>
                <w:rFonts w:ascii="Verdana" w:hAnsi="Verdana"/>
                <w:color w:val="000000"/>
                <w:sz w:val="18"/>
                <w:szCs w:val="18"/>
              </w:rPr>
              <w:t>elektr</w:t>
            </w:r>
            <w:proofErr w:type="spellEnd"/>
            <w:r w:rsidRPr="007B53FA">
              <w:rPr>
                <w:rFonts w:ascii="Verdana" w:hAnsi="Verdana"/>
                <w:color w:val="000000"/>
                <w:sz w:val="18"/>
                <w:szCs w:val="18"/>
              </w:rPr>
              <w:t>(on)</w:t>
            </w:r>
            <w:proofErr w:type="spellStart"/>
            <w:r w:rsidRPr="007B53FA">
              <w:rPr>
                <w:rFonts w:ascii="Verdana" w:hAnsi="Verdana"/>
                <w:color w:val="000000"/>
                <w:sz w:val="18"/>
                <w:szCs w:val="18"/>
              </w:rPr>
              <w:t>ische</w:t>
            </w:r>
            <w:proofErr w:type="spellEnd"/>
            <w:r w:rsidRPr="007B53FA">
              <w:rPr>
                <w:rFonts w:ascii="Verdana" w:hAnsi="Verdana"/>
                <w:color w:val="000000"/>
                <w:sz w:val="18"/>
                <w:szCs w:val="18"/>
              </w:rPr>
              <w:t xml:space="preserve"> apparaten). Verder kan de grote diversiteit aan toepassingen van plastic belemmerend werken (bouw, </w:t>
            </w:r>
            <w:r w:rsidRPr="00D97D38">
              <w:rPr>
                <w:rFonts w:ascii="Verdana" w:hAnsi="Verdana"/>
                <w:color w:val="000000"/>
                <w:sz w:val="18"/>
                <w:szCs w:val="18"/>
              </w:rPr>
              <w:t>automobiel</w:t>
            </w:r>
            <w:r w:rsidRPr="007B53FA">
              <w:rPr>
                <w:rFonts w:ascii="Verdana" w:hAnsi="Verdana"/>
                <w:color w:val="000000"/>
                <w:sz w:val="18"/>
                <w:szCs w:val="18"/>
              </w:rPr>
              <w:t>). Ook kan meespelen dat het aandeel gerecycled plastic al hoog is (landbouw).</w:t>
            </w:r>
            <w:r>
              <w:rPr>
                <w:rFonts w:ascii="Verdana" w:hAnsi="Verdana"/>
                <w:color w:val="000000"/>
                <w:sz w:val="18"/>
                <w:szCs w:val="18"/>
              </w:rPr>
              <w:t xml:space="preserve"> </w:t>
            </w:r>
            <w:r w:rsidRPr="00D97D38">
              <w:rPr>
                <w:rFonts w:ascii="Verdana" w:hAnsi="Verdana"/>
                <w:sz w:val="18"/>
                <w:szCs w:val="18"/>
              </w:rPr>
              <w:t xml:space="preserve">Indien de heffing politiek wenselijk wordt geacht, dient de exacte vormgeving van de heffing </w:t>
            </w:r>
            <w:r w:rsidRPr="00D97D38">
              <w:rPr>
                <w:rFonts w:ascii="Verdana" w:hAnsi="Verdana"/>
                <w:sz w:val="18"/>
                <w:szCs w:val="18"/>
              </w:rPr>
              <w:lastRenderedPageBreak/>
              <w:t xml:space="preserve">nader verkend en getoetst te worden, onder andere op uitvoerbaarheid. </w:t>
            </w:r>
          </w:p>
        </w:tc>
      </w:tr>
      <w:tr w:rsidRPr="00621AD1" w:rsidR="00F70A43" w:rsidTr="00E90905" w14:paraId="4D1FD8A1" w14:textId="77777777">
        <w:tc>
          <w:tcPr>
            <w:tcW w:w="1555" w:type="dxa"/>
          </w:tcPr>
          <w:p w:rsidRPr="00621AD1" w:rsidR="00F70A43" w:rsidP="00E90905" w:rsidRDefault="00F70A43" w14:paraId="619FC265" w14:textId="77777777">
            <w:pPr>
              <w:rPr>
                <w:rFonts w:ascii="Verdana" w:hAnsi="Verdana"/>
                <w:sz w:val="18"/>
                <w:szCs w:val="18"/>
              </w:rPr>
            </w:pPr>
            <w:r>
              <w:rPr>
                <w:rFonts w:ascii="Verdana" w:hAnsi="Verdana"/>
                <w:sz w:val="18"/>
                <w:szCs w:val="18"/>
              </w:rPr>
              <w:lastRenderedPageBreak/>
              <w:t>V</w:t>
            </w:r>
            <w:r w:rsidRPr="00621AD1">
              <w:rPr>
                <w:rFonts w:ascii="Verdana" w:hAnsi="Verdana"/>
                <w:sz w:val="18"/>
                <w:szCs w:val="18"/>
              </w:rPr>
              <w:t xml:space="preserve">erlaagd </w:t>
            </w:r>
            <w:r>
              <w:rPr>
                <w:rFonts w:ascii="Verdana" w:hAnsi="Verdana"/>
                <w:sz w:val="18"/>
                <w:szCs w:val="18"/>
              </w:rPr>
              <w:t>btw-</w:t>
            </w:r>
            <w:r w:rsidRPr="00621AD1">
              <w:rPr>
                <w:rFonts w:ascii="Verdana" w:hAnsi="Verdana"/>
                <w:sz w:val="18"/>
                <w:szCs w:val="18"/>
              </w:rPr>
              <w:t>tarief op reparatie van huishoudapparaten</w:t>
            </w:r>
          </w:p>
        </w:tc>
        <w:tc>
          <w:tcPr>
            <w:tcW w:w="3543" w:type="dxa"/>
          </w:tcPr>
          <w:p w:rsidRPr="00621AD1" w:rsidR="00F70A43" w:rsidP="00E90905" w:rsidRDefault="00F70A43" w14:paraId="48F18CC9" w14:textId="77777777">
            <w:pPr>
              <w:rPr>
                <w:rFonts w:ascii="Verdana" w:hAnsi="Verdana"/>
                <w:sz w:val="18"/>
                <w:szCs w:val="18"/>
              </w:rPr>
            </w:pPr>
            <w:r w:rsidRPr="00621AD1">
              <w:rPr>
                <w:rFonts w:ascii="Verdana" w:hAnsi="Verdana"/>
                <w:sz w:val="18"/>
                <w:szCs w:val="18"/>
              </w:rPr>
              <w:t>Momenteel maakt Nederland gedeeltelijk gebruik van de bestaande mogelijkheid een verlaagd btw-tarief op reparatiediensten toe te passen</w:t>
            </w:r>
            <w:r>
              <w:rPr>
                <w:rFonts w:ascii="Verdana" w:hAnsi="Verdana"/>
                <w:sz w:val="18"/>
                <w:szCs w:val="18"/>
              </w:rPr>
              <w:t>:</w:t>
            </w:r>
            <w:r w:rsidRPr="00621AD1">
              <w:rPr>
                <w:rFonts w:ascii="Verdana" w:hAnsi="Verdana"/>
                <w:sz w:val="18"/>
                <w:szCs w:val="18"/>
              </w:rPr>
              <w:t xml:space="preserve"> namelijk bij het herstellen van bepaalde hulpmiddelen met een medische achtergrond; fietsen; schoeisel en lederwaren; kleding en huishoudlinnen. De mogelijkheid voor een verlaagd tarief op reparatie van huishoudapparaten wordt in Nederland niet toegepast.</w:t>
            </w:r>
          </w:p>
        </w:tc>
        <w:tc>
          <w:tcPr>
            <w:tcW w:w="4253" w:type="dxa"/>
          </w:tcPr>
          <w:p w:rsidRPr="00621AD1" w:rsidR="00F70A43" w:rsidP="00E90905" w:rsidRDefault="00F70A43" w14:paraId="75B2CAAA" w14:textId="77777777">
            <w:pPr>
              <w:rPr>
                <w:rFonts w:ascii="Verdana" w:hAnsi="Verdana"/>
                <w:sz w:val="18"/>
                <w:szCs w:val="18"/>
              </w:rPr>
            </w:pPr>
            <w:r w:rsidRPr="00621AD1">
              <w:rPr>
                <w:rFonts w:ascii="Verdana" w:hAnsi="Verdana"/>
                <w:sz w:val="18"/>
                <w:szCs w:val="18"/>
              </w:rPr>
              <w:t xml:space="preserve">Een verlaagd tarief op reparatie van huishoudapparaten brengt significante afbakeningsproblematiek met zich mee en de budgettaire consequenties </w:t>
            </w:r>
            <w:r>
              <w:rPr>
                <w:rFonts w:ascii="Verdana" w:hAnsi="Verdana"/>
                <w:sz w:val="18"/>
                <w:szCs w:val="18"/>
              </w:rPr>
              <w:t xml:space="preserve">zijn </w:t>
            </w:r>
            <w:r w:rsidRPr="00621AD1">
              <w:rPr>
                <w:rFonts w:ascii="Verdana" w:hAnsi="Verdana"/>
                <w:sz w:val="18"/>
                <w:szCs w:val="18"/>
              </w:rPr>
              <w:t xml:space="preserve">moeilijk in te schatten. Uit de evaluatie van de verlaagde btw-tarieven blijkt dat deze hooguit deels doeltreffend zijn, en over het algemeen geen doelmatig instrument. Ofwel: stimuleren via de btw werkt maar beperkt en is relatief duur. </w:t>
            </w:r>
          </w:p>
          <w:p w:rsidRPr="00621AD1" w:rsidR="00F70A43" w:rsidP="00E90905" w:rsidRDefault="00F70A43" w14:paraId="6715DF2E" w14:textId="77777777">
            <w:pPr>
              <w:pStyle w:val="Normaalweb"/>
              <w:spacing w:after="300" w:line="255" w:lineRule="atLeast"/>
              <w:rPr>
                <w:rFonts w:ascii="Verdana" w:hAnsi="Verdana" w:cstheme="minorHAnsi"/>
                <w:sz w:val="18"/>
                <w:szCs w:val="18"/>
              </w:rPr>
            </w:pPr>
          </w:p>
        </w:tc>
      </w:tr>
      <w:tr w:rsidRPr="00621AD1" w:rsidR="00F70A43" w:rsidTr="00F70A43" w14:paraId="2B9303E8" w14:textId="77777777">
        <w:tc>
          <w:tcPr>
            <w:tcW w:w="9351" w:type="dxa"/>
            <w:gridSpan w:val="3"/>
            <w:shd w:val="clear" w:color="auto" w:fill="D5DCE4" w:themeFill="text2" w:themeFillTint="33"/>
          </w:tcPr>
          <w:p w:rsidRPr="00F70A43" w:rsidR="00F70A43" w:rsidP="00E90905" w:rsidRDefault="00F70A43" w14:paraId="59C66810" w14:textId="77777777">
            <w:pPr>
              <w:jc w:val="center"/>
              <w:rPr>
                <w:rFonts w:ascii="Verdana" w:hAnsi="Verdana"/>
                <w:b/>
                <w:bCs/>
                <w:sz w:val="18"/>
                <w:szCs w:val="18"/>
              </w:rPr>
            </w:pPr>
            <w:r w:rsidRPr="00F70A43">
              <w:rPr>
                <w:rFonts w:ascii="Verdana" w:hAnsi="Verdana"/>
                <w:b/>
                <w:bCs/>
                <w:sz w:val="18"/>
                <w:szCs w:val="18"/>
              </w:rPr>
              <w:t>Afval en verwerking</w:t>
            </w:r>
          </w:p>
        </w:tc>
      </w:tr>
      <w:tr w:rsidRPr="00621AD1" w:rsidR="00F70A43" w:rsidTr="00E90905" w14:paraId="364B0879" w14:textId="77777777">
        <w:tc>
          <w:tcPr>
            <w:tcW w:w="1555" w:type="dxa"/>
            <w:shd w:val="clear" w:color="auto" w:fill="auto"/>
          </w:tcPr>
          <w:p w:rsidR="00F70A43" w:rsidP="00E90905" w:rsidRDefault="00F70A43" w14:paraId="4209A9CE" w14:textId="77777777">
            <w:pPr>
              <w:rPr>
                <w:rFonts w:ascii="Verdana" w:hAnsi="Verdana"/>
                <w:sz w:val="18"/>
                <w:szCs w:val="18"/>
              </w:rPr>
            </w:pPr>
            <w:r w:rsidRPr="00621AD1">
              <w:rPr>
                <w:rFonts w:ascii="Verdana" w:hAnsi="Verdana"/>
                <w:sz w:val="18"/>
                <w:szCs w:val="18"/>
              </w:rPr>
              <w:t>Aanpassen afvalstoffenbelasting*</w:t>
            </w:r>
            <w:r>
              <w:rPr>
                <w:rFonts w:ascii="Verdana" w:hAnsi="Verdana"/>
                <w:sz w:val="18"/>
                <w:szCs w:val="18"/>
              </w:rPr>
              <w:t xml:space="preserve"> (ASB)</w:t>
            </w:r>
          </w:p>
        </w:tc>
        <w:tc>
          <w:tcPr>
            <w:tcW w:w="3543" w:type="dxa"/>
            <w:shd w:val="clear" w:color="auto" w:fill="auto"/>
          </w:tcPr>
          <w:p w:rsidRPr="00806233" w:rsidR="00F70A43" w:rsidP="00E90905" w:rsidRDefault="00F70A43" w14:paraId="07C42B77" w14:textId="77777777">
            <w:pPr>
              <w:rPr>
                <w:rFonts w:ascii="Verdana" w:hAnsi="Verdana"/>
                <w:sz w:val="18"/>
                <w:szCs w:val="18"/>
              </w:rPr>
            </w:pPr>
            <w:r>
              <w:rPr>
                <w:rFonts w:ascii="Verdana" w:hAnsi="Verdana"/>
                <w:sz w:val="18"/>
                <w:szCs w:val="18"/>
              </w:rPr>
              <w:t>Mogelijke aanvullende</w:t>
            </w:r>
            <w:r w:rsidRPr="007B53FA">
              <w:rPr>
                <w:rFonts w:ascii="Verdana" w:hAnsi="Verdana"/>
                <w:sz w:val="18"/>
                <w:szCs w:val="18"/>
              </w:rPr>
              <w:t xml:space="preserve"> hervormingen </w:t>
            </w:r>
            <w:r>
              <w:rPr>
                <w:rFonts w:ascii="Verdana" w:hAnsi="Verdana"/>
                <w:sz w:val="18"/>
                <w:szCs w:val="18"/>
              </w:rPr>
              <w:t xml:space="preserve">binnen </w:t>
            </w:r>
            <w:r w:rsidRPr="007B53FA">
              <w:rPr>
                <w:rFonts w:ascii="Verdana" w:hAnsi="Verdana"/>
                <w:sz w:val="18"/>
                <w:szCs w:val="18"/>
              </w:rPr>
              <w:t>de afvalstoffenbelasting via:</w:t>
            </w:r>
          </w:p>
          <w:p w:rsidRPr="00F92503" w:rsidR="00F70A43" w:rsidP="00F70A43" w:rsidRDefault="00F70A43" w14:paraId="0BC42FBA" w14:textId="77777777">
            <w:pPr>
              <w:pStyle w:val="Lijstalinea"/>
              <w:numPr>
                <w:ilvl w:val="0"/>
                <w:numId w:val="29"/>
              </w:numPr>
              <w:rPr>
                <w:rFonts w:ascii="Verdana" w:hAnsi="Verdana"/>
                <w:sz w:val="18"/>
                <w:szCs w:val="18"/>
              </w:rPr>
            </w:pPr>
            <w:r w:rsidRPr="00F92503">
              <w:rPr>
                <w:rFonts w:ascii="Verdana" w:hAnsi="Verdana"/>
                <w:sz w:val="18"/>
                <w:szCs w:val="18"/>
              </w:rPr>
              <w:t>Uitzonderen van ASB van het verwijderen van recyclingresidu</w:t>
            </w:r>
            <w:r>
              <w:rPr>
                <w:rFonts w:ascii="Verdana" w:hAnsi="Verdana"/>
                <w:sz w:val="18"/>
                <w:szCs w:val="18"/>
              </w:rPr>
              <w:t xml:space="preserve"> (om recycling business case te verbeteren)</w:t>
            </w:r>
          </w:p>
          <w:p w:rsidRPr="00F92503" w:rsidR="00F70A43" w:rsidP="00F70A43" w:rsidRDefault="00F70A43" w14:paraId="0067AE98" w14:textId="77777777">
            <w:pPr>
              <w:pStyle w:val="Lijstalinea"/>
              <w:numPr>
                <w:ilvl w:val="0"/>
                <w:numId w:val="29"/>
              </w:numPr>
              <w:rPr>
                <w:rFonts w:ascii="Verdana" w:hAnsi="Verdana"/>
                <w:sz w:val="18"/>
                <w:szCs w:val="18"/>
              </w:rPr>
            </w:pPr>
            <w:r w:rsidRPr="00F92503">
              <w:rPr>
                <w:rFonts w:ascii="Verdana" w:hAnsi="Verdana"/>
                <w:sz w:val="18"/>
                <w:szCs w:val="18"/>
              </w:rPr>
              <w:t>Kosten afvalverbranding verplicht doorberekenen aan producenten binnen UPV-systeem</w:t>
            </w:r>
            <w:r>
              <w:rPr>
                <w:rFonts w:ascii="Verdana" w:hAnsi="Verdana"/>
                <w:sz w:val="18"/>
                <w:szCs w:val="18"/>
              </w:rPr>
              <w:t xml:space="preserve"> (om export tegen te gaan)</w:t>
            </w:r>
          </w:p>
          <w:p w:rsidRPr="00621AD1" w:rsidR="00F70A43" w:rsidP="00E90905" w:rsidRDefault="00F70A43" w14:paraId="24A19D4A" w14:textId="77777777">
            <w:pPr>
              <w:rPr>
                <w:rFonts w:ascii="Verdana" w:hAnsi="Verdana"/>
                <w:sz w:val="18"/>
                <w:szCs w:val="18"/>
              </w:rPr>
            </w:pPr>
            <w:r w:rsidRPr="00F92503">
              <w:rPr>
                <w:rFonts w:ascii="Verdana" w:hAnsi="Verdana"/>
                <w:sz w:val="18"/>
                <w:szCs w:val="18"/>
              </w:rPr>
              <w:t xml:space="preserve">Gemeenten </w:t>
            </w:r>
            <w:r>
              <w:rPr>
                <w:rFonts w:ascii="Verdana" w:hAnsi="Verdana"/>
                <w:sz w:val="18"/>
                <w:szCs w:val="18"/>
              </w:rPr>
              <w:t xml:space="preserve">die gemiddeld minder afval aanbieden </w:t>
            </w:r>
            <w:r w:rsidRPr="00F92503">
              <w:rPr>
                <w:rFonts w:ascii="Verdana" w:hAnsi="Verdana"/>
                <w:sz w:val="18"/>
                <w:szCs w:val="18"/>
              </w:rPr>
              <w:t xml:space="preserve">vrijstellen </w:t>
            </w:r>
            <w:r>
              <w:rPr>
                <w:rFonts w:ascii="Verdana" w:hAnsi="Verdana"/>
                <w:sz w:val="18"/>
                <w:szCs w:val="18"/>
              </w:rPr>
              <w:t xml:space="preserve">(e.g. per huishouden, persoon etc.) </w:t>
            </w:r>
            <w:r w:rsidRPr="00F92503">
              <w:rPr>
                <w:rFonts w:ascii="Verdana" w:hAnsi="Verdana"/>
                <w:sz w:val="18"/>
                <w:szCs w:val="18"/>
              </w:rPr>
              <w:t>van de ASB</w:t>
            </w:r>
            <w:r>
              <w:rPr>
                <w:rFonts w:ascii="Verdana" w:hAnsi="Verdana"/>
                <w:sz w:val="18"/>
                <w:szCs w:val="18"/>
              </w:rPr>
              <w:t xml:space="preserve"> (prikkel om minder afval aan te bieden voor gemeenten)</w:t>
            </w:r>
          </w:p>
        </w:tc>
        <w:tc>
          <w:tcPr>
            <w:tcW w:w="4253" w:type="dxa"/>
            <w:shd w:val="clear" w:color="auto" w:fill="auto"/>
          </w:tcPr>
          <w:p w:rsidR="00F70A43" w:rsidP="00E90905" w:rsidRDefault="00F70A43" w14:paraId="671BEFD5" w14:textId="77777777">
            <w:pPr>
              <w:rPr>
                <w:rFonts w:ascii="Verdana" w:hAnsi="Verdana"/>
                <w:sz w:val="18"/>
                <w:szCs w:val="18"/>
              </w:rPr>
            </w:pPr>
            <w:r w:rsidRPr="00F92503">
              <w:rPr>
                <w:rFonts w:ascii="Verdana" w:hAnsi="Verdana"/>
                <w:sz w:val="18"/>
                <w:szCs w:val="18"/>
                <w:u w:val="single"/>
              </w:rPr>
              <w:t>Uitzonderen van ASB van het verwijderen van recyclingresidu:</w:t>
            </w:r>
            <w:r>
              <w:rPr>
                <w:rFonts w:ascii="Verdana" w:hAnsi="Verdana"/>
                <w:sz w:val="18"/>
                <w:szCs w:val="18"/>
              </w:rPr>
              <w:t xml:space="preserve"> Er zal </w:t>
            </w:r>
            <w:r w:rsidRPr="00A362D5">
              <w:rPr>
                <w:rFonts w:ascii="Verdana" w:hAnsi="Verdana"/>
                <w:sz w:val="18"/>
                <w:szCs w:val="18"/>
              </w:rPr>
              <w:t>verder verke</w:t>
            </w:r>
            <w:r>
              <w:rPr>
                <w:rFonts w:ascii="Verdana" w:hAnsi="Verdana"/>
                <w:sz w:val="18"/>
                <w:szCs w:val="18"/>
              </w:rPr>
              <w:t>nd worden</w:t>
            </w:r>
            <w:r w:rsidRPr="00A362D5">
              <w:rPr>
                <w:rFonts w:ascii="Verdana" w:hAnsi="Verdana"/>
                <w:sz w:val="18"/>
                <w:szCs w:val="18"/>
              </w:rPr>
              <w:t xml:space="preserve"> of dit uitvoeringstechnisch kan worden vormgegeven in de afvalstoffenbelasting. Hoewel dit een wenselijke prikkel zou zijn, is het momenteel onuitvoerbaar. Er is geen geschikte registratie van wat een recyclingresidu is. Ook kan residu vanuit buitenland afkomstig zijn. </w:t>
            </w:r>
          </w:p>
          <w:p w:rsidR="00F70A43" w:rsidP="00E90905" w:rsidRDefault="00F70A43" w14:paraId="35CC9F56" w14:textId="77777777">
            <w:pPr>
              <w:rPr>
                <w:rFonts w:ascii="Verdana" w:hAnsi="Verdana"/>
                <w:sz w:val="18"/>
                <w:szCs w:val="18"/>
                <w:u w:val="single"/>
              </w:rPr>
            </w:pPr>
          </w:p>
          <w:p w:rsidR="00F70A43" w:rsidP="00E90905" w:rsidRDefault="00F70A43" w14:paraId="060981BC" w14:textId="77777777">
            <w:pPr>
              <w:rPr>
                <w:rFonts w:ascii="Verdana" w:hAnsi="Verdana"/>
                <w:sz w:val="18"/>
                <w:szCs w:val="18"/>
              </w:rPr>
            </w:pPr>
            <w:r w:rsidRPr="00F92503">
              <w:rPr>
                <w:rFonts w:ascii="Verdana" w:hAnsi="Verdana"/>
                <w:sz w:val="18"/>
                <w:szCs w:val="18"/>
                <w:u w:val="single"/>
              </w:rPr>
              <w:t>Kosten afvalverbranding verplicht doorberekenen aan producenten binnen UPV-systeem</w:t>
            </w:r>
            <w:r>
              <w:rPr>
                <w:rFonts w:ascii="Verdana" w:hAnsi="Verdana"/>
                <w:sz w:val="18"/>
                <w:szCs w:val="18"/>
                <w:u w:val="single"/>
              </w:rPr>
              <w:t xml:space="preserve">: </w:t>
            </w:r>
            <w:r w:rsidRPr="00F92503">
              <w:rPr>
                <w:rFonts w:ascii="Verdana" w:hAnsi="Verdana"/>
                <w:sz w:val="18"/>
                <w:szCs w:val="18"/>
              </w:rPr>
              <w:t xml:space="preserve">Mogelijkheden hiertoe worden onderzocht als onderdeel van het </w:t>
            </w:r>
            <w:proofErr w:type="spellStart"/>
            <w:r w:rsidRPr="00F92503">
              <w:rPr>
                <w:rFonts w:ascii="Verdana" w:hAnsi="Verdana"/>
                <w:sz w:val="18"/>
                <w:szCs w:val="18"/>
              </w:rPr>
              <w:t>doorontwikkeltraject</w:t>
            </w:r>
            <w:proofErr w:type="spellEnd"/>
            <w:r w:rsidRPr="00F92503">
              <w:rPr>
                <w:rFonts w:ascii="Verdana" w:hAnsi="Verdana"/>
                <w:sz w:val="18"/>
                <w:szCs w:val="18"/>
              </w:rPr>
              <w:t xml:space="preserve"> UPV.</w:t>
            </w:r>
            <w:r>
              <w:rPr>
                <w:rFonts w:ascii="Verdana" w:hAnsi="Verdana"/>
                <w:sz w:val="18"/>
                <w:szCs w:val="18"/>
              </w:rPr>
              <w:t xml:space="preserve"> </w:t>
            </w:r>
          </w:p>
          <w:p w:rsidR="00F70A43" w:rsidP="00E90905" w:rsidRDefault="00F70A43" w14:paraId="35C2B475" w14:textId="77777777">
            <w:pPr>
              <w:rPr>
                <w:rFonts w:ascii="Verdana" w:hAnsi="Verdana"/>
                <w:sz w:val="18"/>
                <w:szCs w:val="18"/>
                <w:u w:val="single"/>
              </w:rPr>
            </w:pPr>
          </w:p>
          <w:p w:rsidRPr="00621AD1" w:rsidR="00F70A43" w:rsidP="00E90905" w:rsidRDefault="00F70A43" w14:paraId="0991B7F6" w14:textId="77777777">
            <w:pPr>
              <w:rPr>
                <w:rFonts w:ascii="Verdana" w:hAnsi="Verdana"/>
                <w:sz w:val="18"/>
                <w:szCs w:val="18"/>
              </w:rPr>
            </w:pPr>
            <w:r w:rsidRPr="00F92503">
              <w:rPr>
                <w:rFonts w:ascii="Verdana" w:hAnsi="Verdana"/>
                <w:sz w:val="18"/>
                <w:szCs w:val="18"/>
                <w:u w:val="single"/>
              </w:rPr>
              <w:t xml:space="preserve">Gemeenten die gemiddeld minder afval </w:t>
            </w:r>
            <w:r w:rsidRPr="003A5523">
              <w:rPr>
                <w:rFonts w:ascii="Verdana" w:hAnsi="Verdana"/>
                <w:sz w:val="18"/>
                <w:szCs w:val="18"/>
                <w:u w:val="single"/>
              </w:rPr>
              <w:t>aanbieden vrijstellen (e.g. per huishouden, persoon etc.) van de ASB:</w:t>
            </w:r>
            <w:r w:rsidRPr="003A5523">
              <w:rPr>
                <w:rFonts w:ascii="Verdana" w:hAnsi="Verdana"/>
                <w:sz w:val="18"/>
                <w:szCs w:val="18"/>
              </w:rPr>
              <w:t xml:space="preserve"> De mogelijkheid kan verkend worden om gemeenten die gemiddeld minder dan een bepaalde hoeveelheid kilogram aan restafval (e.g. per inwoner, huishouden etc.) aanleveren bij een verbrandingsinstallatie</w:t>
            </w:r>
            <w:r w:rsidRPr="00A362D5">
              <w:rPr>
                <w:rFonts w:ascii="Verdana" w:hAnsi="Verdana"/>
                <w:sz w:val="18"/>
                <w:szCs w:val="18"/>
              </w:rPr>
              <w:t xml:space="preserve"> vrij te stellen van de ASB. Deze belastingvrijedrempel zou dan over de jaren lager kunnen worden om gemeenten te stimuleren hun scheidingsbeleid verder te verbeteren. Zodra de drempel wordt overschreden zou dan het voltarief gelden. Deze actie geeft een circulaire prikkel en spoort gemeenten aan om doelmatig en ambitieus afvalbeheerbeleid te maken.</w:t>
            </w:r>
          </w:p>
        </w:tc>
      </w:tr>
    </w:tbl>
    <w:p w:rsidRPr="00621AD1" w:rsidR="00F70A43" w:rsidP="00F70A43" w:rsidRDefault="00F70A43" w14:paraId="7790D4F5" w14:textId="77777777">
      <w:pPr>
        <w:rPr>
          <w:rFonts w:ascii="Verdana" w:hAnsi="Verdana"/>
          <w:sz w:val="18"/>
          <w:szCs w:val="18"/>
        </w:rPr>
      </w:pPr>
    </w:p>
    <w:p w:rsidRPr="00621AD1" w:rsidR="00F70A43" w:rsidP="00F70A43" w:rsidRDefault="00F70A43" w14:paraId="0A46B464" w14:textId="77777777">
      <w:pPr>
        <w:rPr>
          <w:rFonts w:ascii="Verdana" w:hAnsi="Verdana"/>
          <w:i/>
          <w:iCs/>
          <w:sz w:val="18"/>
          <w:szCs w:val="18"/>
        </w:rPr>
      </w:pPr>
    </w:p>
    <w:p w:rsidRPr="00F70A43" w:rsidR="005E47FE" w:rsidP="00F70A43" w:rsidRDefault="005E47FE" w14:paraId="1E8066A2" w14:textId="7178D09C"/>
    <w:sectPr w:rsidRPr="00F70A43" w:rsidR="005E47FE" w:rsidSect="00D97D38">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F578" w14:textId="77777777" w:rsidR="000B5795" w:rsidRDefault="000B5795" w:rsidP="00567129">
      <w:pPr>
        <w:spacing w:after="0" w:line="240" w:lineRule="auto"/>
      </w:pPr>
      <w:r>
        <w:separator/>
      </w:r>
    </w:p>
  </w:endnote>
  <w:endnote w:type="continuationSeparator" w:id="0">
    <w:p w14:paraId="14700DBB" w14:textId="77777777" w:rsidR="000B5795" w:rsidRDefault="000B5795" w:rsidP="00567129">
      <w:pPr>
        <w:spacing w:after="0" w:line="240" w:lineRule="auto"/>
      </w:pPr>
      <w:r>
        <w:continuationSeparator/>
      </w:r>
    </w:p>
  </w:endnote>
  <w:endnote w:type="continuationNotice" w:id="1">
    <w:p w14:paraId="7F7D7A75" w14:textId="77777777" w:rsidR="000B5795" w:rsidRDefault="000B5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51177"/>
      <w:docPartObj>
        <w:docPartGallery w:val="Page Numbers (Bottom of Page)"/>
        <w:docPartUnique/>
      </w:docPartObj>
    </w:sdtPr>
    <w:sdtEndPr/>
    <w:sdtContent>
      <w:p w14:paraId="7E68ECEE" w14:textId="1BF9D463" w:rsidR="00016C3F" w:rsidRDefault="00047C32">
        <w:pPr>
          <w:pStyle w:val="Voettekst"/>
          <w:jc w:val="right"/>
        </w:pPr>
        <w:sdt>
          <w:sdtPr>
            <w:id w:val="1980336250"/>
            <w:docPartObj>
              <w:docPartGallery w:val="Page Numbers (Bottom of Page)"/>
              <w:docPartUnique/>
            </w:docPartObj>
          </w:sdtPr>
          <w:sdtEndPr/>
          <w:sdtContent>
            <w:r w:rsidR="00016C3F">
              <w:fldChar w:fldCharType="begin"/>
            </w:r>
            <w:r w:rsidR="00016C3F">
              <w:instrText>PAGE   \* MERGEFORMAT</w:instrText>
            </w:r>
            <w:r w:rsidR="00016C3F">
              <w:fldChar w:fldCharType="separate"/>
            </w:r>
            <w:r w:rsidR="00016C3F">
              <w:t>2</w:t>
            </w:r>
            <w:r w:rsidR="00016C3F">
              <w:fldChar w:fldCharType="end"/>
            </w:r>
          </w:sdtContent>
        </w:sdt>
      </w:p>
    </w:sdtContent>
  </w:sdt>
  <w:p w14:paraId="16A60BFB" w14:textId="77777777" w:rsidR="00016C3F" w:rsidRDefault="00016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9699" w14:textId="77777777" w:rsidR="000B5795" w:rsidRDefault="000B5795" w:rsidP="00567129">
      <w:pPr>
        <w:spacing w:after="0" w:line="240" w:lineRule="auto"/>
      </w:pPr>
      <w:r>
        <w:separator/>
      </w:r>
    </w:p>
  </w:footnote>
  <w:footnote w:type="continuationSeparator" w:id="0">
    <w:p w14:paraId="4A36AA47" w14:textId="77777777" w:rsidR="000B5795" w:rsidRDefault="000B5795" w:rsidP="00567129">
      <w:pPr>
        <w:spacing w:after="0" w:line="240" w:lineRule="auto"/>
      </w:pPr>
      <w:r>
        <w:continuationSeparator/>
      </w:r>
    </w:p>
  </w:footnote>
  <w:footnote w:type="continuationNotice" w:id="1">
    <w:p w14:paraId="63A672AC" w14:textId="77777777" w:rsidR="000B5795" w:rsidRDefault="000B5795">
      <w:pPr>
        <w:spacing w:after="0" w:line="240" w:lineRule="auto"/>
      </w:pPr>
    </w:p>
  </w:footnote>
  <w:footnote w:id="2">
    <w:p w14:paraId="55831DB2" w14:textId="77777777" w:rsidR="00F70A43" w:rsidRDefault="00F70A43" w:rsidP="00F70A43">
      <w:pPr>
        <w:pStyle w:val="Voetnoottekst"/>
      </w:pPr>
      <w:r>
        <w:fldChar w:fldCharType="begin"/>
      </w:r>
      <w:r>
        <w:instrText>HYPERLINK "https://www.rijksfinancien.nl/sites/default/files/bestanden/belastingplan-2024/overige-impactanalyses/Eindrapport-impactanalyse-belastingmaatregelen-basisindustrie.pdf"</w:instrText>
      </w:r>
      <w:r>
        <w:fldChar w:fldCharType="separate"/>
      </w:r>
      <w:r w:rsidRPr="003A10E9">
        <w:rPr>
          <w:rStyle w:val="Hyperlink"/>
          <w:vertAlign w:val="superscript"/>
        </w:rPr>
        <w:footnoteRef/>
      </w:r>
      <w:r w:rsidRPr="003A10E9">
        <w:rPr>
          <w:rStyle w:val="Hyperlink"/>
        </w:rPr>
        <w:t xml:space="preserve"> </w:t>
      </w:r>
      <w:proofErr w:type="spellStart"/>
      <w:r w:rsidRPr="003A10E9">
        <w:rPr>
          <w:rStyle w:val="Hyperlink"/>
        </w:rPr>
        <w:t>Kalavasta</w:t>
      </w:r>
      <w:proofErr w:type="spellEnd"/>
      <w:r w:rsidRPr="003A10E9">
        <w:rPr>
          <w:rStyle w:val="Hyperlink"/>
        </w:rPr>
        <w:t xml:space="preserve"> - Impactanalyse belastingmaatregelen basisindustrie (2023)</w:t>
      </w:r>
      <w:r>
        <w:fldChar w:fldCharType="end"/>
      </w:r>
    </w:p>
  </w:footnote>
  <w:footnote w:id="3">
    <w:p w14:paraId="22170670" w14:textId="77777777" w:rsidR="00F70A43" w:rsidRDefault="00F70A43" w:rsidP="00F70A43">
      <w:pPr>
        <w:pStyle w:val="Voetnoottekst"/>
      </w:pPr>
      <w:r>
        <w:rPr>
          <w:rStyle w:val="Voetnootmarkering"/>
        </w:rPr>
        <w:footnoteRef/>
      </w:r>
      <w:r>
        <w:t xml:space="preserve"> </w:t>
      </w:r>
      <w:proofErr w:type="spellStart"/>
      <w:r>
        <w:t>Copper</w:t>
      </w:r>
      <w:proofErr w:type="spellEnd"/>
      <w:r>
        <w:t xml:space="preserve"> 8 - </w:t>
      </w:r>
      <w:r w:rsidRPr="0054168C">
        <w:t>Verkenning Primaire Fossiele Grondstoffenheffing</w:t>
      </w:r>
      <w:r>
        <w:t xml:space="preserve"> (2023)</w:t>
      </w:r>
    </w:p>
  </w:footnote>
  <w:footnote w:id="4">
    <w:p w14:paraId="685EC92E" w14:textId="77777777" w:rsidR="00F70A43" w:rsidRDefault="00F70A43" w:rsidP="00F70A43">
      <w:pPr>
        <w:pStyle w:val="Voetnoottekst"/>
      </w:pPr>
      <w:r>
        <w:rPr>
          <w:rStyle w:val="Voetnootmarkering"/>
        </w:rPr>
        <w:footnoteRef/>
      </w:r>
      <w:r w:rsidRPr="755DA710">
        <w:t xml:space="preserve"> </w:t>
      </w:r>
      <w:r w:rsidRPr="00852FB6">
        <w:t xml:space="preserve">Kamerstukken II 2024/25, 36602, nr. </w:t>
      </w:r>
      <w:r>
        <w:t>90</w:t>
      </w:r>
      <w:r w:rsidRPr="755DA710">
        <w:t xml:space="preserve"> (</w:t>
      </w:r>
      <w:proofErr w:type="spellStart"/>
      <w:r>
        <w:t>Grinwis</w:t>
      </w:r>
      <w:proofErr w:type="spellEnd"/>
      <w:r>
        <w:t xml:space="preserve"> c.s.</w:t>
      </w:r>
      <w:r w:rsidRPr="755DA710">
        <w:t>).</w:t>
      </w:r>
    </w:p>
  </w:footnote>
  <w:footnote w:id="5">
    <w:p w14:paraId="1758E964" w14:textId="77777777" w:rsidR="00F70A43" w:rsidRDefault="00F70A43" w:rsidP="00F70A43">
      <w:pPr>
        <w:pStyle w:val="Voetnoottekst"/>
      </w:pPr>
      <w:r>
        <w:rPr>
          <w:rStyle w:val="Voetnootmarkering"/>
        </w:rPr>
        <w:footnoteRef/>
      </w:r>
      <w:r>
        <w:t xml:space="preserve"> Kamerstukken II 2024/25, 36602, nr. 66 (Vermeer).</w:t>
      </w:r>
    </w:p>
  </w:footnote>
  <w:footnote w:id="6">
    <w:p w14:paraId="48FE6896" w14:textId="77777777" w:rsidR="00F70A43" w:rsidRDefault="00F70A43" w:rsidP="00F70A43">
      <w:pPr>
        <w:pStyle w:val="Voetnoottekst"/>
      </w:pPr>
      <w:r>
        <w:rPr>
          <w:rStyle w:val="Voetnootmarkering"/>
        </w:rPr>
        <w:footnoteRef/>
      </w:r>
      <w:r>
        <w:t xml:space="preserve"> RVO - </w:t>
      </w:r>
      <w:r w:rsidRPr="00707559">
        <w:t>Monitoring transitie naar een circulaire economie op basis van overheidsondersteuning over het jaar 2023</w:t>
      </w:r>
    </w:p>
  </w:footnote>
  <w:footnote w:id="7">
    <w:p w14:paraId="62FF125D" w14:textId="77777777" w:rsidR="00F70A43" w:rsidRDefault="00F70A43" w:rsidP="00F70A43">
      <w:pPr>
        <w:pStyle w:val="Voetnoottekst"/>
      </w:pPr>
      <w:r>
        <w:rPr>
          <w:rStyle w:val="Voetnootmarkering"/>
        </w:rPr>
        <w:footnoteRef/>
      </w:r>
      <w:r>
        <w:t xml:space="preserve"> Bijlage bij Kamerstukken II 2024/25, </w:t>
      </w:r>
      <w:r w:rsidRPr="0075596B">
        <w:t>32637</w:t>
      </w:r>
      <w:r>
        <w:t xml:space="preserve">, nr. </w:t>
      </w:r>
      <w:r w:rsidRPr="0075596B">
        <w:t>670</w:t>
      </w:r>
      <w:r>
        <w:t>.</w:t>
      </w:r>
    </w:p>
  </w:footnote>
  <w:footnote w:id="8">
    <w:p w14:paraId="6E706BC0" w14:textId="77777777" w:rsidR="00F70A43" w:rsidRDefault="00F70A43" w:rsidP="00F70A43">
      <w:pPr>
        <w:pStyle w:val="Voetnoottekst"/>
      </w:pPr>
      <w:r>
        <w:rPr>
          <w:rStyle w:val="Voetnootmarkering"/>
        </w:rPr>
        <w:footnoteRef/>
      </w:r>
      <w:r>
        <w:t xml:space="preserve"> </w:t>
      </w:r>
      <w:hyperlink r:id="rId1" w:history="1">
        <w:r w:rsidRPr="0040022B">
          <w:rPr>
            <w:rStyle w:val="Hyperlink"/>
          </w:rPr>
          <w:t>RVO - Verwachte gevolgen verlaging vrijstelling groen beleggen</w:t>
        </w:r>
      </w:hyperlink>
    </w:p>
  </w:footnote>
  <w:footnote w:id="9">
    <w:p w14:paraId="69E28927" w14:textId="77777777" w:rsidR="00F70A43" w:rsidRDefault="00F70A43" w:rsidP="00F70A43">
      <w:pPr>
        <w:pStyle w:val="Voetnoottekst"/>
      </w:pPr>
      <w:r w:rsidRPr="00F92503">
        <w:rPr>
          <w:rStyle w:val="Voetnootmarkering"/>
          <w:sz w:val="16"/>
          <w:szCs w:val="16"/>
        </w:rPr>
        <w:footnoteRef/>
      </w:r>
      <w:r w:rsidRPr="00F92503">
        <w:rPr>
          <w:sz w:val="16"/>
          <w:szCs w:val="16"/>
        </w:rPr>
        <w:t xml:space="preserve"> </w:t>
      </w:r>
      <w:r w:rsidRPr="0075596B">
        <w:t>Bijlage bij Kamerstukken II 202</w:t>
      </w:r>
      <w:r>
        <w:t>0</w:t>
      </w:r>
      <w:r w:rsidRPr="0075596B">
        <w:t>/2</w:t>
      </w:r>
      <w:r>
        <w:t>1</w:t>
      </w:r>
      <w:r w:rsidRPr="0075596B">
        <w:t>, 31239, nr. 330.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741"/>
    <w:multiLevelType w:val="hybridMultilevel"/>
    <w:tmpl w:val="97422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21A98"/>
    <w:multiLevelType w:val="hybridMultilevel"/>
    <w:tmpl w:val="3BF8EF56"/>
    <w:lvl w:ilvl="0" w:tplc="E1C01C3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624CC"/>
    <w:multiLevelType w:val="multilevel"/>
    <w:tmpl w:val="E21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03597"/>
    <w:multiLevelType w:val="multilevel"/>
    <w:tmpl w:val="4F0E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725F"/>
    <w:multiLevelType w:val="multilevel"/>
    <w:tmpl w:val="078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B3F0A"/>
    <w:multiLevelType w:val="hybridMultilevel"/>
    <w:tmpl w:val="A1301EF8"/>
    <w:lvl w:ilvl="0" w:tplc="830ABE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417FA3"/>
    <w:multiLevelType w:val="hybridMultilevel"/>
    <w:tmpl w:val="57781080"/>
    <w:lvl w:ilvl="0" w:tplc="940039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6B1A64"/>
    <w:multiLevelType w:val="multilevel"/>
    <w:tmpl w:val="6954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E5527"/>
    <w:multiLevelType w:val="hybridMultilevel"/>
    <w:tmpl w:val="1472BA6C"/>
    <w:lvl w:ilvl="0" w:tplc="7974BE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084AF0"/>
    <w:multiLevelType w:val="hybridMultilevel"/>
    <w:tmpl w:val="21E49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E614A8"/>
    <w:multiLevelType w:val="hybridMultilevel"/>
    <w:tmpl w:val="40E87722"/>
    <w:lvl w:ilvl="0" w:tplc="35B6EB60">
      <w:start w:val="14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C33374"/>
    <w:multiLevelType w:val="multilevel"/>
    <w:tmpl w:val="550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96E1B"/>
    <w:multiLevelType w:val="hybridMultilevel"/>
    <w:tmpl w:val="AA724CE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E0D477A"/>
    <w:multiLevelType w:val="hybridMultilevel"/>
    <w:tmpl w:val="84F05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5A4405"/>
    <w:multiLevelType w:val="hybridMultilevel"/>
    <w:tmpl w:val="8A101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822CFD"/>
    <w:multiLevelType w:val="hybridMultilevel"/>
    <w:tmpl w:val="14E4D7D4"/>
    <w:lvl w:ilvl="0" w:tplc="52D8929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6019EA"/>
    <w:multiLevelType w:val="hybridMultilevel"/>
    <w:tmpl w:val="974227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181D11"/>
    <w:multiLevelType w:val="multilevel"/>
    <w:tmpl w:val="9B3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773F7"/>
    <w:multiLevelType w:val="multilevel"/>
    <w:tmpl w:val="34FA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4119C"/>
    <w:multiLevelType w:val="hybridMultilevel"/>
    <w:tmpl w:val="97422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B762A1"/>
    <w:multiLevelType w:val="multilevel"/>
    <w:tmpl w:val="2FD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C6064"/>
    <w:multiLevelType w:val="hybridMultilevel"/>
    <w:tmpl w:val="80EC44D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800" w:hanging="360"/>
      </w:pPr>
      <w:rPr>
        <w:rFonts w:ascii="Courier New" w:hAnsi="Courier New"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7C169E"/>
    <w:multiLevelType w:val="hybridMultilevel"/>
    <w:tmpl w:val="DFF691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4874D850">
      <w:start w:val="2"/>
      <w:numFmt w:val="bullet"/>
      <w:lvlText w:val=""/>
      <w:lvlJc w:val="left"/>
      <w:pPr>
        <w:ind w:left="2340" w:hanging="360"/>
      </w:pPr>
      <w:rPr>
        <w:rFonts w:ascii="Wingdings" w:eastAsiaTheme="minorHAnsi" w:hAnsi="Wingdings"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644BCE"/>
    <w:multiLevelType w:val="hybridMultilevel"/>
    <w:tmpl w:val="89A4D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07310E"/>
    <w:multiLevelType w:val="hybridMultilevel"/>
    <w:tmpl w:val="97422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B13ADD"/>
    <w:multiLevelType w:val="multilevel"/>
    <w:tmpl w:val="EE3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70481"/>
    <w:multiLevelType w:val="hybridMultilevel"/>
    <w:tmpl w:val="E8E434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122A1F"/>
    <w:multiLevelType w:val="multilevel"/>
    <w:tmpl w:val="5CA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70F9B"/>
    <w:multiLevelType w:val="multilevel"/>
    <w:tmpl w:val="E598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699198">
    <w:abstractNumId w:val="16"/>
  </w:num>
  <w:num w:numId="2" w16cid:durableId="1031345614">
    <w:abstractNumId w:val="22"/>
  </w:num>
  <w:num w:numId="3" w16cid:durableId="1596590412">
    <w:abstractNumId w:val="3"/>
  </w:num>
  <w:num w:numId="4" w16cid:durableId="96827128">
    <w:abstractNumId w:val="17"/>
  </w:num>
  <w:num w:numId="5" w16cid:durableId="1942755862">
    <w:abstractNumId w:val="20"/>
  </w:num>
  <w:num w:numId="6" w16cid:durableId="1451626840">
    <w:abstractNumId w:val="2"/>
  </w:num>
  <w:num w:numId="7" w16cid:durableId="882980891">
    <w:abstractNumId w:val="11"/>
  </w:num>
  <w:num w:numId="8" w16cid:durableId="1957903453">
    <w:abstractNumId w:val="7"/>
  </w:num>
  <w:num w:numId="9" w16cid:durableId="907568671">
    <w:abstractNumId w:val="25"/>
  </w:num>
  <w:num w:numId="10" w16cid:durableId="1294868938">
    <w:abstractNumId w:val="4"/>
  </w:num>
  <w:num w:numId="11" w16cid:durableId="1651641890">
    <w:abstractNumId w:val="1"/>
  </w:num>
  <w:num w:numId="12" w16cid:durableId="821507341">
    <w:abstractNumId w:val="26"/>
  </w:num>
  <w:num w:numId="13" w16cid:durableId="387729752">
    <w:abstractNumId w:val="0"/>
  </w:num>
  <w:num w:numId="14" w16cid:durableId="496964528">
    <w:abstractNumId w:val="24"/>
  </w:num>
  <w:num w:numId="15" w16cid:durableId="942230803">
    <w:abstractNumId w:val="19"/>
  </w:num>
  <w:num w:numId="16" w16cid:durableId="1309164547">
    <w:abstractNumId w:val="28"/>
  </w:num>
  <w:num w:numId="17" w16cid:durableId="1522356464">
    <w:abstractNumId w:val="27"/>
  </w:num>
  <w:num w:numId="18" w16cid:durableId="1469206776">
    <w:abstractNumId w:val="18"/>
  </w:num>
  <w:num w:numId="19" w16cid:durableId="1249538987">
    <w:abstractNumId w:val="9"/>
  </w:num>
  <w:num w:numId="20" w16cid:durableId="1071388124">
    <w:abstractNumId w:val="6"/>
  </w:num>
  <w:num w:numId="21" w16cid:durableId="579827237">
    <w:abstractNumId w:val="23"/>
  </w:num>
  <w:num w:numId="22" w16cid:durableId="647788920">
    <w:abstractNumId w:val="14"/>
  </w:num>
  <w:num w:numId="23" w16cid:durableId="1566792931">
    <w:abstractNumId w:val="13"/>
  </w:num>
  <w:num w:numId="24" w16cid:durableId="638413355">
    <w:abstractNumId w:val="12"/>
  </w:num>
  <w:num w:numId="25" w16cid:durableId="652831865">
    <w:abstractNumId w:val="10"/>
  </w:num>
  <w:num w:numId="26" w16cid:durableId="1084037258">
    <w:abstractNumId w:val="15"/>
  </w:num>
  <w:num w:numId="27" w16cid:durableId="330960330">
    <w:abstractNumId w:val="5"/>
  </w:num>
  <w:num w:numId="28" w16cid:durableId="446243627">
    <w:abstractNumId w:val="21"/>
  </w:num>
  <w:num w:numId="29" w16cid:durableId="369764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13"/>
    <w:rsid w:val="00006251"/>
    <w:rsid w:val="00016C3F"/>
    <w:rsid w:val="00022E3A"/>
    <w:rsid w:val="00025FB8"/>
    <w:rsid w:val="00032544"/>
    <w:rsid w:val="0003483D"/>
    <w:rsid w:val="00047C32"/>
    <w:rsid w:val="000532D1"/>
    <w:rsid w:val="0005488D"/>
    <w:rsid w:val="000567D3"/>
    <w:rsid w:val="00070F77"/>
    <w:rsid w:val="00083359"/>
    <w:rsid w:val="00092B32"/>
    <w:rsid w:val="00092C23"/>
    <w:rsid w:val="0009354D"/>
    <w:rsid w:val="0009543C"/>
    <w:rsid w:val="000966AB"/>
    <w:rsid w:val="00097DD2"/>
    <w:rsid w:val="000B0D7D"/>
    <w:rsid w:val="000B5795"/>
    <w:rsid w:val="000B6BB8"/>
    <w:rsid w:val="000C0739"/>
    <w:rsid w:val="000C3C03"/>
    <w:rsid w:val="000C7A0F"/>
    <w:rsid w:val="000D0CA2"/>
    <w:rsid w:val="000D1265"/>
    <w:rsid w:val="000D2B14"/>
    <w:rsid w:val="000E5AE0"/>
    <w:rsid w:val="000F74E7"/>
    <w:rsid w:val="00102D01"/>
    <w:rsid w:val="00110A17"/>
    <w:rsid w:val="00116308"/>
    <w:rsid w:val="00122A8F"/>
    <w:rsid w:val="001314BB"/>
    <w:rsid w:val="00136681"/>
    <w:rsid w:val="0014319E"/>
    <w:rsid w:val="001436EB"/>
    <w:rsid w:val="001447FF"/>
    <w:rsid w:val="0014527C"/>
    <w:rsid w:val="001476B9"/>
    <w:rsid w:val="00156007"/>
    <w:rsid w:val="001571B3"/>
    <w:rsid w:val="00160064"/>
    <w:rsid w:val="00160372"/>
    <w:rsid w:val="001651BD"/>
    <w:rsid w:val="00167914"/>
    <w:rsid w:val="001711A8"/>
    <w:rsid w:val="0017288D"/>
    <w:rsid w:val="00173C93"/>
    <w:rsid w:val="00184488"/>
    <w:rsid w:val="00185256"/>
    <w:rsid w:val="0018570E"/>
    <w:rsid w:val="0018713F"/>
    <w:rsid w:val="001937E9"/>
    <w:rsid w:val="00194DEF"/>
    <w:rsid w:val="001959FF"/>
    <w:rsid w:val="001A463B"/>
    <w:rsid w:val="001A73E5"/>
    <w:rsid w:val="001A7638"/>
    <w:rsid w:val="001C1DD6"/>
    <w:rsid w:val="001C62ED"/>
    <w:rsid w:val="001D1B7C"/>
    <w:rsid w:val="001D3C59"/>
    <w:rsid w:val="001D5922"/>
    <w:rsid w:val="001D787A"/>
    <w:rsid w:val="001F7322"/>
    <w:rsid w:val="00200655"/>
    <w:rsid w:val="002011BE"/>
    <w:rsid w:val="002022BA"/>
    <w:rsid w:val="00202C5E"/>
    <w:rsid w:val="002072B5"/>
    <w:rsid w:val="00225BEE"/>
    <w:rsid w:val="00230D87"/>
    <w:rsid w:val="00230E1B"/>
    <w:rsid w:val="0023176B"/>
    <w:rsid w:val="002318BB"/>
    <w:rsid w:val="00231B2E"/>
    <w:rsid w:val="00237AD8"/>
    <w:rsid w:val="002405EA"/>
    <w:rsid w:val="00241B9E"/>
    <w:rsid w:val="00243072"/>
    <w:rsid w:val="0024763E"/>
    <w:rsid w:val="00250E0F"/>
    <w:rsid w:val="00254AC6"/>
    <w:rsid w:val="00265D6B"/>
    <w:rsid w:val="002803E3"/>
    <w:rsid w:val="002805C2"/>
    <w:rsid w:val="00284E4A"/>
    <w:rsid w:val="00285DDD"/>
    <w:rsid w:val="0029309F"/>
    <w:rsid w:val="00293FCE"/>
    <w:rsid w:val="00295882"/>
    <w:rsid w:val="002A4571"/>
    <w:rsid w:val="002B7B95"/>
    <w:rsid w:val="002B7D28"/>
    <w:rsid w:val="002C11EB"/>
    <w:rsid w:val="002C7843"/>
    <w:rsid w:val="002D7FCF"/>
    <w:rsid w:val="002E6EC5"/>
    <w:rsid w:val="002E7D33"/>
    <w:rsid w:val="002F3741"/>
    <w:rsid w:val="002F5E06"/>
    <w:rsid w:val="003059BC"/>
    <w:rsid w:val="0031555B"/>
    <w:rsid w:val="00316D2E"/>
    <w:rsid w:val="003176C5"/>
    <w:rsid w:val="00331E52"/>
    <w:rsid w:val="00332D04"/>
    <w:rsid w:val="003349CE"/>
    <w:rsid w:val="003430D6"/>
    <w:rsid w:val="0035213E"/>
    <w:rsid w:val="00357491"/>
    <w:rsid w:val="00357EED"/>
    <w:rsid w:val="00367C14"/>
    <w:rsid w:val="00372089"/>
    <w:rsid w:val="00377331"/>
    <w:rsid w:val="00381481"/>
    <w:rsid w:val="00382C53"/>
    <w:rsid w:val="0038527C"/>
    <w:rsid w:val="003A10E9"/>
    <w:rsid w:val="003B1734"/>
    <w:rsid w:val="003B1BE3"/>
    <w:rsid w:val="003B2F1F"/>
    <w:rsid w:val="003B3B57"/>
    <w:rsid w:val="003B4605"/>
    <w:rsid w:val="003B77F2"/>
    <w:rsid w:val="003D0E1D"/>
    <w:rsid w:val="003D2DED"/>
    <w:rsid w:val="003D49AC"/>
    <w:rsid w:val="003D7B83"/>
    <w:rsid w:val="003E38AA"/>
    <w:rsid w:val="003E6794"/>
    <w:rsid w:val="0040022B"/>
    <w:rsid w:val="004030A9"/>
    <w:rsid w:val="00404FD3"/>
    <w:rsid w:val="00407ADB"/>
    <w:rsid w:val="004156CB"/>
    <w:rsid w:val="00425E3E"/>
    <w:rsid w:val="00444FE5"/>
    <w:rsid w:val="00445762"/>
    <w:rsid w:val="004521AF"/>
    <w:rsid w:val="00452539"/>
    <w:rsid w:val="0045665D"/>
    <w:rsid w:val="00461DF6"/>
    <w:rsid w:val="00462289"/>
    <w:rsid w:val="00471E47"/>
    <w:rsid w:val="004730B3"/>
    <w:rsid w:val="004805A1"/>
    <w:rsid w:val="00481D76"/>
    <w:rsid w:val="00493EA3"/>
    <w:rsid w:val="004A1D3A"/>
    <w:rsid w:val="004A4313"/>
    <w:rsid w:val="004B411A"/>
    <w:rsid w:val="004C1033"/>
    <w:rsid w:val="004C6A27"/>
    <w:rsid w:val="004D0F89"/>
    <w:rsid w:val="004D256B"/>
    <w:rsid w:val="004D315C"/>
    <w:rsid w:val="004D4A85"/>
    <w:rsid w:val="004E0F16"/>
    <w:rsid w:val="004E4A3A"/>
    <w:rsid w:val="004E58E6"/>
    <w:rsid w:val="004F7EB2"/>
    <w:rsid w:val="00500279"/>
    <w:rsid w:val="00500526"/>
    <w:rsid w:val="00501FF1"/>
    <w:rsid w:val="00502822"/>
    <w:rsid w:val="005039CC"/>
    <w:rsid w:val="00505EA3"/>
    <w:rsid w:val="00507EB3"/>
    <w:rsid w:val="005116C6"/>
    <w:rsid w:val="00511C2F"/>
    <w:rsid w:val="00513305"/>
    <w:rsid w:val="005207B2"/>
    <w:rsid w:val="00522901"/>
    <w:rsid w:val="005308EF"/>
    <w:rsid w:val="00533E18"/>
    <w:rsid w:val="00534276"/>
    <w:rsid w:val="005349A3"/>
    <w:rsid w:val="0054168C"/>
    <w:rsid w:val="00544DBB"/>
    <w:rsid w:val="00553BEA"/>
    <w:rsid w:val="00563810"/>
    <w:rsid w:val="00567129"/>
    <w:rsid w:val="00590531"/>
    <w:rsid w:val="00590DEB"/>
    <w:rsid w:val="00594FA3"/>
    <w:rsid w:val="005968E8"/>
    <w:rsid w:val="005A1A8A"/>
    <w:rsid w:val="005A7B61"/>
    <w:rsid w:val="005C2301"/>
    <w:rsid w:val="005C5792"/>
    <w:rsid w:val="005D0AA7"/>
    <w:rsid w:val="005D445F"/>
    <w:rsid w:val="005D5346"/>
    <w:rsid w:val="005E47FE"/>
    <w:rsid w:val="005E4C7E"/>
    <w:rsid w:val="005E6430"/>
    <w:rsid w:val="005E750F"/>
    <w:rsid w:val="005F5658"/>
    <w:rsid w:val="006009F8"/>
    <w:rsid w:val="00604C91"/>
    <w:rsid w:val="00605C3F"/>
    <w:rsid w:val="00605CD4"/>
    <w:rsid w:val="00607A6E"/>
    <w:rsid w:val="00621AD1"/>
    <w:rsid w:val="00625ED4"/>
    <w:rsid w:val="0062608D"/>
    <w:rsid w:val="00626FB6"/>
    <w:rsid w:val="006319E1"/>
    <w:rsid w:val="00633F67"/>
    <w:rsid w:val="0063530F"/>
    <w:rsid w:val="00635D57"/>
    <w:rsid w:val="006376CE"/>
    <w:rsid w:val="00640298"/>
    <w:rsid w:val="00653F04"/>
    <w:rsid w:val="0066261B"/>
    <w:rsid w:val="00665569"/>
    <w:rsid w:val="0066568B"/>
    <w:rsid w:val="0067695D"/>
    <w:rsid w:val="006836B0"/>
    <w:rsid w:val="00685291"/>
    <w:rsid w:val="00687DBB"/>
    <w:rsid w:val="00692192"/>
    <w:rsid w:val="00692E4C"/>
    <w:rsid w:val="00695150"/>
    <w:rsid w:val="00696421"/>
    <w:rsid w:val="006A2081"/>
    <w:rsid w:val="006A509F"/>
    <w:rsid w:val="006B1814"/>
    <w:rsid w:val="006C1E9F"/>
    <w:rsid w:val="006D2550"/>
    <w:rsid w:val="006F0CB4"/>
    <w:rsid w:val="006F161D"/>
    <w:rsid w:val="006F71CD"/>
    <w:rsid w:val="006F795D"/>
    <w:rsid w:val="00700048"/>
    <w:rsid w:val="00700F74"/>
    <w:rsid w:val="00707559"/>
    <w:rsid w:val="00713F3F"/>
    <w:rsid w:val="00715C47"/>
    <w:rsid w:val="00717938"/>
    <w:rsid w:val="00723EF1"/>
    <w:rsid w:val="007268A8"/>
    <w:rsid w:val="007516F8"/>
    <w:rsid w:val="00751F44"/>
    <w:rsid w:val="0075226A"/>
    <w:rsid w:val="00752B8F"/>
    <w:rsid w:val="00755142"/>
    <w:rsid w:val="0075596B"/>
    <w:rsid w:val="00757445"/>
    <w:rsid w:val="00764FA0"/>
    <w:rsid w:val="00766FEF"/>
    <w:rsid w:val="007701E1"/>
    <w:rsid w:val="00774CF8"/>
    <w:rsid w:val="00774FC0"/>
    <w:rsid w:val="00776CED"/>
    <w:rsid w:val="0078543F"/>
    <w:rsid w:val="00791379"/>
    <w:rsid w:val="007A2CED"/>
    <w:rsid w:val="007A7B89"/>
    <w:rsid w:val="007A7E05"/>
    <w:rsid w:val="007B3A7D"/>
    <w:rsid w:val="007B3F5D"/>
    <w:rsid w:val="007B4189"/>
    <w:rsid w:val="007B53FA"/>
    <w:rsid w:val="007B5E9D"/>
    <w:rsid w:val="007B61F6"/>
    <w:rsid w:val="007B669C"/>
    <w:rsid w:val="007C169E"/>
    <w:rsid w:val="007C5267"/>
    <w:rsid w:val="007E6D43"/>
    <w:rsid w:val="007E709A"/>
    <w:rsid w:val="007F22B0"/>
    <w:rsid w:val="007F39D7"/>
    <w:rsid w:val="00800938"/>
    <w:rsid w:val="0080538A"/>
    <w:rsid w:val="00805F58"/>
    <w:rsid w:val="00806233"/>
    <w:rsid w:val="00810D66"/>
    <w:rsid w:val="008247ED"/>
    <w:rsid w:val="00831FB7"/>
    <w:rsid w:val="00834017"/>
    <w:rsid w:val="00840888"/>
    <w:rsid w:val="008411C3"/>
    <w:rsid w:val="008447BB"/>
    <w:rsid w:val="008546F3"/>
    <w:rsid w:val="0085512C"/>
    <w:rsid w:val="00856947"/>
    <w:rsid w:val="008616AD"/>
    <w:rsid w:val="00863079"/>
    <w:rsid w:val="0087453D"/>
    <w:rsid w:val="00877ADE"/>
    <w:rsid w:val="00880904"/>
    <w:rsid w:val="00881801"/>
    <w:rsid w:val="008830D7"/>
    <w:rsid w:val="008870A9"/>
    <w:rsid w:val="0089209F"/>
    <w:rsid w:val="008A0483"/>
    <w:rsid w:val="008A32AF"/>
    <w:rsid w:val="008A6595"/>
    <w:rsid w:val="008A6A0A"/>
    <w:rsid w:val="008A7AED"/>
    <w:rsid w:val="008B01F6"/>
    <w:rsid w:val="008B1335"/>
    <w:rsid w:val="008B6262"/>
    <w:rsid w:val="008B7C2A"/>
    <w:rsid w:val="008C59CF"/>
    <w:rsid w:val="008D03DB"/>
    <w:rsid w:val="008D04B4"/>
    <w:rsid w:val="008E3F28"/>
    <w:rsid w:val="008E3FFA"/>
    <w:rsid w:val="008E448A"/>
    <w:rsid w:val="008E7E37"/>
    <w:rsid w:val="0090184C"/>
    <w:rsid w:val="00903866"/>
    <w:rsid w:val="009127B1"/>
    <w:rsid w:val="009217E9"/>
    <w:rsid w:val="00924396"/>
    <w:rsid w:val="00924E09"/>
    <w:rsid w:val="00930716"/>
    <w:rsid w:val="009314D2"/>
    <w:rsid w:val="00933675"/>
    <w:rsid w:val="00934685"/>
    <w:rsid w:val="0093560F"/>
    <w:rsid w:val="00941AA3"/>
    <w:rsid w:val="0094375E"/>
    <w:rsid w:val="00946F5A"/>
    <w:rsid w:val="00951D11"/>
    <w:rsid w:val="00953E66"/>
    <w:rsid w:val="009541A0"/>
    <w:rsid w:val="009565FB"/>
    <w:rsid w:val="00966D61"/>
    <w:rsid w:val="00972569"/>
    <w:rsid w:val="00972D6E"/>
    <w:rsid w:val="00980B31"/>
    <w:rsid w:val="00981885"/>
    <w:rsid w:val="00983AEF"/>
    <w:rsid w:val="009871B4"/>
    <w:rsid w:val="00990353"/>
    <w:rsid w:val="00994554"/>
    <w:rsid w:val="00994BD7"/>
    <w:rsid w:val="00995992"/>
    <w:rsid w:val="009A0455"/>
    <w:rsid w:val="009B185F"/>
    <w:rsid w:val="009B2382"/>
    <w:rsid w:val="009D3844"/>
    <w:rsid w:val="009D4AB1"/>
    <w:rsid w:val="009D7BD2"/>
    <w:rsid w:val="00A05A0F"/>
    <w:rsid w:val="00A071B4"/>
    <w:rsid w:val="00A11B12"/>
    <w:rsid w:val="00A12417"/>
    <w:rsid w:val="00A132A9"/>
    <w:rsid w:val="00A13E77"/>
    <w:rsid w:val="00A2308C"/>
    <w:rsid w:val="00A27878"/>
    <w:rsid w:val="00A362D5"/>
    <w:rsid w:val="00A37429"/>
    <w:rsid w:val="00A43E7C"/>
    <w:rsid w:val="00A44492"/>
    <w:rsid w:val="00A50666"/>
    <w:rsid w:val="00A50932"/>
    <w:rsid w:val="00A55A28"/>
    <w:rsid w:val="00A573CD"/>
    <w:rsid w:val="00A72C40"/>
    <w:rsid w:val="00A73054"/>
    <w:rsid w:val="00A74898"/>
    <w:rsid w:val="00A7522B"/>
    <w:rsid w:val="00A85286"/>
    <w:rsid w:val="00A877AA"/>
    <w:rsid w:val="00A905DC"/>
    <w:rsid w:val="00A9304B"/>
    <w:rsid w:val="00A956D5"/>
    <w:rsid w:val="00AA152B"/>
    <w:rsid w:val="00AA1C04"/>
    <w:rsid w:val="00AA35D3"/>
    <w:rsid w:val="00AA48CA"/>
    <w:rsid w:val="00AA6FC2"/>
    <w:rsid w:val="00AB082B"/>
    <w:rsid w:val="00AB27BF"/>
    <w:rsid w:val="00AB357E"/>
    <w:rsid w:val="00AB6522"/>
    <w:rsid w:val="00AC28C3"/>
    <w:rsid w:val="00AC3C68"/>
    <w:rsid w:val="00AC7370"/>
    <w:rsid w:val="00AD162A"/>
    <w:rsid w:val="00AF289F"/>
    <w:rsid w:val="00B0188F"/>
    <w:rsid w:val="00B07416"/>
    <w:rsid w:val="00B13475"/>
    <w:rsid w:val="00B262D9"/>
    <w:rsid w:val="00B2647F"/>
    <w:rsid w:val="00B301CD"/>
    <w:rsid w:val="00B340ED"/>
    <w:rsid w:val="00B424E9"/>
    <w:rsid w:val="00B46C1A"/>
    <w:rsid w:val="00B46FE5"/>
    <w:rsid w:val="00B47A98"/>
    <w:rsid w:val="00B64605"/>
    <w:rsid w:val="00B6464E"/>
    <w:rsid w:val="00B7079C"/>
    <w:rsid w:val="00B72CC4"/>
    <w:rsid w:val="00B74997"/>
    <w:rsid w:val="00B77212"/>
    <w:rsid w:val="00B921A1"/>
    <w:rsid w:val="00B93D95"/>
    <w:rsid w:val="00BA52B9"/>
    <w:rsid w:val="00BB1393"/>
    <w:rsid w:val="00BB1BDE"/>
    <w:rsid w:val="00BB4B2F"/>
    <w:rsid w:val="00BB51BA"/>
    <w:rsid w:val="00BB77E9"/>
    <w:rsid w:val="00BC18A3"/>
    <w:rsid w:val="00BC199F"/>
    <w:rsid w:val="00BC59D5"/>
    <w:rsid w:val="00BC5DC1"/>
    <w:rsid w:val="00BD1875"/>
    <w:rsid w:val="00BD24CB"/>
    <w:rsid w:val="00BD2FA6"/>
    <w:rsid w:val="00BE0032"/>
    <w:rsid w:val="00BF3BD4"/>
    <w:rsid w:val="00BF4B0F"/>
    <w:rsid w:val="00BF6EF9"/>
    <w:rsid w:val="00C04F31"/>
    <w:rsid w:val="00C05F83"/>
    <w:rsid w:val="00C12E88"/>
    <w:rsid w:val="00C17D03"/>
    <w:rsid w:val="00C20238"/>
    <w:rsid w:val="00C20718"/>
    <w:rsid w:val="00C20D5B"/>
    <w:rsid w:val="00C2340C"/>
    <w:rsid w:val="00C4629D"/>
    <w:rsid w:val="00C56106"/>
    <w:rsid w:val="00C6170F"/>
    <w:rsid w:val="00C6370F"/>
    <w:rsid w:val="00C65ACE"/>
    <w:rsid w:val="00C74BAD"/>
    <w:rsid w:val="00C75D6A"/>
    <w:rsid w:val="00C76E6E"/>
    <w:rsid w:val="00C7798E"/>
    <w:rsid w:val="00C83EB6"/>
    <w:rsid w:val="00C93AD6"/>
    <w:rsid w:val="00C9608F"/>
    <w:rsid w:val="00C97C66"/>
    <w:rsid w:val="00CA410E"/>
    <w:rsid w:val="00CA5489"/>
    <w:rsid w:val="00CA7D13"/>
    <w:rsid w:val="00CB5135"/>
    <w:rsid w:val="00CC01B2"/>
    <w:rsid w:val="00CC2406"/>
    <w:rsid w:val="00CC6612"/>
    <w:rsid w:val="00CD7C1C"/>
    <w:rsid w:val="00CE0D24"/>
    <w:rsid w:val="00CE2DA7"/>
    <w:rsid w:val="00CF2781"/>
    <w:rsid w:val="00CF478A"/>
    <w:rsid w:val="00CF5AF7"/>
    <w:rsid w:val="00CF5FD3"/>
    <w:rsid w:val="00D032A9"/>
    <w:rsid w:val="00D06FA3"/>
    <w:rsid w:val="00D11418"/>
    <w:rsid w:val="00D1345D"/>
    <w:rsid w:val="00D14DC9"/>
    <w:rsid w:val="00D206DE"/>
    <w:rsid w:val="00D22105"/>
    <w:rsid w:val="00D24A96"/>
    <w:rsid w:val="00D30B5C"/>
    <w:rsid w:val="00D361B4"/>
    <w:rsid w:val="00D376EB"/>
    <w:rsid w:val="00D42784"/>
    <w:rsid w:val="00D432B8"/>
    <w:rsid w:val="00D505AD"/>
    <w:rsid w:val="00D51D4D"/>
    <w:rsid w:val="00D56271"/>
    <w:rsid w:val="00D63C1D"/>
    <w:rsid w:val="00D70BB8"/>
    <w:rsid w:val="00D72FAB"/>
    <w:rsid w:val="00D74B72"/>
    <w:rsid w:val="00D81C24"/>
    <w:rsid w:val="00D84F3E"/>
    <w:rsid w:val="00D86DEF"/>
    <w:rsid w:val="00D8787B"/>
    <w:rsid w:val="00D97D38"/>
    <w:rsid w:val="00DA0DA5"/>
    <w:rsid w:val="00DA6BD8"/>
    <w:rsid w:val="00DB3699"/>
    <w:rsid w:val="00DC16DF"/>
    <w:rsid w:val="00DC2E82"/>
    <w:rsid w:val="00DD047D"/>
    <w:rsid w:val="00DD419D"/>
    <w:rsid w:val="00DD56DE"/>
    <w:rsid w:val="00DD7965"/>
    <w:rsid w:val="00DE0CDD"/>
    <w:rsid w:val="00DF229C"/>
    <w:rsid w:val="00DF4AFA"/>
    <w:rsid w:val="00E00075"/>
    <w:rsid w:val="00E01DE5"/>
    <w:rsid w:val="00E101D2"/>
    <w:rsid w:val="00E12561"/>
    <w:rsid w:val="00E14E3B"/>
    <w:rsid w:val="00E1544A"/>
    <w:rsid w:val="00E251C7"/>
    <w:rsid w:val="00E259DE"/>
    <w:rsid w:val="00E300F8"/>
    <w:rsid w:val="00E40894"/>
    <w:rsid w:val="00E47D34"/>
    <w:rsid w:val="00E47E77"/>
    <w:rsid w:val="00E55401"/>
    <w:rsid w:val="00E56966"/>
    <w:rsid w:val="00E60C60"/>
    <w:rsid w:val="00E7183C"/>
    <w:rsid w:val="00E74E58"/>
    <w:rsid w:val="00E87144"/>
    <w:rsid w:val="00E93504"/>
    <w:rsid w:val="00E952A9"/>
    <w:rsid w:val="00EB0148"/>
    <w:rsid w:val="00EB0B6F"/>
    <w:rsid w:val="00EB33F9"/>
    <w:rsid w:val="00EB7C65"/>
    <w:rsid w:val="00EC3094"/>
    <w:rsid w:val="00EC3AD4"/>
    <w:rsid w:val="00ED2DCB"/>
    <w:rsid w:val="00ED3F55"/>
    <w:rsid w:val="00EE011E"/>
    <w:rsid w:val="00EE3178"/>
    <w:rsid w:val="00EF771B"/>
    <w:rsid w:val="00F006FF"/>
    <w:rsid w:val="00F048ED"/>
    <w:rsid w:val="00F04CE2"/>
    <w:rsid w:val="00F06698"/>
    <w:rsid w:val="00F07C57"/>
    <w:rsid w:val="00F14D7C"/>
    <w:rsid w:val="00F2430E"/>
    <w:rsid w:val="00F25E78"/>
    <w:rsid w:val="00F25F67"/>
    <w:rsid w:val="00F267DF"/>
    <w:rsid w:val="00F33E8D"/>
    <w:rsid w:val="00F37546"/>
    <w:rsid w:val="00F404C7"/>
    <w:rsid w:val="00F466B2"/>
    <w:rsid w:val="00F509DB"/>
    <w:rsid w:val="00F61BB6"/>
    <w:rsid w:val="00F63BDA"/>
    <w:rsid w:val="00F66C4C"/>
    <w:rsid w:val="00F70A43"/>
    <w:rsid w:val="00F72E1C"/>
    <w:rsid w:val="00F74C24"/>
    <w:rsid w:val="00F92503"/>
    <w:rsid w:val="00F97639"/>
    <w:rsid w:val="00FA2E97"/>
    <w:rsid w:val="00FA37FB"/>
    <w:rsid w:val="00FB05D7"/>
    <w:rsid w:val="00FB0F24"/>
    <w:rsid w:val="00FB3DC6"/>
    <w:rsid w:val="00FB4D7B"/>
    <w:rsid w:val="00FB53B8"/>
    <w:rsid w:val="00FB73D8"/>
    <w:rsid w:val="00FB7F77"/>
    <w:rsid w:val="00FC0477"/>
    <w:rsid w:val="00FC0794"/>
    <w:rsid w:val="00FC3D6B"/>
    <w:rsid w:val="00FC661B"/>
    <w:rsid w:val="00FD584C"/>
    <w:rsid w:val="00FD6F59"/>
    <w:rsid w:val="00FE3FA2"/>
    <w:rsid w:val="00FE3FAD"/>
    <w:rsid w:val="00FE7EFD"/>
    <w:rsid w:val="00FF0D4B"/>
    <w:rsid w:val="00FF6975"/>
    <w:rsid w:val="02DDCF3F"/>
    <w:rsid w:val="05271576"/>
    <w:rsid w:val="059FFA53"/>
    <w:rsid w:val="0692F2FD"/>
    <w:rsid w:val="07ADF1F6"/>
    <w:rsid w:val="08AAEA50"/>
    <w:rsid w:val="0B8F1D92"/>
    <w:rsid w:val="0CEFE760"/>
    <w:rsid w:val="0EAD6EB9"/>
    <w:rsid w:val="0F023267"/>
    <w:rsid w:val="174AF27F"/>
    <w:rsid w:val="1B33185B"/>
    <w:rsid w:val="20489867"/>
    <w:rsid w:val="269FC64F"/>
    <w:rsid w:val="26DE19D2"/>
    <w:rsid w:val="2A71236D"/>
    <w:rsid w:val="2BEC8ECE"/>
    <w:rsid w:val="2C2BF617"/>
    <w:rsid w:val="2E922FA8"/>
    <w:rsid w:val="33C283D5"/>
    <w:rsid w:val="3A46180A"/>
    <w:rsid w:val="3A46AF82"/>
    <w:rsid w:val="3EF63406"/>
    <w:rsid w:val="41871D88"/>
    <w:rsid w:val="4AA1F179"/>
    <w:rsid w:val="4B0AA331"/>
    <w:rsid w:val="57218BE7"/>
    <w:rsid w:val="5AC6813C"/>
    <w:rsid w:val="5AEADFD4"/>
    <w:rsid w:val="5F20E803"/>
    <w:rsid w:val="6FBDDD15"/>
    <w:rsid w:val="71E1FC2A"/>
    <w:rsid w:val="751AB1AD"/>
    <w:rsid w:val="755DA710"/>
    <w:rsid w:val="7894098E"/>
    <w:rsid w:val="7AB2973E"/>
    <w:rsid w:val="7B680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53309"/>
  <w15:chartTrackingRefBased/>
  <w15:docId w15:val="{D80A07EB-1DDB-41A5-BAC5-D134C5C0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0A43"/>
  </w:style>
  <w:style w:type="paragraph" w:styleId="Kop1">
    <w:name w:val="heading 1"/>
    <w:basedOn w:val="Standaard"/>
    <w:next w:val="Standaard"/>
    <w:link w:val="Kop1Char"/>
    <w:uiPriority w:val="9"/>
    <w:qFormat/>
    <w:rsid w:val="004A4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4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A43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43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43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43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3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3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3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3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43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A43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43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43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43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3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3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313"/>
    <w:rPr>
      <w:rFonts w:eastAsiaTheme="majorEastAsia" w:cstheme="majorBidi"/>
      <w:color w:val="272727" w:themeColor="text1" w:themeTint="D8"/>
    </w:rPr>
  </w:style>
  <w:style w:type="paragraph" w:styleId="Titel">
    <w:name w:val="Title"/>
    <w:basedOn w:val="Standaard"/>
    <w:next w:val="Standaard"/>
    <w:link w:val="TitelChar"/>
    <w:uiPriority w:val="10"/>
    <w:qFormat/>
    <w:rsid w:val="004A4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3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3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3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3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31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A4313"/>
    <w:pPr>
      <w:ind w:left="720"/>
      <w:contextualSpacing/>
    </w:pPr>
  </w:style>
  <w:style w:type="character" w:styleId="Intensievebenadrukking">
    <w:name w:val="Intense Emphasis"/>
    <w:basedOn w:val="Standaardalinea-lettertype"/>
    <w:uiPriority w:val="21"/>
    <w:qFormat/>
    <w:rsid w:val="004A4313"/>
    <w:rPr>
      <w:i/>
      <w:iCs/>
      <w:color w:val="2F5496" w:themeColor="accent1" w:themeShade="BF"/>
    </w:rPr>
  </w:style>
  <w:style w:type="paragraph" w:styleId="Duidelijkcitaat">
    <w:name w:val="Intense Quote"/>
    <w:basedOn w:val="Standaard"/>
    <w:next w:val="Standaard"/>
    <w:link w:val="DuidelijkcitaatChar"/>
    <w:uiPriority w:val="30"/>
    <w:qFormat/>
    <w:rsid w:val="004A4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4313"/>
    <w:rPr>
      <w:i/>
      <w:iCs/>
      <w:color w:val="2F5496" w:themeColor="accent1" w:themeShade="BF"/>
    </w:rPr>
  </w:style>
  <w:style w:type="character" w:styleId="Intensieveverwijzing">
    <w:name w:val="Intense Reference"/>
    <w:basedOn w:val="Standaardalinea-lettertype"/>
    <w:uiPriority w:val="32"/>
    <w:qFormat/>
    <w:rsid w:val="004A4313"/>
    <w:rPr>
      <w:b/>
      <w:bCs/>
      <w:smallCaps/>
      <w:color w:val="2F5496" w:themeColor="accent1" w:themeShade="BF"/>
      <w:spacing w:val="5"/>
    </w:rPr>
  </w:style>
  <w:style w:type="character" w:styleId="Hyperlink">
    <w:name w:val="Hyperlink"/>
    <w:basedOn w:val="Standaardalinea-lettertype"/>
    <w:uiPriority w:val="99"/>
    <w:unhideWhenUsed/>
    <w:rsid w:val="00B74997"/>
    <w:rPr>
      <w:color w:val="0563C1" w:themeColor="hyperlink"/>
      <w:u w:val="single"/>
    </w:rPr>
  </w:style>
  <w:style w:type="character" w:styleId="Onopgelostemelding">
    <w:name w:val="Unresolved Mention"/>
    <w:basedOn w:val="Standaardalinea-lettertype"/>
    <w:uiPriority w:val="99"/>
    <w:semiHidden/>
    <w:unhideWhenUsed/>
    <w:rsid w:val="00B74997"/>
    <w:rPr>
      <w:color w:val="605E5C"/>
      <w:shd w:val="clear" w:color="auto" w:fill="E1DFDD"/>
    </w:rPr>
  </w:style>
  <w:style w:type="character" w:styleId="GevolgdeHyperlink">
    <w:name w:val="FollowedHyperlink"/>
    <w:basedOn w:val="Standaardalinea-lettertype"/>
    <w:uiPriority w:val="99"/>
    <w:semiHidden/>
    <w:unhideWhenUsed/>
    <w:rsid w:val="00B74997"/>
    <w:rPr>
      <w:color w:val="954F72" w:themeColor="followedHyperlink"/>
      <w:u w:val="single"/>
    </w:rPr>
  </w:style>
  <w:style w:type="table" w:styleId="Tabelraster">
    <w:name w:val="Table Grid"/>
    <w:basedOn w:val="Standaardtabel"/>
    <w:uiPriority w:val="39"/>
    <w:rsid w:val="0066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022E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semiHidden/>
    <w:unhideWhenUsed/>
    <w:rsid w:val="0056712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7129"/>
    <w:rPr>
      <w:sz w:val="20"/>
      <w:szCs w:val="20"/>
    </w:rPr>
  </w:style>
  <w:style w:type="character" w:styleId="Voetnootmarkering">
    <w:name w:val="footnote reference"/>
    <w:basedOn w:val="Standaardalinea-lettertype"/>
    <w:uiPriority w:val="99"/>
    <w:semiHidden/>
    <w:unhideWhenUsed/>
    <w:rsid w:val="00567129"/>
    <w:rPr>
      <w:vertAlign w:val="superscript"/>
    </w:rPr>
  </w:style>
  <w:style w:type="character" w:styleId="Verwijzingopmerking">
    <w:name w:val="annotation reference"/>
    <w:basedOn w:val="Standaardalinea-lettertype"/>
    <w:uiPriority w:val="99"/>
    <w:semiHidden/>
    <w:unhideWhenUsed/>
    <w:rsid w:val="002805C2"/>
    <w:rPr>
      <w:sz w:val="16"/>
      <w:szCs w:val="16"/>
    </w:rPr>
  </w:style>
  <w:style w:type="paragraph" w:styleId="Tekstopmerking">
    <w:name w:val="annotation text"/>
    <w:basedOn w:val="Standaard"/>
    <w:link w:val="TekstopmerkingChar"/>
    <w:uiPriority w:val="99"/>
    <w:unhideWhenUsed/>
    <w:rsid w:val="002805C2"/>
    <w:pPr>
      <w:spacing w:line="240" w:lineRule="auto"/>
    </w:pPr>
    <w:rPr>
      <w:sz w:val="20"/>
      <w:szCs w:val="20"/>
    </w:rPr>
  </w:style>
  <w:style w:type="character" w:customStyle="1" w:styleId="TekstopmerkingChar">
    <w:name w:val="Tekst opmerking Char"/>
    <w:basedOn w:val="Standaardalinea-lettertype"/>
    <w:link w:val="Tekstopmerking"/>
    <w:uiPriority w:val="99"/>
    <w:rsid w:val="002805C2"/>
    <w:rPr>
      <w:sz w:val="20"/>
      <w:szCs w:val="20"/>
    </w:rPr>
  </w:style>
  <w:style w:type="paragraph" w:styleId="Onderwerpvanopmerking">
    <w:name w:val="annotation subject"/>
    <w:basedOn w:val="Tekstopmerking"/>
    <w:next w:val="Tekstopmerking"/>
    <w:link w:val="OnderwerpvanopmerkingChar"/>
    <w:uiPriority w:val="99"/>
    <w:semiHidden/>
    <w:unhideWhenUsed/>
    <w:rsid w:val="002805C2"/>
    <w:rPr>
      <w:b/>
      <w:bCs/>
    </w:rPr>
  </w:style>
  <w:style w:type="character" w:customStyle="1" w:styleId="OnderwerpvanopmerkingChar">
    <w:name w:val="Onderwerp van opmerking Char"/>
    <w:basedOn w:val="TekstopmerkingChar"/>
    <w:link w:val="Onderwerpvanopmerking"/>
    <w:uiPriority w:val="99"/>
    <w:semiHidden/>
    <w:rsid w:val="002805C2"/>
    <w:rPr>
      <w:b/>
      <w:bCs/>
      <w:sz w:val="20"/>
      <w:szCs w:val="20"/>
    </w:rPr>
  </w:style>
  <w:style w:type="paragraph" w:styleId="Koptekst">
    <w:name w:val="header"/>
    <w:basedOn w:val="Standaard"/>
    <w:link w:val="KoptekstChar"/>
    <w:uiPriority w:val="99"/>
    <w:unhideWhenUsed/>
    <w:rsid w:val="00016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C3F"/>
  </w:style>
  <w:style w:type="paragraph" w:styleId="Voettekst">
    <w:name w:val="footer"/>
    <w:basedOn w:val="Standaard"/>
    <w:link w:val="VoettekstChar"/>
    <w:uiPriority w:val="99"/>
    <w:unhideWhenUsed/>
    <w:rsid w:val="00016C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C3F"/>
  </w:style>
  <w:style w:type="paragraph" w:styleId="Normaalweb">
    <w:name w:val="Normal (Web)"/>
    <w:basedOn w:val="Standaard"/>
    <w:uiPriority w:val="99"/>
    <w:unhideWhenUsed/>
    <w:rsid w:val="00A278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C5DC1"/>
    <w:rPr>
      <w:b/>
      <w:bCs/>
    </w:rPr>
  </w:style>
  <w:style w:type="paragraph" w:styleId="Revisie">
    <w:name w:val="Revision"/>
    <w:hidden/>
    <w:uiPriority w:val="99"/>
    <w:semiHidden/>
    <w:rsid w:val="009871B4"/>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7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053">
      <w:bodyDiv w:val="1"/>
      <w:marLeft w:val="0"/>
      <w:marRight w:val="0"/>
      <w:marTop w:val="0"/>
      <w:marBottom w:val="0"/>
      <w:divBdr>
        <w:top w:val="none" w:sz="0" w:space="0" w:color="auto"/>
        <w:left w:val="none" w:sz="0" w:space="0" w:color="auto"/>
        <w:bottom w:val="none" w:sz="0" w:space="0" w:color="auto"/>
        <w:right w:val="none" w:sz="0" w:space="0" w:color="auto"/>
      </w:divBdr>
      <w:divsChild>
        <w:div w:id="9175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9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68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35845">
      <w:bodyDiv w:val="1"/>
      <w:marLeft w:val="0"/>
      <w:marRight w:val="0"/>
      <w:marTop w:val="0"/>
      <w:marBottom w:val="0"/>
      <w:divBdr>
        <w:top w:val="none" w:sz="0" w:space="0" w:color="auto"/>
        <w:left w:val="none" w:sz="0" w:space="0" w:color="auto"/>
        <w:bottom w:val="none" w:sz="0" w:space="0" w:color="auto"/>
        <w:right w:val="none" w:sz="0" w:space="0" w:color="auto"/>
      </w:divBdr>
    </w:div>
    <w:div w:id="129715165">
      <w:bodyDiv w:val="1"/>
      <w:marLeft w:val="0"/>
      <w:marRight w:val="0"/>
      <w:marTop w:val="0"/>
      <w:marBottom w:val="0"/>
      <w:divBdr>
        <w:top w:val="none" w:sz="0" w:space="0" w:color="auto"/>
        <w:left w:val="none" w:sz="0" w:space="0" w:color="auto"/>
        <w:bottom w:val="none" w:sz="0" w:space="0" w:color="auto"/>
        <w:right w:val="none" w:sz="0" w:space="0" w:color="auto"/>
      </w:divBdr>
      <w:divsChild>
        <w:div w:id="9012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44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96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37766">
      <w:bodyDiv w:val="1"/>
      <w:marLeft w:val="0"/>
      <w:marRight w:val="0"/>
      <w:marTop w:val="0"/>
      <w:marBottom w:val="0"/>
      <w:divBdr>
        <w:top w:val="none" w:sz="0" w:space="0" w:color="auto"/>
        <w:left w:val="none" w:sz="0" w:space="0" w:color="auto"/>
        <w:bottom w:val="none" w:sz="0" w:space="0" w:color="auto"/>
        <w:right w:val="none" w:sz="0" w:space="0" w:color="auto"/>
      </w:divBdr>
    </w:div>
    <w:div w:id="228656496">
      <w:bodyDiv w:val="1"/>
      <w:marLeft w:val="0"/>
      <w:marRight w:val="0"/>
      <w:marTop w:val="0"/>
      <w:marBottom w:val="0"/>
      <w:divBdr>
        <w:top w:val="none" w:sz="0" w:space="0" w:color="auto"/>
        <w:left w:val="none" w:sz="0" w:space="0" w:color="auto"/>
        <w:bottom w:val="none" w:sz="0" w:space="0" w:color="auto"/>
        <w:right w:val="none" w:sz="0" w:space="0" w:color="auto"/>
      </w:divBdr>
    </w:div>
    <w:div w:id="238488326">
      <w:bodyDiv w:val="1"/>
      <w:marLeft w:val="0"/>
      <w:marRight w:val="0"/>
      <w:marTop w:val="0"/>
      <w:marBottom w:val="0"/>
      <w:divBdr>
        <w:top w:val="none" w:sz="0" w:space="0" w:color="auto"/>
        <w:left w:val="none" w:sz="0" w:space="0" w:color="auto"/>
        <w:bottom w:val="none" w:sz="0" w:space="0" w:color="auto"/>
        <w:right w:val="none" w:sz="0" w:space="0" w:color="auto"/>
      </w:divBdr>
    </w:div>
    <w:div w:id="328027282">
      <w:bodyDiv w:val="1"/>
      <w:marLeft w:val="0"/>
      <w:marRight w:val="0"/>
      <w:marTop w:val="0"/>
      <w:marBottom w:val="0"/>
      <w:divBdr>
        <w:top w:val="none" w:sz="0" w:space="0" w:color="auto"/>
        <w:left w:val="none" w:sz="0" w:space="0" w:color="auto"/>
        <w:bottom w:val="none" w:sz="0" w:space="0" w:color="auto"/>
        <w:right w:val="none" w:sz="0" w:space="0" w:color="auto"/>
      </w:divBdr>
    </w:div>
    <w:div w:id="336201216">
      <w:bodyDiv w:val="1"/>
      <w:marLeft w:val="0"/>
      <w:marRight w:val="0"/>
      <w:marTop w:val="0"/>
      <w:marBottom w:val="0"/>
      <w:divBdr>
        <w:top w:val="none" w:sz="0" w:space="0" w:color="auto"/>
        <w:left w:val="none" w:sz="0" w:space="0" w:color="auto"/>
        <w:bottom w:val="none" w:sz="0" w:space="0" w:color="auto"/>
        <w:right w:val="none" w:sz="0" w:space="0" w:color="auto"/>
      </w:divBdr>
    </w:div>
    <w:div w:id="390933605">
      <w:bodyDiv w:val="1"/>
      <w:marLeft w:val="0"/>
      <w:marRight w:val="0"/>
      <w:marTop w:val="0"/>
      <w:marBottom w:val="0"/>
      <w:divBdr>
        <w:top w:val="none" w:sz="0" w:space="0" w:color="auto"/>
        <w:left w:val="none" w:sz="0" w:space="0" w:color="auto"/>
        <w:bottom w:val="none" w:sz="0" w:space="0" w:color="auto"/>
        <w:right w:val="none" w:sz="0" w:space="0" w:color="auto"/>
      </w:divBdr>
    </w:div>
    <w:div w:id="398096374">
      <w:bodyDiv w:val="1"/>
      <w:marLeft w:val="0"/>
      <w:marRight w:val="0"/>
      <w:marTop w:val="0"/>
      <w:marBottom w:val="0"/>
      <w:divBdr>
        <w:top w:val="none" w:sz="0" w:space="0" w:color="auto"/>
        <w:left w:val="none" w:sz="0" w:space="0" w:color="auto"/>
        <w:bottom w:val="none" w:sz="0" w:space="0" w:color="auto"/>
        <w:right w:val="none" w:sz="0" w:space="0" w:color="auto"/>
      </w:divBdr>
    </w:div>
    <w:div w:id="404452814">
      <w:bodyDiv w:val="1"/>
      <w:marLeft w:val="0"/>
      <w:marRight w:val="0"/>
      <w:marTop w:val="0"/>
      <w:marBottom w:val="0"/>
      <w:divBdr>
        <w:top w:val="none" w:sz="0" w:space="0" w:color="auto"/>
        <w:left w:val="none" w:sz="0" w:space="0" w:color="auto"/>
        <w:bottom w:val="none" w:sz="0" w:space="0" w:color="auto"/>
        <w:right w:val="none" w:sz="0" w:space="0" w:color="auto"/>
      </w:divBdr>
    </w:div>
    <w:div w:id="437221115">
      <w:bodyDiv w:val="1"/>
      <w:marLeft w:val="0"/>
      <w:marRight w:val="0"/>
      <w:marTop w:val="0"/>
      <w:marBottom w:val="0"/>
      <w:divBdr>
        <w:top w:val="none" w:sz="0" w:space="0" w:color="auto"/>
        <w:left w:val="none" w:sz="0" w:space="0" w:color="auto"/>
        <w:bottom w:val="none" w:sz="0" w:space="0" w:color="auto"/>
        <w:right w:val="none" w:sz="0" w:space="0" w:color="auto"/>
      </w:divBdr>
    </w:div>
    <w:div w:id="437335042">
      <w:bodyDiv w:val="1"/>
      <w:marLeft w:val="0"/>
      <w:marRight w:val="0"/>
      <w:marTop w:val="0"/>
      <w:marBottom w:val="0"/>
      <w:divBdr>
        <w:top w:val="none" w:sz="0" w:space="0" w:color="auto"/>
        <w:left w:val="none" w:sz="0" w:space="0" w:color="auto"/>
        <w:bottom w:val="none" w:sz="0" w:space="0" w:color="auto"/>
        <w:right w:val="none" w:sz="0" w:space="0" w:color="auto"/>
      </w:divBdr>
    </w:div>
    <w:div w:id="493224896">
      <w:bodyDiv w:val="1"/>
      <w:marLeft w:val="0"/>
      <w:marRight w:val="0"/>
      <w:marTop w:val="0"/>
      <w:marBottom w:val="0"/>
      <w:divBdr>
        <w:top w:val="none" w:sz="0" w:space="0" w:color="auto"/>
        <w:left w:val="none" w:sz="0" w:space="0" w:color="auto"/>
        <w:bottom w:val="none" w:sz="0" w:space="0" w:color="auto"/>
        <w:right w:val="none" w:sz="0" w:space="0" w:color="auto"/>
      </w:divBdr>
    </w:div>
    <w:div w:id="495850505">
      <w:bodyDiv w:val="1"/>
      <w:marLeft w:val="0"/>
      <w:marRight w:val="0"/>
      <w:marTop w:val="0"/>
      <w:marBottom w:val="0"/>
      <w:divBdr>
        <w:top w:val="none" w:sz="0" w:space="0" w:color="auto"/>
        <w:left w:val="none" w:sz="0" w:space="0" w:color="auto"/>
        <w:bottom w:val="none" w:sz="0" w:space="0" w:color="auto"/>
        <w:right w:val="none" w:sz="0" w:space="0" w:color="auto"/>
      </w:divBdr>
    </w:div>
    <w:div w:id="579414766">
      <w:bodyDiv w:val="1"/>
      <w:marLeft w:val="0"/>
      <w:marRight w:val="0"/>
      <w:marTop w:val="0"/>
      <w:marBottom w:val="0"/>
      <w:divBdr>
        <w:top w:val="none" w:sz="0" w:space="0" w:color="auto"/>
        <w:left w:val="none" w:sz="0" w:space="0" w:color="auto"/>
        <w:bottom w:val="none" w:sz="0" w:space="0" w:color="auto"/>
        <w:right w:val="none" w:sz="0" w:space="0" w:color="auto"/>
      </w:divBdr>
      <w:divsChild>
        <w:div w:id="1316909824">
          <w:marLeft w:val="0"/>
          <w:marRight w:val="0"/>
          <w:marTop w:val="0"/>
          <w:marBottom w:val="0"/>
          <w:divBdr>
            <w:top w:val="none" w:sz="0" w:space="0" w:color="auto"/>
            <w:left w:val="none" w:sz="0" w:space="0" w:color="auto"/>
            <w:bottom w:val="none" w:sz="0" w:space="0" w:color="auto"/>
            <w:right w:val="none" w:sz="0" w:space="0" w:color="auto"/>
          </w:divBdr>
        </w:div>
        <w:div w:id="2005206896">
          <w:marLeft w:val="0"/>
          <w:marRight w:val="0"/>
          <w:marTop w:val="0"/>
          <w:marBottom w:val="0"/>
          <w:divBdr>
            <w:top w:val="none" w:sz="0" w:space="0" w:color="auto"/>
            <w:left w:val="none" w:sz="0" w:space="0" w:color="auto"/>
            <w:bottom w:val="none" w:sz="0" w:space="0" w:color="auto"/>
            <w:right w:val="none" w:sz="0" w:space="0" w:color="auto"/>
          </w:divBdr>
        </w:div>
        <w:div w:id="1713266198">
          <w:marLeft w:val="0"/>
          <w:marRight w:val="0"/>
          <w:marTop w:val="0"/>
          <w:marBottom w:val="0"/>
          <w:divBdr>
            <w:top w:val="none" w:sz="0" w:space="0" w:color="auto"/>
            <w:left w:val="none" w:sz="0" w:space="0" w:color="auto"/>
            <w:bottom w:val="none" w:sz="0" w:space="0" w:color="auto"/>
            <w:right w:val="none" w:sz="0" w:space="0" w:color="auto"/>
          </w:divBdr>
        </w:div>
        <w:div w:id="668558905">
          <w:marLeft w:val="0"/>
          <w:marRight w:val="0"/>
          <w:marTop w:val="0"/>
          <w:marBottom w:val="0"/>
          <w:divBdr>
            <w:top w:val="none" w:sz="0" w:space="0" w:color="auto"/>
            <w:left w:val="none" w:sz="0" w:space="0" w:color="auto"/>
            <w:bottom w:val="none" w:sz="0" w:space="0" w:color="auto"/>
            <w:right w:val="none" w:sz="0" w:space="0" w:color="auto"/>
          </w:divBdr>
        </w:div>
        <w:div w:id="1256357844">
          <w:marLeft w:val="0"/>
          <w:marRight w:val="0"/>
          <w:marTop w:val="0"/>
          <w:marBottom w:val="0"/>
          <w:divBdr>
            <w:top w:val="none" w:sz="0" w:space="0" w:color="auto"/>
            <w:left w:val="none" w:sz="0" w:space="0" w:color="auto"/>
            <w:bottom w:val="none" w:sz="0" w:space="0" w:color="auto"/>
            <w:right w:val="none" w:sz="0" w:space="0" w:color="auto"/>
          </w:divBdr>
        </w:div>
      </w:divsChild>
    </w:div>
    <w:div w:id="583300889">
      <w:bodyDiv w:val="1"/>
      <w:marLeft w:val="0"/>
      <w:marRight w:val="0"/>
      <w:marTop w:val="0"/>
      <w:marBottom w:val="0"/>
      <w:divBdr>
        <w:top w:val="none" w:sz="0" w:space="0" w:color="auto"/>
        <w:left w:val="none" w:sz="0" w:space="0" w:color="auto"/>
        <w:bottom w:val="none" w:sz="0" w:space="0" w:color="auto"/>
        <w:right w:val="none" w:sz="0" w:space="0" w:color="auto"/>
      </w:divBdr>
    </w:div>
    <w:div w:id="584874672">
      <w:bodyDiv w:val="1"/>
      <w:marLeft w:val="0"/>
      <w:marRight w:val="0"/>
      <w:marTop w:val="0"/>
      <w:marBottom w:val="0"/>
      <w:divBdr>
        <w:top w:val="none" w:sz="0" w:space="0" w:color="auto"/>
        <w:left w:val="none" w:sz="0" w:space="0" w:color="auto"/>
        <w:bottom w:val="none" w:sz="0" w:space="0" w:color="auto"/>
        <w:right w:val="none" w:sz="0" w:space="0" w:color="auto"/>
      </w:divBdr>
    </w:div>
    <w:div w:id="615720437">
      <w:bodyDiv w:val="1"/>
      <w:marLeft w:val="0"/>
      <w:marRight w:val="0"/>
      <w:marTop w:val="0"/>
      <w:marBottom w:val="0"/>
      <w:divBdr>
        <w:top w:val="none" w:sz="0" w:space="0" w:color="auto"/>
        <w:left w:val="none" w:sz="0" w:space="0" w:color="auto"/>
        <w:bottom w:val="none" w:sz="0" w:space="0" w:color="auto"/>
        <w:right w:val="none" w:sz="0" w:space="0" w:color="auto"/>
      </w:divBdr>
    </w:div>
    <w:div w:id="627855172">
      <w:bodyDiv w:val="1"/>
      <w:marLeft w:val="0"/>
      <w:marRight w:val="0"/>
      <w:marTop w:val="0"/>
      <w:marBottom w:val="0"/>
      <w:divBdr>
        <w:top w:val="none" w:sz="0" w:space="0" w:color="auto"/>
        <w:left w:val="none" w:sz="0" w:space="0" w:color="auto"/>
        <w:bottom w:val="none" w:sz="0" w:space="0" w:color="auto"/>
        <w:right w:val="none" w:sz="0" w:space="0" w:color="auto"/>
      </w:divBdr>
    </w:div>
    <w:div w:id="663553946">
      <w:bodyDiv w:val="1"/>
      <w:marLeft w:val="0"/>
      <w:marRight w:val="0"/>
      <w:marTop w:val="0"/>
      <w:marBottom w:val="0"/>
      <w:divBdr>
        <w:top w:val="none" w:sz="0" w:space="0" w:color="auto"/>
        <w:left w:val="none" w:sz="0" w:space="0" w:color="auto"/>
        <w:bottom w:val="none" w:sz="0" w:space="0" w:color="auto"/>
        <w:right w:val="none" w:sz="0" w:space="0" w:color="auto"/>
      </w:divBdr>
      <w:divsChild>
        <w:div w:id="1598715367">
          <w:marLeft w:val="0"/>
          <w:marRight w:val="0"/>
          <w:marTop w:val="0"/>
          <w:marBottom w:val="0"/>
          <w:divBdr>
            <w:top w:val="none" w:sz="0" w:space="0" w:color="auto"/>
            <w:left w:val="none" w:sz="0" w:space="0" w:color="auto"/>
            <w:bottom w:val="none" w:sz="0" w:space="0" w:color="auto"/>
            <w:right w:val="none" w:sz="0" w:space="0" w:color="auto"/>
          </w:divBdr>
        </w:div>
        <w:div w:id="1543788594">
          <w:marLeft w:val="0"/>
          <w:marRight w:val="0"/>
          <w:marTop w:val="0"/>
          <w:marBottom w:val="0"/>
          <w:divBdr>
            <w:top w:val="none" w:sz="0" w:space="0" w:color="auto"/>
            <w:left w:val="none" w:sz="0" w:space="0" w:color="auto"/>
            <w:bottom w:val="none" w:sz="0" w:space="0" w:color="auto"/>
            <w:right w:val="none" w:sz="0" w:space="0" w:color="auto"/>
          </w:divBdr>
        </w:div>
      </w:divsChild>
    </w:div>
    <w:div w:id="678386821">
      <w:bodyDiv w:val="1"/>
      <w:marLeft w:val="0"/>
      <w:marRight w:val="0"/>
      <w:marTop w:val="0"/>
      <w:marBottom w:val="0"/>
      <w:divBdr>
        <w:top w:val="none" w:sz="0" w:space="0" w:color="auto"/>
        <w:left w:val="none" w:sz="0" w:space="0" w:color="auto"/>
        <w:bottom w:val="none" w:sz="0" w:space="0" w:color="auto"/>
        <w:right w:val="none" w:sz="0" w:space="0" w:color="auto"/>
      </w:divBdr>
      <w:divsChild>
        <w:div w:id="615256127">
          <w:marLeft w:val="0"/>
          <w:marRight w:val="0"/>
          <w:marTop w:val="0"/>
          <w:marBottom w:val="0"/>
          <w:divBdr>
            <w:top w:val="none" w:sz="0" w:space="0" w:color="auto"/>
            <w:left w:val="none" w:sz="0" w:space="0" w:color="auto"/>
            <w:bottom w:val="none" w:sz="0" w:space="0" w:color="auto"/>
            <w:right w:val="none" w:sz="0" w:space="0" w:color="auto"/>
          </w:divBdr>
        </w:div>
        <w:div w:id="1461267890">
          <w:marLeft w:val="0"/>
          <w:marRight w:val="0"/>
          <w:marTop w:val="0"/>
          <w:marBottom w:val="0"/>
          <w:divBdr>
            <w:top w:val="none" w:sz="0" w:space="0" w:color="auto"/>
            <w:left w:val="none" w:sz="0" w:space="0" w:color="auto"/>
            <w:bottom w:val="none" w:sz="0" w:space="0" w:color="auto"/>
            <w:right w:val="none" w:sz="0" w:space="0" w:color="auto"/>
          </w:divBdr>
        </w:div>
      </w:divsChild>
    </w:div>
    <w:div w:id="680816423">
      <w:bodyDiv w:val="1"/>
      <w:marLeft w:val="0"/>
      <w:marRight w:val="0"/>
      <w:marTop w:val="0"/>
      <w:marBottom w:val="0"/>
      <w:divBdr>
        <w:top w:val="none" w:sz="0" w:space="0" w:color="auto"/>
        <w:left w:val="none" w:sz="0" w:space="0" w:color="auto"/>
        <w:bottom w:val="none" w:sz="0" w:space="0" w:color="auto"/>
        <w:right w:val="none" w:sz="0" w:space="0" w:color="auto"/>
      </w:divBdr>
    </w:div>
    <w:div w:id="749816063">
      <w:bodyDiv w:val="1"/>
      <w:marLeft w:val="0"/>
      <w:marRight w:val="0"/>
      <w:marTop w:val="0"/>
      <w:marBottom w:val="0"/>
      <w:divBdr>
        <w:top w:val="none" w:sz="0" w:space="0" w:color="auto"/>
        <w:left w:val="none" w:sz="0" w:space="0" w:color="auto"/>
        <w:bottom w:val="none" w:sz="0" w:space="0" w:color="auto"/>
        <w:right w:val="none" w:sz="0" w:space="0" w:color="auto"/>
      </w:divBdr>
      <w:divsChild>
        <w:div w:id="656808119">
          <w:marLeft w:val="0"/>
          <w:marRight w:val="0"/>
          <w:marTop w:val="0"/>
          <w:marBottom w:val="0"/>
          <w:divBdr>
            <w:top w:val="none" w:sz="0" w:space="0" w:color="auto"/>
            <w:left w:val="none" w:sz="0" w:space="0" w:color="auto"/>
            <w:bottom w:val="none" w:sz="0" w:space="0" w:color="auto"/>
            <w:right w:val="none" w:sz="0" w:space="0" w:color="auto"/>
          </w:divBdr>
        </w:div>
      </w:divsChild>
    </w:div>
    <w:div w:id="760836784">
      <w:bodyDiv w:val="1"/>
      <w:marLeft w:val="0"/>
      <w:marRight w:val="0"/>
      <w:marTop w:val="0"/>
      <w:marBottom w:val="0"/>
      <w:divBdr>
        <w:top w:val="none" w:sz="0" w:space="0" w:color="auto"/>
        <w:left w:val="none" w:sz="0" w:space="0" w:color="auto"/>
        <w:bottom w:val="none" w:sz="0" w:space="0" w:color="auto"/>
        <w:right w:val="none" w:sz="0" w:space="0" w:color="auto"/>
      </w:divBdr>
      <w:divsChild>
        <w:div w:id="1697581124">
          <w:marLeft w:val="0"/>
          <w:marRight w:val="0"/>
          <w:marTop w:val="0"/>
          <w:marBottom w:val="0"/>
          <w:divBdr>
            <w:top w:val="none" w:sz="0" w:space="0" w:color="auto"/>
            <w:left w:val="none" w:sz="0" w:space="0" w:color="auto"/>
            <w:bottom w:val="none" w:sz="0" w:space="0" w:color="auto"/>
            <w:right w:val="none" w:sz="0" w:space="0" w:color="auto"/>
          </w:divBdr>
        </w:div>
        <w:div w:id="484395493">
          <w:marLeft w:val="0"/>
          <w:marRight w:val="0"/>
          <w:marTop w:val="0"/>
          <w:marBottom w:val="0"/>
          <w:divBdr>
            <w:top w:val="none" w:sz="0" w:space="0" w:color="auto"/>
            <w:left w:val="none" w:sz="0" w:space="0" w:color="auto"/>
            <w:bottom w:val="none" w:sz="0" w:space="0" w:color="auto"/>
            <w:right w:val="none" w:sz="0" w:space="0" w:color="auto"/>
          </w:divBdr>
        </w:div>
        <w:div w:id="1929607924">
          <w:marLeft w:val="0"/>
          <w:marRight w:val="0"/>
          <w:marTop w:val="0"/>
          <w:marBottom w:val="0"/>
          <w:divBdr>
            <w:top w:val="none" w:sz="0" w:space="0" w:color="auto"/>
            <w:left w:val="none" w:sz="0" w:space="0" w:color="auto"/>
            <w:bottom w:val="none" w:sz="0" w:space="0" w:color="auto"/>
            <w:right w:val="none" w:sz="0" w:space="0" w:color="auto"/>
          </w:divBdr>
        </w:div>
        <w:div w:id="225576702">
          <w:marLeft w:val="0"/>
          <w:marRight w:val="0"/>
          <w:marTop w:val="0"/>
          <w:marBottom w:val="0"/>
          <w:divBdr>
            <w:top w:val="none" w:sz="0" w:space="0" w:color="auto"/>
            <w:left w:val="none" w:sz="0" w:space="0" w:color="auto"/>
            <w:bottom w:val="none" w:sz="0" w:space="0" w:color="auto"/>
            <w:right w:val="none" w:sz="0" w:space="0" w:color="auto"/>
          </w:divBdr>
        </w:div>
        <w:div w:id="1077442246">
          <w:marLeft w:val="0"/>
          <w:marRight w:val="0"/>
          <w:marTop w:val="0"/>
          <w:marBottom w:val="0"/>
          <w:divBdr>
            <w:top w:val="none" w:sz="0" w:space="0" w:color="auto"/>
            <w:left w:val="none" w:sz="0" w:space="0" w:color="auto"/>
            <w:bottom w:val="none" w:sz="0" w:space="0" w:color="auto"/>
            <w:right w:val="none" w:sz="0" w:space="0" w:color="auto"/>
          </w:divBdr>
        </w:div>
      </w:divsChild>
    </w:div>
    <w:div w:id="831605765">
      <w:bodyDiv w:val="1"/>
      <w:marLeft w:val="0"/>
      <w:marRight w:val="0"/>
      <w:marTop w:val="0"/>
      <w:marBottom w:val="0"/>
      <w:divBdr>
        <w:top w:val="none" w:sz="0" w:space="0" w:color="auto"/>
        <w:left w:val="none" w:sz="0" w:space="0" w:color="auto"/>
        <w:bottom w:val="none" w:sz="0" w:space="0" w:color="auto"/>
        <w:right w:val="none" w:sz="0" w:space="0" w:color="auto"/>
      </w:divBdr>
      <w:divsChild>
        <w:div w:id="1759447453">
          <w:marLeft w:val="1166"/>
          <w:marRight w:val="0"/>
          <w:marTop w:val="200"/>
          <w:marBottom w:val="0"/>
          <w:divBdr>
            <w:top w:val="none" w:sz="0" w:space="0" w:color="auto"/>
            <w:left w:val="none" w:sz="0" w:space="0" w:color="auto"/>
            <w:bottom w:val="none" w:sz="0" w:space="0" w:color="auto"/>
            <w:right w:val="none" w:sz="0" w:space="0" w:color="auto"/>
          </w:divBdr>
        </w:div>
        <w:div w:id="298343087">
          <w:marLeft w:val="1166"/>
          <w:marRight w:val="0"/>
          <w:marTop w:val="200"/>
          <w:marBottom w:val="0"/>
          <w:divBdr>
            <w:top w:val="none" w:sz="0" w:space="0" w:color="auto"/>
            <w:left w:val="none" w:sz="0" w:space="0" w:color="auto"/>
            <w:bottom w:val="none" w:sz="0" w:space="0" w:color="auto"/>
            <w:right w:val="none" w:sz="0" w:space="0" w:color="auto"/>
          </w:divBdr>
        </w:div>
        <w:div w:id="732584941">
          <w:marLeft w:val="1800"/>
          <w:marRight w:val="0"/>
          <w:marTop w:val="160"/>
          <w:marBottom w:val="0"/>
          <w:divBdr>
            <w:top w:val="none" w:sz="0" w:space="0" w:color="auto"/>
            <w:left w:val="none" w:sz="0" w:space="0" w:color="auto"/>
            <w:bottom w:val="none" w:sz="0" w:space="0" w:color="auto"/>
            <w:right w:val="none" w:sz="0" w:space="0" w:color="auto"/>
          </w:divBdr>
        </w:div>
        <w:div w:id="656883849">
          <w:marLeft w:val="1800"/>
          <w:marRight w:val="0"/>
          <w:marTop w:val="160"/>
          <w:marBottom w:val="0"/>
          <w:divBdr>
            <w:top w:val="none" w:sz="0" w:space="0" w:color="auto"/>
            <w:left w:val="none" w:sz="0" w:space="0" w:color="auto"/>
            <w:bottom w:val="none" w:sz="0" w:space="0" w:color="auto"/>
            <w:right w:val="none" w:sz="0" w:space="0" w:color="auto"/>
          </w:divBdr>
        </w:div>
        <w:div w:id="2011635729">
          <w:marLeft w:val="1800"/>
          <w:marRight w:val="0"/>
          <w:marTop w:val="160"/>
          <w:marBottom w:val="160"/>
          <w:divBdr>
            <w:top w:val="none" w:sz="0" w:space="0" w:color="auto"/>
            <w:left w:val="none" w:sz="0" w:space="0" w:color="auto"/>
            <w:bottom w:val="none" w:sz="0" w:space="0" w:color="auto"/>
            <w:right w:val="none" w:sz="0" w:space="0" w:color="auto"/>
          </w:divBdr>
        </w:div>
      </w:divsChild>
    </w:div>
    <w:div w:id="859851645">
      <w:bodyDiv w:val="1"/>
      <w:marLeft w:val="0"/>
      <w:marRight w:val="0"/>
      <w:marTop w:val="0"/>
      <w:marBottom w:val="0"/>
      <w:divBdr>
        <w:top w:val="none" w:sz="0" w:space="0" w:color="auto"/>
        <w:left w:val="none" w:sz="0" w:space="0" w:color="auto"/>
        <w:bottom w:val="none" w:sz="0" w:space="0" w:color="auto"/>
        <w:right w:val="none" w:sz="0" w:space="0" w:color="auto"/>
      </w:divBdr>
      <w:divsChild>
        <w:div w:id="876620174">
          <w:marLeft w:val="0"/>
          <w:marRight w:val="0"/>
          <w:marTop w:val="0"/>
          <w:marBottom w:val="0"/>
          <w:divBdr>
            <w:top w:val="none" w:sz="0" w:space="0" w:color="auto"/>
            <w:left w:val="none" w:sz="0" w:space="0" w:color="auto"/>
            <w:bottom w:val="none" w:sz="0" w:space="0" w:color="auto"/>
            <w:right w:val="none" w:sz="0" w:space="0" w:color="auto"/>
          </w:divBdr>
        </w:div>
      </w:divsChild>
    </w:div>
    <w:div w:id="990450236">
      <w:bodyDiv w:val="1"/>
      <w:marLeft w:val="0"/>
      <w:marRight w:val="0"/>
      <w:marTop w:val="0"/>
      <w:marBottom w:val="0"/>
      <w:divBdr>
        <w:top w:val="none" w:sz="0" w:space="0" w:color="auto"/>
        <w:left w:val="none" w:sz="0" w:space="0" w:color="auto"/>
        <w:bottom w:val="none" w:sz="0" w:space="0" w:color="auto"/>
        <w:right w:val="none" w:sz="0" w:space="0" w:color="auto"/>
      </w:divBdr>
    </w:div>
    <w:div w:id="1010915097">
      <w:bodyDiv w:val="1"/>
      <w:marLeft w:val="0"/>
      <w:marRight w:val="0"/>
      <w:marTop w:val="0"/>
      <w:marBottom w:val="0"/>
      <w:divBdr>
        <w:top w:val="none" w:sz="0" w:space="0" w:color="auto"/>
        <w:left w:val="none" w:sz="0" w:space="0" w:color="auto"/>
        <w:bottom w:val="none" w:sz="0" w:space="0" w:color="auto"/>
        <w:right w:val="none" w:sz="0" w:space="0" w:color="auto"/>
      </w:divBdr>
    </w:div>
    <w:div w:id="1016738243">
      <w:bodyDiv w:val="1"/>
      <w:marLeft w:val="0"/>
      <w:marRight w:val="0"/>
      <w:marTop w:val="0"/>
      <w:marBottom w:val="0"/>
      <w:divBdr>
        <w:top w:val="none" w:sz="0" w:space="0" w:color="auto"/>
        <w:left w:val="none" w:sz="0" w:space="0" w:color="auto"/>
        <w:bottom w:val="none" w:sz="0" w:space="0" w:color="auto"/>
        <w:right w:val="none" w:sz="0" w:space="0" w:color="auto"/>
      </w:divBdr>
    </w:div>
    <w:div w:id="1048870068">
      <w:bodyDiv w:val="1"/>
      <w:marLeft w:val="0"/>
      <w:marRight w:val="0"/>
      <w:marTop w:val="0"/>
      <w:marBottom w:val="0"/>
      <w:divBdr>
        <w:top w:val="none" w:sz="0" w:space="0" w:color="auto"/>
        <w:left w:val="none" w:sz="0" w:space="0" w:color="auto"/>
        <w:bottom w:val="none" w:sz="0" w:space="0" w:color="auto"/>
        <w:right w:val="none" w:sz="0" w:space="0" w:color="auto"/>
      </w:divBdr>
    </w:div>
    <w:div w:id="1187136036">
      <w:bodyDiv w:val="1"/>
      <w:marLeft w:val="0"/>
      <w:marRight w:val="0"/>
      <w:marTop w:val="0"/>
      <w:marBottom w:val="0"/>
      <w:divBdr>
        <w:top w:val="none" w:sz="0" w:space="0" w:color="auto"/>
        <w:left w:val="none" w:sz="0" w:space="0" w:color="auto"/>
        <w:bottom w:val="none" w:sz="0" w:space="0" w:color="auto"/>
        <w:right w:val="none" w:sz="0" w:space="0" w:color="auto"/>
      </w:divBdr>
    </w:div>
    <w:div w:id="1253735954">
      <w:bodyDiv w:val="1"/>
      <w:marLeft w:val="0"/>
      <w:marRight w:val="0"/>
      <w:marTop w:val="0"/>
      <w:marBottom w:val="0"/>
      <w:divBdr>
        <w:top w:val="none" w:sz="0" w:space="0" w:color="auto"/>
        <w:left w:val="none" w:sz="0" w:space="0" w:color="auto"/>
        <w:bottom w:val="none" w:sz="0" w:space="0" w:color="auto"/>
        <w:right w:val="none" w:sz="0" w:space="0" w:color="auto"/>
      </w:divBdr>
    </w:div>
    <w:div w:id="1265764365">
      <w:bodyDiv w:val="1"/>
      <w:marLeft w:val="0"/>
      <w:marRight w:val="0"/>
      <w:marTop w:val="0"/>
      <w:marBottom w:val="0"/>
      <w:divBdr>
        <w:top w:val="none" w:sz="0" w:space="0" w:color="auto"/>
        <w:left w:val="none" w:sz="0" w:space="0" w:color="auto"/>
        <w:bottom w:val="none" w:sz="0" w:space="0" w:color="auto"/>
        <w:right w:val="none" w:sz="0" w:space="0" w:color="auto"/>
      </w:divBdr>
    </w:div>
    <w:div w:id="1398017990">
      <w:bodyDiv w:val="1"/>
      <w:marLeft w:val="0"/>
      <w:marRight w:val="0"/>
      <w:marTop w:val="0"/>
      <w:marBottom w:val="0"/>
      <w:divBdr>
        <w:top w:val="none" w:sz="0" w:space="0" w:color="auto"/>
        <w:left w:val="none" w:sz="0" w:space="0" w:color="auto"/>
        <w:bottom w:val="none" w:sz="0" w:space="0" w:color="auto"/>
        <w:right w:val="none" w:sz="0" w:space="0" w:color="auto"/>
      </w:divBdr>
      <w:divsChild>
        <w:div w:id="54919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554631">
      <w:bodyDiv w:val="1"/>
      <w:marLeft w:val="0"/>
      <w:marRight w:val="0"/>
      <w:marTop w:val="0"/>
      <w:marBottom w:val="0"/>
      <w:divBdr>
        <w:top w:val="none" w:sz="0" w:space="0" w:color="auto"/>
        <w:left w:val="none" w:sz="0" w:space="0" w:color="auto"/>
        <w:bottom w:val="none" w:sz="0" w:space="0" w:color="auto"/>
        <w:right w:val="none" w:sz="0" w:space="0" w:color="auto"/>
      </w:divBdr>
    </w:div>
    <w:div w:id="1440176969">
      <w:bodyDiv w:val="1"/>
      <w:marLeft w:val="0"/>
      <w:marRight w:val="0"/>
      <w:marTop w:val="0"/>
      <w:marBottom w:val="0"/>
      <w:divBdr>
        <w:top w:val="none" w:sz="0" w:space="0" w:color="auto"/>
        <w:left w:val="none" w:sz="0" w:space="0" w:color="auto"/>
        <w:bottom w:val="none" w:sz="0" w:space="0" w:color="auto"/>
        <w:right w:val="none" w:sz="0" w:space="0" w:color="auto"/>
      </w:divBdr>
    </w:div>
    <w:div w:id="1464468681">
      <w:bodyDiv w:val="1"/>
      <w:marLeft w:val="0"/>
      <w:marRight w:val="0"/>
      <w:marTop w:val="0"/>
      <w:marBottom w:val="0"/>
      <w:divBdr>
        <w:top w:val="none" w:sz="0" w:space="0" w:color="auto"/>
        <w:left w:val="none" w:sz="0" w:space="0" w:color="auto"/>
        <w:bottom w:val="none" w:sz="0" w:space="0" w:color="auto"/>
        <w:right w:val="none" w:sz="0" w:space="0" w:color="auto"/>
      </w:divBdr>
    </w:div>
    <w:div w:id="1466503384">
      <w:bodyDiv w:val="1"/>
      <w:marLeft w:val="0"/>
      <w:marRight w:val="0"/>
      <w:marTop w:val="0"/>
      <w:marBottom w:val="0"/>
      <w:divBdr>
        <w:top w:val="none" w:sz="0" w:space="0" w:color="auto"/>
        <w:left w:val="none" w:sz="0" w:space="0" w:color="auto"/>
        <w:bottom w:val="none" w:sz="0" w:space="0" w:color="auto"/>
        <w:right w:val="none" w:sz="0" w:space="0" w:color="auto"/>
      </w:divBdr>
    </w:div>
    <w:div w:id="1475760525">
      <w:bodyDiv w:val="1"/>
      <w:marLeft w:val="0"/>
      <w:marRight w:val="0"/>
      <w:marTop w:val="0"/>
      <w:marBottom w:val="0"/>
      <w:divBdr>
        <w:top w:val="none" w:sz="0" w:space="0" w:color="auto"/>
        <w:left w:val="none" w:sz="0" w:space="0" w:color="auto"/>
        <w:bottom w:val="none" w:sz="0" w:space="0" w:color="auto"/>
        <w:right w:val="none" w:sz="0" w:space="0" w:color="auto"/>
      </w:divBdr>
    </w:div>
    <w:div w:id="1485198668">
      <w:bodyDiv w:val="1"/>
      <w:marLeft w:val="0"/>
      <w:marRight w:val="0"/>
      <w:marTop w:val="0"/>
      <w:marBottom w:val="0"/>
      <w:divBdr>
        <w:top w:val="none" w:sz="0" w:space="0" w:color="auto"/>
        <w:left w:val="none" w:sz="0" w:space="0" w:color="auto"/>
        <w:bottom w:val="none" w:sz="0" w:space="0" w:color="auto"/>
        <w:right w:val="none" w:sz="0" w:space="0" w:color="auto"/>
      </w:divBdr>
    </w:div>
    <w:div w:id="1581063594">
      <w:bodyDiv w:val="1"/>
      <w:marLeft w:val="0"/>
      <w:marRight w:val="0"/>
      <w:marTop w:val="0"/>
      <w:marBottom w:val="0"/>
      <w:divBdr>
        <w:top w:val="none" w:sz="0" w:space="0" w:color="auto"/>
        <w:left w:val="none" w:sz="0" w:space="0" w:color="auto"/>
        <w:bottom w:val="none" w:sz="0" w:space="0" w:color="auto"/>
        <w:right w:val="none" w:sz="0" w:space="0" w:color="auto"/>
      </w:divBdr>
    </w:div>
    <w:div w:id="1661300983">
      <w:bodyDiv w:val="1"/>
      <w:marLeft w:val="0"/>
      <w:marRight w:val="0"/>
      <w:marTop w:val="0"/>
      <w:marBottom w:val="0"/>
      <w:divBdr>
        <w:top w:val="none" w:sz="0" w:space="0" w:color="auto"/>
        <w:left w:val="none" w:sz="0" w:space="0" w:color="auto"/>
        <w:bottom w:val="none" w:sz="0" w:space="0" w:color="auto"/>
        <w:right w:val="none" w:sz="0" w:space="0" w:color="auto"/>
      </w:divBdr>
      <w:divsChild>
        <w:div w:id="18482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7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716326">
      <w:bodyDiv w:val="1"/>
      <w:marLeft w:val="0"/>
      <w:marRight w:val="0"/>
      <w:marTop w:val="0"/>
      <w:marBottom w:val="0"/>
      <w:divBdr>
        <w:top w:val="none" w:sz="0" w:space="0" w:color="auto"/>
        <w:left w:val="none" w:sz="0" w:space="0" w:color="auto"/>
        <w:bottom w:val="none" w:sz="0" w:space="0" w:color="auto"/>
        <w:right w:val="none" w:sz="0" w:space="0" w:color="auto"/>
      </w:divBdr>
      <w:divsChild>
        <w:div w:id="300766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6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59241">
      <w:bodyDiv w:val="1"/>
      <w:marLeft w:val="0"/>
      <w:marRight w:val="0"/>
      <w:marTop w:val="0"/>
      <w:marBottom w:val="0"/>
      <w:divBdr>
        <w:top w:val="none" w:sz="0" w:space="0" w:color="auto"/>
        <w:left w:val="none" w:sz="0" w:space="0" w:color="auto"/>
        <w:bottom w:val="none" w:sz="0" w:space="0" w:color="auto"/>
        <w:right w:val="none" w:sz="0" w:space="0" w:color="auto"/>
      </w:divBdr>
    </w:div>
    <w:div w:id="1716157230">
      <w:bodyDiv w:val="1"/>
      <w:marLeft w:val="0"/>
      <w:marRight w:val="0"/>
      <w:marTop w:val="0"/>
      <w:marBottom w:val="0"/>
      <w:divBdr>
        <w:top w:val="none" w:sz="0" w:space="0" w:color="auto"/>
        <w:left w:val="none" w:sz="0" w:space="0" w:color="auto"/>
        <w:bottom w:val="none" w:sz="0" w:space="0" w:color="auto"/>
        <w:right w:val="none" w:sz="0" w:space="0" w:color="auto"/>
      </w:divBdr>
    </w:div>
    <w:div w:id="1732919350">
      <w:bodyDiv w:val="1"/>
      <w:marLeft w:val="0"/>
      <w:marRight w:val="0"/>
      <w:marTop w:val="0"/>
      <w:marBottom w:val="0"/>
      <w:divBdr>
        <w:top w:val="none" w:sz="0" w:space="0" w:color="auto"/>
        <w:left w:val="none" w:sz="0" w:space="0" w:color="auto"/>
        <w:bottom w:val="none" w:sz="0" w:space="0" w:color="auto"/>
        <w:right w:val="none" w:sz="0" w:space="0" w:color="auto"/>
      </w:divBdr>
    </w:div>
    <w:div w:id="1764036957">
      <w:bodyDiv w:val="1"/>
      <w:marLeft w:val="0"/>
      <w:marRight w:val="0"/>
      <w:marTop w:val="0"/>
      <w:marBottom w:val="0"/>
      <w:divBdr>
        <w:top w:val="none" w:sz="0" w:space="0" w:color="auto"/>
        <w:left w:val="none" w:sz="0" w:space="0" w:color="auto"/>
        <w:bottom w:val="none" w:sz="0" w:space="0" w:color="auto"/>
        <w:right w:val="none" w:sz="0" w:space="0" w:color="auto"/>
      </w:divBdr>
    </w:div>
    <w:div w:id="1841583050">
      <w:bodyDiv w:val="1"/>
      <w:marLeft w:val="0"/>
      <w:marRight w:val="0"/>
      <w:marTop w:val="0"/>
      <w:marBottom w:val="0"/>
      <w:divBdr>
        <w:top w:val="none" w:sz="0" w:space="0" w:color="auto"/>
        <w:left w:val="none" w:sz="0" w:space="0" w:color="auto"/>
        <w:bottom w:val="none" w:sz="0" w:space="0" w:color="auto"/>
        <w:right w:val="none" w:sz="0" w:space="0" w:color="auto"/>
      </w:divBdr>
    </w:div>
    <w:div w:id="1860391882">
      <w:bodyDiv w:val="1"/>
      <w:marLeft w:val="0"/>
      <w:marRight w:val="0"/>
      <w:marTop w:val="0"/>
      <w:marBottom w:val="0"/>
      <w:divBdr>
        <w:top w:val="none" w:sz="0" w:space="0" w:color="auto"/>
        <w:left w:val="none" w:sz="0" w:space="0" w:color="auto"/>
        <w:bottom w:val="none" w:sz="0" w:space="0" w:color="auto"/>
        <w:right w:val="none" w:sz="0" w:space="0" w:color="auto"/>
      </w:divBdr>
      <w:divsChild>
        <w:div w:id="63144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758236">
      <w:bodyDiv w:val="1"/>
      <w:marLeft w:val="0"/>
      <w:marRight w:val="0"/>
      <w:marTop w:val="0"/>
      <w:marBottom w:val="0"/>
      <w:divBdr>
        <w:top w:val="none" w:sz="0" w:space="0" w:color="auto"/>
        <w:left w:val="none" w:sz="0" w:space="0" w:color="auto"/>
        <w:bottom w:val="none" w:sz="0" w:space="0" w:color="auto"/>
        <w:right w:val="none" w:sz="0" w:space="0" w:color="auto"/>
      </w:divBdr>
    </w:div>
    <w:div w:id="1909074595">
      <w:bodyDiv w:val="1"/>
      <w:marLeft w:val="0"/>
      <w:marRight w:val="0"/>
      <w:marTop w:val="0"/>
      <w:marBottom w:val="0"/>
      <w:divBdr>
        <w:top w:val="none" w:sz="0" w:space="0" w:color="auto"/>
        <w:left w:val="none" w:sz="0" w:space="0" w:color="auto"/>
        <w:bottom w:val="none" w:sz="0" w:space="0" w:color="auto"/>
        <w:right w:val="none" w:sz="0" w:space="0" w:color="auto"/>
      </w:divBdr>
    </w:div>
    <w:div w:id="1953241353">
      <w:bodyDiv w:val="1"/>
      <w:marLeft w:val="0"/>
      <w:marRight w:val="0"/>
      <w:marTop w:val="0"/>
      <w:marBottom w:val="0"/>
      <w:divBdr>
        <w:top w:val="none" w:sz="0" w:space="0" w:color="auto"/>
        <w:left w:val="none" w:sz="0" w:space="0" w:color="auto"/>
        <w:bottom w:val="none" w:sz="0" w:space="0" w:color="auto"/>
        <w:right w:val="none" w:sz="0" w:space="0" w:color="auto"/>
      </w:divBdr>
    </w:div>
    <w:div w:id="1981378172">
      <w:bodyDiv w:val="1"/>
      <w:marLeft w:val="0"/>
      <w:marRight w:val="0"/>
      <w:marTop w:val="0"/>
      <w:marBottom w:val="0"/>
      <w:divBdr>
        <w:top w:val="none" w:sz="0" w:space="0" w:color="auto"/>
        <w:left w:val="none" w:sz="0" w:space="0" w:color="auto"/>
        <w:bottom w:val="none" w:sz="0" w:space="0" w:color="auto"/>
        <w:right w:val="none" w:sz="0" w:space="0" w:color="auto"/>
      </w:divBdr>
    </w:div>
    <w:div w:id="2019379516">
      <w:bodyDiv w:val="1"/>
      <w:marLeft w:val="0"/>
      <w:marRight w:val="0"/>
      <w:marTop w:val="0"/>
      <w:marBottom w:val="0"/>
      <w:divBdr>
        <w:top w:val="none" w:sz="0" w:space="0" w:color="auto"/>
        <w:left w:val="none" w:sz="0" w:space="0" w:color="auto"/>
        <w:bottom w:val="none" w:sz="0" w:space="0" w:color="auto"/>
        <w:right w:val="none" w:sz="0" w:space="0" w:color="auto"/>
      </w:divBdr>
    </w:div>
    <w:div w:id="2113892670">
      <w:bodyDiv w:val="1"/>
      <w:marLeft w:val="0"/>
      <w:marRight w:val="0"/>
      <w:marTop w:val="0"/>
      <w:marBottom w:val="0"/>
      <w:divBdr>
        <w:top w:val="none" w:sz="0" w:space="0" w:color="auto"/>
        <w:left w:val="none" w:sz="0" w:space="0" w:color="auto"/>
        <w:bottom w:val="none" w:sz="0" w:space="0" w:color="auto"/>
        <w:right w:val="none" w:sz="0" w:space="0" w:color="auto"/>
      </w:divBdr>
    </w:div>
    <w:div w:id="21463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7/01/bijlage-2-rapport-verwachte-gevolgen-verlaging-vrijstelling-groen-beleg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2438</ap:Words>
  <ap:Characters>13411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2025-09-26T12:49:00.0000000Z</dcterms:created>
  <dcterms:modified xsi:type="dcterms:W3CDTF">2025-09-26T12:49:00.0000000Z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2025-07-15T15:06:55Z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e64edef1-1157-4e4f-8657-717b590e9959</vt:lpwstr>
  </property>
  <property fmtid="{D5CDD505-2E9C-101B-9397-08002B2CF9AE}" pid="8" name="MSIP_Label_b2aa6e22-2c82-48c6-bf24-1790f4b9c128_ContentBits">
    <vt:lpwstr>0</vt:lpwstr>
  </property>
  <property fmtid="{D5CDD505-2E9C-101B-9397-08002B2CF9AE}" pid="9" name="ContentTypeId">
    <vt:lpwstr>0x0101009E0E3E51B9E6154BA5CE06300301A24C</vt:lpwstr>
  </property>
</Properties>
</file>