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160D" w:rsidRDefault="00C85AD0" w14:paraId="13C95EEB" w14:textId="4971FAEE">
      <w:bookmarkStart w:name="_GoBack" w:id="0"/>
      <w:bookmarkEnd w:id="0"/>
      <w:r>
        <w:t>Geachte voorzitter,</w:t>
      </w:r>
    </w:p>
    <w:p w:rsidR="00C85AD0" w:rsidRDefault="00C85AD0" w14:paraId="0517BCE2" w14:textId="77777777"/>
    <w:p w:rsidR="00C85AD0" w:rsidRDefault="00C85AD0" w14:paraId="2C223E09" w14:textId="6C9974E5">
      <w:r>
        <w:t xml:space="preserve">Op </w:t>
      </w:r>
      <w:r w:rsidR="0073642C">
        <w:t xml:space="preserve">26 </w:t>
      </w:r>
      <w:r>
        <w:t xml:space="preserve">september </w:t>
      </w:r>
      <w:r w:rsidR="007749BB">
        <w:t>2025</w:t>
      </w:r>
      <w:r>
        <w:t xml:space="preserve"> heeft het kabinet gereageerd op het verzoek om input</w:t>
      </w:r>
      <w:r w:rsidR="007C3692">
        <w:t xml:space="preserve"> (een zgn. </w:t>
      </w:r>
      <w:r w:rsidR="007C3692">
        <w:rPr>
          <w:i/>
          <w:iCs/>
        </w:rPr>
        <w:t>call for evidence</w:t>
      </w:r>
      <w:r w:rsidR="007C3692">
        <w:t>)</w:t>
      </w:r>
      <w:r>
        <w:t xml:space="preserve"> van de Europese Commissie (hierna: de Commissie) over </w:t>
      </w:r>
      <w:r w:rsidR="005429D9">
        <w:t xml:space="preserve">een initiatief voor </w:t>
      </w:r>
      <w:r w:rsidR="00F55B65">
        <w:t xml:space="preserve">de ingroei van </w:t>
      </w:r>
      <w:r w:rsidR="009A7D43">
        <w:t>emissievrije</w:t>
      </w:r>
      <w:r>
        <w:t xml:space="preserve"> </w:t>
      </w:r>
      <w:r w:rsidR="008C4632">
        <w:t>zakelijke voertuigen</w:t>
      </w:r>
      <w:r>
        <w:t xml:space="preserve">. </w:t>
      </w:r>
      <w:r w:rsidR="007C3692">
        <w:t xml:space="preserve">De Commissie heeft aangekondigd een wetgevend voorstel </w:t>
      </w:r>
      <w:r w:rsidR="005429D9">
        <w:t>te publiceren voor het einde van 2025</w:t>
      </w:r>
      <w:r w:rsidR="007C3692">
        <w:t xml:space="preserve">. </w:t>
      </w:r>
      <w:r w:rsidR="005429D9">
        <w:t>De v</w:t>
      </w:r>
      <w:r w:rsidR="009A7D43">
        <w:t xml:space="preserve">erzamelde input over emissievrije zakelijke voertuigen </w:t>
      </w:r>
      <w:r w:rsidR="007C3692">
        <w:t xml:space="preserve">wordt </w:t>
      </w:r>
      <w:r w:rsidR="009A7D43">
        <w:t xml:space="preserve">door de Commissie </w:t>
      </w:r>
      <w:r w:rsidR="007C3692">
        <w:t xml:space="preserve">meegenomen in de voorbereidingen voor </w:t>
      </w:r>
      <w:r w:rsidR="005429D9">
        <w:t>een</w:t>
      </w:r>
      <w:r w:rsidR="007C3692">
        <w:t xml:space="preserve"> wetgevend</w:t>
      </w:r>
      <w:r w:rsidR="00F55B65">
        <w:t xml:space="preserve"> </w:t>
      </w:r>
      <w:r w:rsidR="007C3692">
        <w:t xml:space="preserve">voorstel. </w:t>
      </w:r>
      <w:r w:rsidR="00A06584">
        <w:t xml:space="preserve">Een Nederlandse reactie is daarom verstandig met het oog op vroegtijdige beïnvloeding van het uiteindelijke voorstel van de Commissie. </w:t>
      </w:r>
      <w:r>
        <w:t xml:space="preserve">In deze brief wordt u geïnformeerd over de Nederlandse positie richting de Commissie over dit </w:t>
      </w:r>
      <w:r w:rsidR="005429D9">
        <w:t>initiatief</w:t>
      </w:r>
      <w:r w:rsidR="00251042">
        <w:t>.</w:t>
      </w:r>
      <w:r>
        <w:t xml:space="preserve"> </w:t>
      </w:r>
    </w:p>
    <w:p w:rsidR="008157A0" w:rsidRDefault="008157A0" w14:paraId="3E59A443" w14:textId="77777777"/>
    <w:p w:rsidRPr="008C4632" w:rsidR="008C4632" w:rsidRDefault="00DE6F0C" w14:paraId="087EE509" w14:textId="01A2DA83">
      <w:pPr>
        <w:rPr>
          <w:b/>
          <w:bCs/>
        </w:rPr>
      </w:pPr>
      <w:r>
        <w:rPr>
          <w:b/>
          <w:bCs/>
        </w:rPr>
        <w:t>Achtergrond</w:t>
      </w:r>
    </w:p>
    <w:p w:rsidR="0011164C" w:rsidRDefault="0011164C" w14:paraId="4833BF81" w14:textId="7D446A87">
      <w:r>
        <w:t xml:space="preserve">Het kabinet heeft de Commissie al eerder gevraagd om onderzoek te doen naar </w:t>
      </w:r>
      <w:r w:rsidR="005429D9">
        <w:t xml:space="preserve">welke vraagstimulerende maatregelen het beste werken om de ingroei van emissievrije voertuigen te versnellen </w:t>
      </w:r>
      <w:r w:rsidR="007749BB">
        <w:t>en met een wetgevend voorstel te komen</w:t>
      </w:r>
      <w:r w:rsidR="005429D9">
        <w:t>. Hierover is</w:t>
      </w:r>
      <w:r w:rsidR="007749BB">
        <w:t xml:space="preserve"> de Kamer op 23 mei 2024</w:t>
      </w:r>
      <w:r w:rsidR="005429D9">
        <w:t xml:space="preserve"> geïnformeerd</w:t>
      </w:r>
      <w:r>
        <w:t>.</w:t>
      </w:r>
      <w:r>
        <w:rPr>
          <w:rStyle w:val="FootnoteReference"/>
        </w:rPr>
        <w:footnoteReference w:id="1"/>
      </w:r>
      <w:r w:rsidR="007749BB">
        <w:t xml:space="preserve"> </w:t>
      </w:r>
      <w:r w:rsidR="005429D9">
        <w:t>Het</w:t>
      </w:r>
      <w:r w:rsidR="007749BB">
        <w:t xml:space="preserve"> kabinet</w:t>
      </w:r>
      <w:r w:rsidR="005429D9">
        <w:t xml:space="preserve"> heeft</w:t>
      </w:r>
      <w:r w:rsidR="007749BB">
        <w:t xml:space="preserve"> op 7 oktober 2024 samen met </w:t>
      </w:r>
      <w:r w:rsidR="00E9649F">
        <w:t xml:space="preserve">Ierland, </w:t>
      </w:r>
      <w:r w:rsidR="007749BB">
        <w:t xml:space="preserve">Oostenrijk en België een brief aan de Commissie </w:t>
      </w:r>
      <w:r w:rsidR="005429D9">
        <w:t>verzonden</w:t>
      </w:r>
      <w:r w:rsidR="007749BB">
        <w:t xml:space="preserve"> met dezelfde oproep. </w:t>
      </w:r>
      <w:r>
        <w:t>Daarnaast heeft het kabinet ook gereageerd op de publieke consultatie over de toekomst van de Europese auto-industrie.</w:t>
      </w:r>
      <w:r>
        <w:rPr>
          <w:rStyle w:val="FootnoteReference"/>
        </w:rPr>
        <w:footnoteReference w:id="2"/>
      </w:r>
      <w:r w:rsidR="005429D9">
        <w:t xml:space="preserve"> Hierin onderstreepte het kabinet ook de wenselijkheid van een wetgevende maatregel voor de ingroei van emissievrije zakelijke voertuigen.</w:t>
      </w:r>
    </w:p>
    <w:p w:rsidR="00DE6F0C" w:rsidRDefault="00DE6F0C" w14:paraId="6BE24CDB" w14:textId="77777777"/>
    <w:p w:rsidRPr="00DE6F0C" w:rsidR="0011164C" w:rsidRDefault="00BC51D9" w14:paraId="1FAFD654" w14:textId="75E1344A">
      <w:pPr>
        <w:rPr>
          <w:b/>
          <w:bCs/>
        </w:rPr>
      </w:pPr>
      <w:r>
        <w:rPr>
          <w:b/>
          <w:bCs/>
        </w:rPr>
        <w:t>Wenselijkheid</w:t>
      </w:r>
      <w:r w:rsidR="00DE6F0C">
        <w:rPr>
          <w:b/>
          <w:bCs/>
        </w:rPr>
        <w:t xml:space="preserve"> van een wetgevend voorstel</w:t>
      </w:r>
    </w:p>
    <w:p w:rsidR="007C3692" w:rsidRDefault="001563C6" w14:paraId="6CEA800D" w14:textId="636D9A96">
      <w:r>
        <w:t xml:space="preserve">Het kabinet is van mening dat een </w:t>
      </w:r>
      <w:r w:rsidR="007C3692">
        <w:t xml:space="preserve">EU </w:t>
      </w:r>
      <w:r>
        <w:t xml:space="preserve">wetgevend voorstel </w:t>
      </w:r>
      <w:r w:rsidR="00114CF0">
        <w:t>belangrijk</w:t>
      </w:r>
      <w:r>
        <w:t xml:space="preserve"> is om drie redenen. Ten eerste om de ingroei van emissievrije voertuigen te versnellen. Ten t</w:t>
      </w:r>
      <w:r w:rsidR="008C4632">
        <w:t>weede om het aanbod van tweedehands elektrische voertuigen te vergroten. Ten derde om de CO</w:t>
      </w:r>
      <w:r w:rsidRPr="007A41B7" w:rsidR="008C4632">
        <w:rPr>
          <w:vertAlign w:val="subscript"/>
        </w:rPr>
        <w:t>2</w:t>
      </w:r>
      <w:r w:rsidR="008C4632">
        <w:t xml:space="preserve">-emissies van het wegvervoer in de </w:t>
      </w:r>
      <w:r w:rsidR="005429D9">
        <w:t>Europese Unie (EU)</w:t>
      </w:r>
      <w:r w:rsidR="008C4632">
        <w:t xml:space="preserve"> </w:t>
      </w:r>
      <w:r w:rsidR="007C3692">
        <w:t>te verminderen</w:t>
      </w:r>
      <w:r w:rsidR="008C4632">
        <w:t>. Een Europese maatregel heeft daarbij de voorkeur omdat deze zorgt voor een gelijk speelveld en voor de juiste prikkels</w:t>
      </w:r>
      <w:r w:rsidR="00DE6F0C">
        <w:t xml:space="preserve"> en ondergrens</w:t>
      </w:r>
      <w:r w:rsidR="008C4632">
        <w:t xml:space="preserve"> kan zorgen in alle EU-lidstaten. </w:t>
      </w:r>
    </w:p>
    <w:p w:rsidR="007C3692" w:rsidRDefault="007C3692" w14:paraId="48C786D9" w14:textId="77777777"/>
    <w:p w:rsidR="001563C6" w:rsidRDefault="008C4632" w14:paraId="4DDC6CAA" w14:textId="682E0C78">
      <w:r>
        <w:lastRenderedPageBreak/>
        <w:t xml:space="preserve">Het kabinet </w:t>
      </w:r>
      <w:r w:rsidR="007C3692">
        <w:t>vindt</w:t>
      </w:r>
      <w:r>
        <w:t xml:space="preserve"> dat het wetgevend</w:t>
      </w:r>
      <w:r w:rsidR="005429D9">
        <w:t>e</w:t>
      </w:r>
      <w:r>
        <w:t xml:space="preserve"> voorstel op het juiste moment komt. Het is een tastbaar vervolg op het Actieplan voor de Europese auto-industrie waar de Kamer eerder over geïnformeerd is.</w:t>
      </w:r>
      <w:r w:rsidR="007C3692">
        <w:rPr>
          <w:rStyle w:val="FootnoteReference"/>
        </w:rPr>
        <w:footnoteReference w:id="3"/>
      </w:r>
      <w:r>
        <w:t xml:space="preserve"> Het wetgevend voorstel vormt een aanvulling op beleid dat zich richt op de aanbodzijde (zoals de </w:t>
      </w:r>
      <w:r w:rsidR="005429D9">
        <w:t xml:space="preserve">EU </w:t>
      </w:r>
      <w:r>
        <w:t>CO</w:t>
      </w:r>
      <w:r w:rsidRPr="007A41B7">
        <w:rPr>
          <w:vertAlign w:val="subscript"/>
        </w:rPr>
        <w:t>2</w:t>
      </w:r>
      <w:r>
        <w:t>-</w:t>
      </w:r>
      <w:r w:rsidR="00E9649F">
        <w:t>emissie</w:t>
      </w:r>
      <w:r>
        <w:t>normen</w:t>
      </w:r>
      <w:r w:rsidR="005429D9">
        <w:t xml:space="preserve"> voor personen-, bestel-</w:t>
      </w:r>
      <w:r w:rsidR="00E9649F">
        <w:t xml:space="preserve">, </w:t>
      </w:r>
      <w:r w:rsidR="005429D9">
        <w:t>vrachtauto</w:t>
      </w:r>
      <w:r w:rsidR="00E9649F">
        <w:t>’</w:t>
      </w:r>
      <w:r w:rsidR="005429D9">
        <w:t>s</w:t>
      </w:r>
      <w:r w:rsidR="00E9649F">
        <w:t xml:space="preserve"> en bussen</w:t>
      </w:r>
      <w:r>
        <w:t xml:space="preserve">) en zorgt voor een toegenomen vraag naar emissievrije voertuigen. Dit geeft voertuigproducenten </w:t>
      </w:r>
      <w:r w:rsidR="00BC51D9">
        <w:t xml:space="preserve">(waaronder Nederlandse producenten) </w:t>
      </w:r>
      <w:r>
        <w:t xml:space="preserve">het vertrouwen dat er </w:t>
      </w:r>
      <w:r w:rsidR="005429D9">
        <w:t xml:space="preserve">nu en in de toekomst </w:t>
      </w:r>
      <w:r w:rsidR="00B72460">
        <w:t>Europe</w:t>
      </w:r>
      <w:r w:rsidR="007A41B7">
        <w:t>se</w:t>
      </w:r>
      <w:r w:rsidR="00B72460">
        <w:t xml:space="preserve"> </w:t>
      </w:r>
      <w:r>
        <w:t xml:space="preserve">vraag is naar emissievrije </w:t>
      </w:r>
      <w:r w:rsidR="005429D9">
        <w:t>voertuigen</w:t>
      </w:r>
      <w:r>
        <w:t xml:space="preserve">. Hiermee worden de voertuigproducenten </w:t>
      </w:r>
      <w:r w:rsidR="005429D9">
        <w:t xml:space="preserve">versterkt </w:t>
      </w:r>
      <w:r>
        <w:t xml:space="preserve">in hun mondiale concurrentievermogen en in het behalen van de </w:t>
      </w:r>
      <w:r w:rsidR="005429D9">
        <w:t>EU CO</w:t>
      </w:r>
      <w:r w:rsidRPr="007A41B7" w:rsidR="005429D9">
        <w:rPr>
          <w:vertAlign w:val="subscript"/>
        </w:rPr>
        <w:t>2</w:t>
      </w:r>
      <w:r w:rsidR="005429D9">
        <w:t>-emissienormen</w:t>
      </w:r>
      <w:r w:rsidR="007C3692">
        <w:t xml:space="preserve"> voor de nieuwverkoop van lichte en zware voertuigen.</w:t>
      </w:r>
    </w:p>
    <w:p w:rsidR="001563C6" w:rsidRDefault="001563C6" w14:paraId="1AA1AD15" w14:textId="77777777"/>
    <w:p w:rsidR="008157A0" w:rsidRDefault="008157A0" w14:paraId="7FC9FD37" w14:textId="52D275A1">
      <w:r>
        <w:rPr>
          <w:b/>
          <w:bCs/>
        </w:rPr>
        <w:t xml:space="preserve">Potentieel </w:t>
      </w:r>
      <w:r w:rsidR="008C4632">
        <w:rPr>
          <w:b/>
          <w:bCs/>
        </w:rPr>
        <w:t xml:space="preserve">voor </w:t>
      </w:r>
      <w:r>
        <w:rPr>
          <w:b/>
          <w:bCs/>
        </w:rPr>
        <w:t>lichte en zware voertuigen</w:t>
      </w:r>
    </w:p>
    <w:p w:rsidR="00682C7A" w:rsidP="00682C7A" w:rsidRDefault="00682C7A" w14:paraId="16EBBA2D" w14:textId="301B7755">
      <w:r>
        <w:t xml:space="preserve">Meer dan de helft van de nieuwverkopen in personenauto’s en bijna alle bestelauto’s, </w:t>
      </w:r>
      <w:r w:rsidR="00E9649F">
        <w:t xml:space="preserve">vrachtauto’s </w:t>
      </w:r>
      <w:r>
        <w:t xml:space="preserve">en </w:t>
      </w:r>
      <w:r w:rsidR="00E9649F">
        <w:t xml:space="preserve">bussen </w:t>
      </w:r>
      <w:r>
        <w:t>worden door bedrijven aangeschaft.</w:t>
      </w:r>
    </w:p>
    <w:p w:rsidR="005429D9" w:rsidP="00BA2BF3" w:rsidRDefault="008157A0" w14:paraId="49E9781D" w14:textId="09DF1861">
      <w:r>
        <w:t xml:space="preserve">Zowel in de verkoop van lichte voertuigen (zoals personen- en bestelauto’s) als zware voertuigen (zoals </w:t>
      </w:r>
      <w:r w:rsidR="00E9649F">
        <w:t xml:space="preserve">vrachtauto’s </w:t>
      </w:r>
      <w:r>
        <w:t xml:space="preserve">en </w:t>
      </w:r>
      <w:r w:rsidR="00E9649F">
        <w:t>bussen</w:t>
      </w:r>
      <w:r>
        <w:t xml:space="preserve">) </w:t>
      </w:r>
      <w:r w:rsidR="00BD76DC">
        <w:t>loopt de ingroei van emissievrije voertuigen op in Nederland.</w:t>
      </w:r>
      <w:r w:rsidR="00BD76DC">
        <w:rPr>
          <w:rStyle w:val="FootnoteReference"/>
        </w:rPr>
        <w:footnoteReference w:id="4"/>
      </w:r>
      <w:r w:rsidR="00BD76DC">
        <w:t xml:space="preserve"> Tegelijkertijd verschillen de ingroeipercentages sterk in de verschillende </w:t>
      </w:r>
      <w:r w:rsidR="005429D9">
        <w:t>EU-lidstaten.</w:t>
      </w:r>
      <w:r w:rsidR="00BD76DC">
        <w:t xml:space="preserve"> Nederlandse burgers en ondernemers hebben profijt bij een</w:t>
      </w:r>
      <w:r w:rsidR="00F748F1">
        <w:t xml:space="preserve"> wetgevend voorstel dat zorgt voor</w:t>
      </w:r>
      <w:r w:rsidR="00BD76DC">
        <w:t xml:space="preserve"> gelijk Europees speelveld waarbij de ingroei van emissievrije voertuigen in de hele EU versneld wordt. </w:t>
      </w:r>
    </w:p>
    <w:p w:rsidR="005429D9" w:rsidP="00BA2BF3" w:rsidRDefault="005429D9" w14:paraId="6E93352E" w14:textId="77777777"/>
    <w:p w:rsidR="00251042" w:rsidP="00BA2BF3" w:rsidRDefault="00BA2BF3" w14:paraId="32E4E536" w14:textId="01FBC295">
      <w:r>
        <w:t>Voor lichte voertuigen ziet het kabinet met name een onderbenut potentieel in de korte termijn (2026-203</w:t>
      </w:r>
      <w:r w:rsidR="00F52EAB">
        <w:t>5</w:t>
      </w:r>
      <w:r>
        <w:t xml:space="preserve">) omdat de nieuwverkoop van elektrische voertuigen per 2035 </w:t>
      </w:r>
      <w:r w:rsidR="005429D9">
        <w:t xml:space="preserve">volledig emissievrij zal zijn </w:t>
      </w:r>
      <w:r>
        <w:t xml:space="preserve">dankzij </w:t>
      </w:r>
      <w:r w:rsidR="005429D9">
        <w:t>de EU CO</w:t>
      </w:r>
      <w:r w:rsidRPr="007A41B7" w:rsidR="005429D9">
        <w:rPr>
          <w:vertAlign w:val="subscript"/>
        </w:rPr>
        <w:t>2</w:t>
      </w:r>
      <w:r w:rsidR="005429D9">
        <w:t>-emissienormen voor personen- en bestelauto’s</w:t>
      </w:r>
      <w:r>
        <w:t xml:space="preserve">. De ingroei van </w:t>
      </w:r>
      <w:r w:rsidR="00114CF0">
        <w:t xml:space="preserve">emissievrije </w:t>
      </w:r>
      <w:r>
        <w:t xml:space="preserve">zware voertuigen wordt in Nederland al sterk ondersteund, onder meer </w:t>
      </w:r>
      <w:r w:rsidR="00F52EAB">
        <w:t xml:space="preserve">door de zero-emissie zones, </w:t>
      </w:r>
      <w:r>
        <w:t xml:space="preserve">de </w:t>
      </w:r>
      <w:r w:rsidR="00E9649F">
        <w:t xml:space="preserve">vrachtwagenheffing </w:t>
      </w:r>
      <w:r>
        <w:t xml:space="preserve">per 2026 en de uitrol van zware laad- en tankinfrastructuur. Het kabinet ziet voor </w:t>
      </w:r>
      <w:r w:rsidR="00114CF0">
        <w:t xml:space="preserve">emissievrije </w:t>
      </w:r>
      <w:r>
        <w:t>zware voertuigen met name potentieel in een maatregel die zich richt op grote verladers, die verantwoordelijk zijn voor de meeste CO</w:t>
      </w:r>
      <w:r w:rsidRPr="007A41B7">
        <w:rPr>
          <w:vertAlign w:val="subscript"/>
        </w:rPr>
        <w:t>2</w:t>
      </w:r>
      <w:r>
        <w:t>-emissies in het zware wegvervoer en veelal hoge CO</w:t>
      </w:r>
      <w:r w:rsidRPr="007A41B7">
        <w:rPr>
          <w:vertAlign w:val="subscript"/>
        </w:rPr>
        <w:t>2</w:t>
      </w:r>
      <w:r>
        <w:t>-ambities hebben.</w:t>
      </w:r>
    </w:p>
    <w:p w:rsidRPr="00682C7A" w:rsidR="00682C7A" w:rsidP="00682C7A" w:rsidRDefault="00682C7A" w14:paraId="147E21AD" w14:textId="77777777"/>
    <w:p w:rsidR="007C3692" w:rsidP="007C3692" w:rsidRDefault="007C3692" w14:paraId="2340362A" w14:textId="02B9C4EB">
      <w:pPr>
        <w:rPr>
          <w:b/>
          <w:bCs/>
        </w:rPr>
      </w:pPr>
      <w:r>
        <w:rPr>
          <w:b/>
          <w:bCs/>
        </w:rPr>
        <w:t xml:space="preserve">Reikwijdte </w:t>
      </w:r>
      <w:r w:rsidR="00876B84">
        <w:rPr>
          <w:b/>
          <w:bCs/>
        </w:rPr>
        <w:t xml:space="preserve">en doel </w:t>
      </w:r>
      <w:r>
        <w:rPr>
          <w:b/>
          <w:bCs/>
        </w:rPr>
        <w:t>van een wetgevend voorstel</w:t>
      </w:r>
    </w:p>
    <w:p w:rsidR="007C3692" w:rsidP="007C3692" w:rsidRDefault="007C3692" w14:paraId="24CE82A9" w14:textId="79DD892F">
      <w:r>
        <w:t>Het kabinet vindt dat een wetgevend voorstel over zakelijke vloten zich moet richten op alle</w:t>
      </w:r>
      <w:r w:rsidR="00BC51D9">
        <w:t xml:space="preserve"> voertuigcategorieën</w:t>
      </w:r>
      <w:r>
        <w:t>. Het gaat daarbij</w:t>
      </w:r>
      <w:r w:rsidR="00682C7A">
        <w:t xml:space="preserve"> </w:t>
      </w:r>
      <w:r>
        <w:t>om lichte voertuigen (zoals personen- en bestelauto’s) en om zware bedrijfsvoertuigen (zoals vrachtwagens en touringcars).</w:t>
      </w:r>
      <w:r w:rsidR="00682C7A">
        <w:t xml:space="preserve"> Zakelijke voertuigen zijn </w:t>
      </w:r>
      <w:r w:rsidR="00B61ECD">
        <w:t>voertuigen die</w:t>
      </w:r>
      <w:r w:rsidR="00682C7A">
        <w:t xml:space="preserve"> eigendom </w:t>
      </w:r>
      <w:r w:rsidR="00B61ECD">
        <w:t xml:space="preserve">zijn </w:t>
      </w:r>
      <w:r w:rsidR="00682C7A">
        <w:t>van een bedrijf, of worden geleased of verhuurd door bedrijven.</w:t>
      </w:r>
      <w:r>
        <w:t xml:space="preserve"> </w:t>
      </w:r>
      <w:r w:rsidR="00B72460">
        <w:t>Door deze brede</w:t>
      </w:r>
      <w:r w:rsidR="00F55B65">
        <w:t xml:space="preserve"> </w:t>
      </w:r>
      <w:r w:rsidR="00B72460">
        <w:t xml:space="preserve">reikwijdte </w:t>
      </w:r>
      <w:r w:rsidR="00B61ECD">
        <w:t>moet</w:t>
      </w:r>
      <w:r w:rsidR="00876B84">
        <w:t xml:space="preserve"> voorkomen worden dat normen op één type voertuig </w:t>
      </w:r>
      <w:r w:rsidR="00B61ECD">
        <w:t>leiden</w:t>
      </w:r>
      <w:r w:rsidR="00876B84">
        <w:t xml:space="preserve"> tot uitwijkgedrag naar het gebruik </w:t>
      </w:r>
      <w:r w:rsidR="00B61ECD">
        <w:t xml:space="preserve">van </w:t>
      </w:r>
      <w:r w:rsidR="00876B84">
        <w:t>andere voertuig</w:t>
      </w:r>
      <w:r w:rsidR="00B72460">
        <w:t>en</w:t>
      </w:r>
      <w:r w:rsidR="00876B84">
        <w:t xml:space="preserve">. </w:t>
      </w:r>
      <w:r w:rsidR="00B72460">
        <w:t>H</w:t>
      </w:r>
      <w:r w:rsidR="00876B84">
        <w:t xml:space="preserve">et kabinet </w:t>
      </w:r>
      <w:r w:rsidR="00B72460">
        <w:t xml:space="preserve">vindt </w:t>
      </w:r>
      <w:r w:rsidR="00876B84">
        <w:t xml:space="preserve">het belangrijk dat de Commissie onderzoek doet naar de noodzaak </w:t>
      </w:r>
      <w:r w:rsidR="00B72460">
        <w:t>en de hoogte van eventuele CO</w:t>
      </w:r>
      <w:r w:rsidRPr="007A41B7" w:rsidR="00B72460">
        <w:rPr>
          <w:vertAlign w:val="subscript"/>
        </w:rPr>
        <w:t>2</w:t>
      </w:r>
      <w:r w:rsidR="00B72460">
        <w:t>-doelstellingen voor zakelijk voertuigvloten,</w:t>
      </w:r>
      <w:r w:rsidR="00876B84">
        <w:t xml:space="preserve"> zodat deze normen in lijn blijven met het beschikbare aanbod. </w:t>
      </w:r>
    </w:p>
    <w:p w:rsidRPr="007C3692" w:rsidR="007C3692" w:rsidP="007C3692" w:rsidRDefault="007C3692" w14:paraId="7A5ED5E2" w14:textId="77777777"/>
    <w:p w:rsidR="00B61ECD" w:rsidP="00251042" w:rsidRDefault="00876B84" w14:paraId="2D8FFD97" w14:textId="77777777">
      <w:r>
        <w:t xml:space="preserve">Het kabinet roept de Commissie op om met het wetgevende voorstel te zorgen </w:t>
      </w:r>
      <w:r w:rsidR="00B61ECD">
        <w:t>dat</w:t>
      </w:r>
      <w:r>
        <w:t xml:space="preserve"> de ingroei van emissievrije voertuigen</w:t>
      </w:r>
      <w:r w:rsidR="00B61ECD">
        <w:t xml:space="preserve"> versnelt</w:t>
      </w:r>
      <w:r>
        <w:t xml:space="preserve"> en </w:t>
      </w:r>
      <w:r w:rsidR="00B61ECD">
        <w:t xml:space="preserve">dat </w:t>
      </w:r>
      <w:r>
        <w:t>de CO</w:t>
      </w:r>
      <w:r w:rsidRPr="007A41B7">
        <w:rPr>
          <w:vertAlign w:val="subscript"/>
        </w:rPr>
        <w:t>2</w:t>
      </w:r>
      <w:r>
        <w:t xml:space="preserve">-emissiereductie voor het wegvervoer zoveel mogelijk </w:t>
      </w:r>
      <w:r w:rsidR="00B61ECD">
        <w:t>wordt vergroot</w:t>
      </w:r>
      <w:r>
        <w:t xml:space="preserve">. Het kabinet vindt het daarbij </w:t>
      </w:r>
      <w:r w:rsidR="00B61ECD">
        <w:t xml:space="preserve">van </w:t>
      </w:r>
      <w:r>
        <w:t>belang dat</w:t>
      </w:r>
      <w:r w:rsidR="0076765C">
        <w:t xml:space="preserve"> de Commissie in overweging neemt dat de markten voor lichte en zware voertuigen van elkaar verschillen en wellicht verschillende maatregelen nodig zullen hebben. </w:t>
      </w:r>
    </w:p>
    <w:p w:rsidR="00B61ECD" w:rsidP="00251042" w:rsidRDefault="00B61ECD" w14:paraId="10E981C1" w14:textId="77777777"/>
    <w:p w:rsidR="00DF4EA2" w:rsidP="00251042" w:rsidRDefault="0076765C" w14:paraId="6D9EF4E3" w14:textId="752350E7">
      <w:r>
        <w:t>Het wetgevend voorstel dient vooral ten goede te komen aan burgers en het midden- en klein bedrijf (</w:t>
      </w:r>
      <w:r w:rsidR="00F55B65">
        <w:t>mkb</w:t>
      </w:r>
      <w:r>
        <w:t xml:space="preserve">) door een groeiend aanbod van tweedehands </w:t>
      </w:r>
      <w:r w:rsidR="005509A7">
        <w:t xml:space="preserve">op termijn als gevolg van een groter ingroei van zakelijke </w:t>
      </w:r>
      <w:r>
        <w:t xml:space="preserve">elektrische voertuigen en de lagere gebruiks- en brandstofkosten die gepaard gaan met een emissievrij voertuig. Dit zou de verduurzamingsopgave van het wegverkeer in de EU sterk ondersteunen en </w:t>
      </w:r>
      <w:r w:rsidR="00DE6F0C">
        <w:t>bijdragen aan betaalbaarheid.</w:t>
      </w:r>
    </w:p>
    <w:p w:rsidR="00876B84" w:rsidP="00251042" w:rsidRDefault="00876B84" w14:paraId="729269F7" w14:textId="77777777"/>
    <w:p w:rsidR="00DF4EA2" w:rsidP="00251042" w:rsidRDefault="00DE6F0C" w14:paraId="6ACD9C02" w14:textId="1BBF1A38">
      <w:pPr>
        <w:rPr>
          <w:b/>
          <w:bCs/>
        </w:rPr>
      </w:pPr>
      <w:r>
        <w:rPr>
          <w:b/>
          <w:bCs/>
        </w:rPr>
        <w:t>Criteria voor een effectief voorstel</w:t>
      </w:r>
    </w:p>
    <w:p w:rsidR="00424652" w:rsidP="00251042" w:rsidRDefault="00424652" w14:paraId="5B1C9D25" w14:textId="13360118">
      <w:r>
        <w:t xml:space="preserve">In de reactie aan de Commissie, schrijft het kabinet dat een wetgevend voorstel aan </w:t>
      </w:r>
      <w:r w:rsidR="00B61ECD">
        <w:t xml:space="preserve">drie </w:t>
      </w:r>
      <w:r>
        <w:t xml:space="preserve">belangrijke criteria moet voldoen. Ten eerste moet een maatregel een gelijk speelveld waarborgen in de EU. </w:t>
      </w:r>
      <w:r w:rsidR="00F55B65">
        <w:t>De</w:t>
      </w:r>
      <w:r>
        <w:t xml:space="preserve"> maatregel moet voorkomen dat er concurrentienadelen ontstaan voor bedrijven in de ene lidstaat ten opzichte van de andere lidstaat.</w:t>
      </w:r>
    </w:p>
    <w:p w:rsidR="00BA2BF3" w:rsidP="00251042" w:rsidRDefault="00BA2BF3" w14:paraId="3F239568" w14:textId="77777777"/>
    <w:p w:rsidR="00424652" w:rsidP="00251042" w:rsidRDefault="00424652" w14:paraId="5A819CA5" w14:textId="1B7180DA">
      <w:r>
        <w:t>Ten tweede</w:t>
      </w:r>
      <w:r w:rsidR="008219F9">
        <w:t xml:space="preserve"> vind</w:t>
      </w:r>
      <w:r w:rsidR="00B33CAD">
        <w:t xml:space="preserve">t het kabinet dat een EU-maatregel niet </w:t>
      </w:r>
      <w:r w:rsidR="0073642C">
        <w:t xml:space="preserve">onbedoeld </w:t>
      </w:r>
      <w:r w:rsidR="00B33CAD">
        <w:t>marktontwrichtend m</w:t>
      </w:r>
      <w:r w:rsidR="00114CF0">
        <w:t>ag</w:t>
      </w:r>
      <w:r w:rsidR="00B33CAD">
        <w:t xml:space="preserve"> werken. </w:t>
      </w:r>
      <w:r w:rsidR="00DE6F0C">
        <w:t>Daarmee wordt bedoeld dat de producenten van emissievrije voertuigen ertoe gezet blijven worden om de prijzen van emissievrije voertuigen te verlagen en het aanbod van emissievrije voertuigen te vergroten. Dit is in lijn met de intentie achter de EU CO</w:t>
      </w:r>
      <w:r w:rsidRPr="007A41B7" w:rsidR="00DE6F0C">
        <w:rPr>
          <w:vertAlign w:val="subscript"/>
        </w:rPr>
        <w:t>2</w:t>
      </w:r>
      <w:r w:rsidR="00DE6F0C">
        <w:t xml:space="preserve">-emissienormen voor </w:t>
      </w:r>
      <w:r w:rsidR="00B61ECD">
        <w:t>personen-, bestel-</w:t>
      </w:r>
      <w:r w:rsidR="00B72460">
        <w:t xml:space="preserve">, </w:t>
      </w:r>
      <w:r w:rsidR="00B61ECD">
        <w:t>vrachtauto</w:t>
      </w:r>
      <w:r w:rsidR="00B72460">
        <w:t>’</w:t>
      </w:r>
      <w:r w:rsidR="00B61ECD">
        <w:t>s</w:t>
      </w:r>
      <w:r w:rsidR="00B72460">
        <w:t xml:space="preserve"> en bussen</w:t>
      </w:r>
      <w:r w:rsidR="00B61ECD">
        <w:t>.</w:t>
      </w:r>
    </w:p>
    <w:p w:rsidR="002B4781" w:rsidP="00251042" w:rsidRDefault="002B4781" w14:paraId="335B0E83" w14:textId="77777777"/>
    <w:p w:rsidR="002B4781" w:rsidP="00251042" w:rsidRDefault="002B4781" w14:paraId="6F89D966" w14:textId="5D2E334E">
      <w:r>
        <w:t>Ten derde</w:t>
      </w:r>
      <w:r w:rsidR="007A41B7">
        <w:t xml:space="preserve"> </w:t>
      </w:r>
      <w:r>
        <w:t xml:space="preserve">vindt het kabinet dat </w:t>
      </w:r>
      <w:r w:rsidR="00DE6F0C">
        <w:t>een wetgevend voorstel gepaard moet gaan met een gedegen onderzoek naar de gevolgen van de maatregelen. Hierbij moeten verschillende ontwerpopties zijn meegenomen, waarbij wordt onderbouwd wat de effectiviteit van verschillende ontwerpopties zouden zijn.</w:t>
      </w:r>
      <w:r w:rsidR="001F2D56">
        <w:t xml:space="preserve"> Het kabinet stuurt een</w:t>
      </w:r>
      <w:r w:rsidRPr="001F2D56" w:rsidR="001F2D56">
        <w:t xml:space="preserve"> TNO</w:t>
      </w:r>
      <w:r w:rsidR="001F2D56">
        <w:t>-</w:t>
      </w:r>
      <w:r w:rsidRPr="001F2D56" w:rsidR="001F2D56">
        <w:t xml:space="preserve">onderzoek </w:t>
      </w:r>
      <w:r w:rsidR="001F2D56">
        <w:t xml:space="preserve">met het </w:t>
      </w:r>
      <w:r w:rsidR="001F2D56">
        <w:rPr>
          <w:i/>
          <w:iCs/>
        </w:rPr>
        <w:t xml:space="preserve">position </w:t>
      </w:r>
      <w:r w:rsidRPr="001F2D56" w:rsidR="001F2D56">
        <w:rPr>
          <w:i/>
          <w:iCs/>
        </w:rPr>
        <w:t>paper</w:t>
      </w:r>
      <w:r w:rsidR="001F2D56">
        <w:t xml:space="preserve"> </w:t>
      </w:r>
      <w:r w:rsidRPr="001F2D56" w:rsidR="001F2D56">
        <w:t>mee</w:t>
      </w:r>
      <w:r w:rsidR="001F2D56">
        <w:t xml:space="preserve"> waaruit </w:t>
      </w:r>
      <w:r w:rsidRPr="001F2D56" w:rsidR="001F2D56">
        <w:t xml:space="preserve">is gebleken dat een kleine groep grote bedrijven met een logistiek wagenpark van </w:t>
      </w:r>
      <w:r w:rsidR="001F2D56">
        <w:t>meer dan 50</w:t>
      </w:r>
      <w:r w:rsidRPr="001F2D56" w:rsidR="001F2D56">
        <w:t xml:space="preserve"> voertuigen verantwoordelijk is voor bijna de helft van alle CO2-emissies in het goederenvervoer over de weg.</w:t>
      </w:r>
    </w:p>
    <w:p w:rsidR="00DE6F0C" w:rsidP="00251042" w:rsidRDefault="00DE6F0C" w14:paraId="0AB13CDC" w14:textId="77777777"/>
    <w:p w:rsidR="002B4781" w:rsidP="00251042" w:rsidRDefault="000D16BC" w14:paraId="6278D346" w14:textId="0ADB7937">
      <w:pPr>
        <w:rPr>
          <w:b/>
          <w:bCs/>
        </w:rPr>
      </w:pPr>
      <w:r>
        <w:rPr>
          <w:b/>
          <w:bCs/>
        </w:rPr>
        <w:t>Samenhang wetgevend voorstel en bestaand beleid</w:t>
      </w:r>
    </w:p>
    <w:p w:rsidR="00F748F1" w:rsidP="00251042" w:rsidRDefault="00037821" w14:paraId="6D57C98E" w14:textId="77777777">
      <w:r>
        <w:t>Een maatregel voor de ingroei van emissievrije zakelijke voertuigen moet bestaand beleid niet vervangen</w:t>
      </w:r>
      <w:r w:rsidR="00DE6F0C">
        <w:t xml:space="preserve">, afzwakken of zorgen voor tegenstrijdigheden. Behoud </w:t>
      </w:r>
      <w:r w:rsidR="00BC51D9">
        <w:t xml:space="preserve">is onmisbaar </w:t>
      </w:r>
      <w:r w:rsidR="00DE6F0C">
        <w:t xml:space="preserve">van de bestaande EU-wetgeving voor </w:t>
      </w:r>
      <w:r w:rsidR="00BC51D9">
        <w:t xml:space="preserve">emissiereductie van het wegvervoer </w:t>
      </w:r>
      <w:r w:rsidR="00DE6F0C">
        <w:t xml:space="preserve">(waaronder </w:t>
      </w:r>
      <w:r w:rsidR="000D16BC">
        <w:t>de CO</w:t>
      </w:r>
      <w:r w:rsidRPr="007A41B7" w:rsidR="000D16BC">
        <w:rPr>
          <w:vertAlign w:val="subscript"/>
        </w:rPr>
        <w:t>2</w:t>
      </w:r>
      <w:r w:rsidR="000D16BC">
        <w:t>-emissienormen voor personen-, bestel-</w:t>
      </w:r>
      <w:r w:rsidR="00B72460">
        <w:t xml:space="preserve">, </w:t>
      </w:r>
      <w:r w:rsidR="000D16BC">
        <w:t>vrachtauto</w:t>
      </w:r>
      <w:r w:rsidR="00B72460">
        <w:t>’</w:t>
      </w:r>
      <w:r w:rsidR="000D16BC">
        <w:t>s</w:t>
      </w:r>
      <w:r w:rsidR="00B72460">
        <w:t xml:space="preserve"> en bussen</w:t>
      </w:r>
      <w:r w:rsidR="00DE6F0C">
        <w:t xml:space="preserve">, de </w:t>
      </w:r>
      <w:r w:rsidRPr="000D16BC" w:rsidR="00DE6F0C">
        <w:rPr>
          <w:i/>
          <w:iCs/>
        </w:rPr>
        <w:t>AFIR</w:t>
      </w:r>
      <w:r w:rsidR="00DE6F0C">
        <w:t xml:space="preserve">-doelen en de </w:t>
      </w:r>
      <w:r w:rsidRPr="000D16BC" w:rsidR="00DE6F0C">
        <w:rPr>
          <w:i/>
          <w:iCs/>
        </w:rPr>
        <w:t>Clean Vehicles Directive</w:t>
      </w:r>
      <w:r w:rsidR="00DE6F0C">
        <w:t>)</w:t>
      </w:r>
      <w:r w:rsidR="00BC51D9">
        <w:t xml:space="preserve"> en een doeltreffende implementatie van het Europese emissiehandelssysteem voor de gebouwde omgeving en het wegvervoer (ETS-2) in 2027. Al deze maatregelen blijven noodzakelijk voor het behalen </w:t>
      </w:r>
      <w:r w:rsidR="00BA2BF3">
        <w:t>van de EU en nationale klimaatdoelen en voor het vergroten van het concurrentievermogen van de Europese auto-industrie.</w:t>
      </w:r>
      <w:r w:rsidR="00F748F1">
        <w:t xml:space="preserve"> </w:t>
      </w:r>
    </w:p>
    <w:p w:rsidR="00F748F1" w:rsidP="00251042" w:rsidRDefault="00F748F1" w14:paraId="28E3081A" w14:textId="77777777"/>
    <w:p w:rsidR="00BA2BF3" w:rsidP="00251042" w:rsidRDefault="00BA2BF3" w14:paraId="3EF2D01B" w14:textId="4E89A844">
      <w:r>
        <w:t xml:space="preserve">Een wetgevend voorstel voor zakelijke vloten </w:t>
      </w:r>
      <w:r w:rsidR="00074424">
        <w:t>helpt voertuigproducenten de CO</w:t>
      </w:r>
      <w:r w:rsidRPr="007A41B7" w:rsidR="00074424">
        <w:rPr>
          <w:vertAlign w:val="subscript"/>
        </w:rPr>
        <w:t>2</w:t>
      </w:r>
      <w:r w:rsidR="00074424">
        <w:t xml:space="preserve">-emissienormen voor lichte en zware voertuigen te halen. Het kabinet vindt dat de Europese auto-industrie en de hele waardeketen met name gebaat zijn </w:t>
      </w:r>
      <w:r w:rsidR="004B4BD2">
        <w:t>bij</w:t>
      </w:r>
      <w:r w:rsidR="00074424">
        <w:t xml:space="preserve"> stabiel beleid </w:t>
      </w:r>
      <w:r w:rsidR="004B4BD2">
        <w:t>dat</w:t>
      </w:r>
      <w:r w:rsidR="00074424">
        <w:t xml:space="preserve"> de transitie ondersteun</w:t>
      </w:r>
      <w:r w:rsidR="004B4BD2">
        <w:t>t</w:t>
      </w:r>
      <w:r w:rsidR="00074424">
        <w:t xml:space="preserve">. Wetgeving moet voorspelbaar zijn, investeringszekerheid bieden voor bedrijven en een gelijk speelveld waarborgen. </w:t>
      </w:r>
    </w:p>
    <w:p w:rsidR="00074424" w:rsidP="00251042" w:rsidRDefault="00074424" w14:paraId="4E951009" w14:textId="77777777"/>
    <w:p w:rsidR="00037821" w:rsidP="00251042" w:rsidRDefault="00074424" w14:paraId="7B4ACB6A" w14:textId="0B999E1F">
      <w:r>
        <w:t xml:space="preserve">Het kabinet werkt op dit moment aan een pseudo-eindheffing om de markt voor zakelijke personenauto’s te normeren via de loonbelasting. De Kamer </w:t>
      </w:r>
      <w:r w:rsidR="0073642C">
        <w:t xml:space="preserve">is </w:t>
      </w:r>
      <w:r>
        <w:t>over deze maatregel geïnformeerd via het Belastingplan 2026.</w:t>
      </w:r>
      <w:r w:rsidR="00B93783">
        <w:rPr>
          <w:rStyle w:val="FootnoteReference"/>
        </w:rPr>
        <w:footnoteReference w:id="5"/>
      </w:r>
      <w:r>
        <w:t xml:space="preserve"> Het inrichten van fiscale maatregelen om de ingroei van emissievrije voertuigen te ondersteunen is een nationale bevoegdheid van lidstaten. Een EU-normering voor zakelijke vloten zou het gelijke speelveld en de effectiviteit van nationale maatregelen ten goede komen. Het wetgevende voorstel zou daarmee een aanvullende prikkel kunnen bieden voor alle bovengenoemde doelen en criteria.</w:t>
      </w:r>
    </w:p>
    <w:p w:rsidR="00074424" w:rsidP="00251042" w:rsidRDefault="00074424" w14:paraId="6B135836" w14:textId="77777777"/>
    <w:p w:rsidR="00074424" w:rsidP="00251042" w:rsidRDefault="00074424" w14:paraId="1536DF50" w14:textId="28BA8BF0">
      <w:pPr>
        <w:rPr>
          <w:b/>
          <w:bCs/>
        </w:rPr>
      </w:pPr>
      <w:r>
        <w:rPr>
          <w:b/>
          <w:bCs/>
        </w:rPr>
        <w:t>Tot slot</w:t>
      </w:r>
    </w:p>
    <w:p w:rsidRPr="00074424" w:rsidR="00074424" w:rsidP="00251042" w:rsidRDefault="00074424" w14:paraId="04CC4B3F" w14:textId="7E3BC97B">
      <w:r>
        <w:t xml:space="preserve">Een wetgevend voorstel voor zakelijke voertuigen </w:t>
      </w:r>
      <w:r w:rsidR="009A7D43">
        <w:t>is door de Commissie aangekondigd en verschijnt naar verwachting voor het einde van 2025</w:t>
      </w:r>
      <w:r>
        <w:t>. Het kabinet informeert vervolgens de Kamer over het kabinetsstandpunt over dit wetgevende voorstel</w:t>
      </w:r>
      <w:r w:rsidR="009A7D43">
        <w:t xml:space="preserve"> volgens de geldende afspraken voor het opstellen van een BNC-fiche.</w:t>
      </w:r>
    </w:p>
    <w:p w:rsidRPr="00037821" w:rsidR="00037821" w:rsidP="00251042" w:rsidRDefault="00037821" w14:paraId="3965CDE2" w14:textId="77777777"/>
    <w:p w:rsidR="0056160D" w:rsidRDefault="005A161E" w14:paraId="7016CC61" w14:textId="77777777">
      <w:pPr>
        <w:pStyle w:val="Slotzin"/>
      </w:pPr>
      <w:r>
        <w:t>Hoogachtend,</w:t>
      </w:r>
    </w:p>
    <w:p w:rsidR="0056160D" w:rsidRDefault="005A161E" w14:paraId="35AB8A2B" w14:textId="77777777">
      <w:pPr>
        <w:pStyle w:val="OndertekeningArea1"/>
      </w:pPr>
      <w:r>
        <w:t>DE STAATSSECRETARIS VAN INFRASTRUCTUUR EN WATERSTAAT - OPENBAAR VERVOER EN MILIEU,</w:t>
      </w:r>
    </w:p>
    <w:p w:rsidR="0056160D" w:rsidRDefault="0056160D" w14:paraId="10E060E0" w14:textId="77777777"/>
    <w:p w:rsidR="0056160D" w:rsidRDefault="0056160D" w14:paraId="0AF12F45" w14:textId="77777777"/>
    <w:p w:rsidR="0056160D" w:rsidRDefault="0056160D" w14:paraId="61AF1EE4" w14:textId="77777777"/>
    <w:p w:rsidR="0056160D" w:rsidRDefault="0056160D" w14:paraId="1640ECD8" w14:textId="77777777"/>
    <w:p w:rsidR="0056160D" w:rsidRDefault="005A161E" w14:paraId="53CAD00B" w14:textId="77777777">
      <w:r>
        <w:t>A.A. (Thierry) Aartsen</w:t>
      </w:r>
    </w:p>
    <w:sectPr w:rsidR="0056160D">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E2F8C0" w14:textId="77777777" w:rsidR="0027130A" w:rsidRDefault="0027130A">
      <w:pPr>
        <w:spacing w:line="240" w:lineRule="auto"/>
      </w:pPr>
      <w:r>
        <w:separator/>
      </w:r>
    </w:p>
  </w:endnote>
  <w:endnote w:type="continuationSeparator" w:id="0">
    <w:p w14:paraId="1BB51927" w14:textId="77777777" w:rsidR="0027130A" w:rsidRDefault="002713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D2346" w14:textId="77777777" w:rsidR="0022330A" w:rsidRDefault="002233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A1231" w14:textId="77777777" w:rsidR="0022330A" w:rsidRDefault="002233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7CE9E" w14:textId="77777777" w:rsidR="0022330A" w:rsidRDefault="002233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6E7C0D" w14:textId="77777777" w:rsidR="0027130A" w:rsidRDefault="0027130A">
      <w:pPr>
        <w:spacing w:line="240" w:lineRule="auto"/>
      </w:pPr>
      <w:r>
        <w:separator/>
      </w:r>
    </w:p>
  </w:footnote>
  <w:footnote w:type="continuationSeparator" w:id="0">
    <w:p w14:paraId="28C8EF85" w14:textId="77777777" w:rsidR="0027130A" w:rsidRDefault="0027130A">
      <w:pPr>
        <w:spacing w:line="240" w:lineRule="auto"/>
      </w:pPr>
      <w:r>
        <w:continuationSeparator/>
      </w:r>
    </w:p>
  </w:footnote>
  <w:footnote w:id="1">
    <w:p w14:paraId="5B28D007" w14:textId="53333C59" w:rsidR="0011164C" w:rsidRPr="008D486D" w:rsidRDefault="0011164C">
      <w:pPr>
        <w:pStyle w:val="FootnoteText"/>
        <w:rPr>
          <w:sz w:val="16"/>
          <w:szCs w:val="16"/>
        </w:rPr>
      </w:pPr>
      <w:r w:rsidRPr="008D486D">
        <w:rPr>
          <w:rStyle w:val="FootnoteReference"/>
          <w:sz w:val="16"/>
          <w:szCs w:val="16"/>
        </w:rPr>
        <w:footnoteRef/>
      </w:r>
      <w:r w:rsidRPr="008D486D">
        <w:rPr>
          <w:sz w:val="16"/>
          <w:szCs w:val="16"/>
        </w:rPr>
        <w:t xml:space="preserve"> Kamerstukken || 2023-24, 22 112, nr. 3947</w:t>
      </w:r>
    </w:p>
  </w:footnote>
  <w:footnote w:id="2">
    <w:p w14:paraId="6C3C5D77" w14:textId="743D359F" w:rsidR="0011164C" w:rsidRPr="008D486D" w:rsidRDefault="0011164C">
      <w:pPr>
        <w:pStyle w:val="FootnoteText"/>
        <w:rPr>
          <w:sz w:val="16"/>
          <w:szCs w:val="16"/>
        </w:rPr>
      </w:pPr>
      <w:r w:rsidRPr="008D486D">
        <w:rPr>
          <w:rStyle w:val="FootnoteReference"/>
          <w:sz w:val="16"/>
          <w:szCs w:val="16"/>
        </w:rPr>
        <w:footnoteRef/>
      </w:r>
      <w:r w:rsidRPr="008D486D">
        <w:rPr>
          <w:sz w:val="16"/>
          <w:szCs w:val="16"/>
        </w:rPr>
        <w:t xml:space="preserve"> Kamerstukken || 2024-25, 22 112, nr. 3998</w:t>
      </w:r>
    </w:p>
  </w:footnote>
  <w:footnote w:id="3">
    <w:p w14:paraId="0E01B4CD" w14:textId="2C177060" w:rsidR="007C3692" w:rsidRPr="008D486D" w:rsidRDefault="007C3692">
      <w:pPr>
        <w:pStyle w:val="FootnoteText"/>
        <w:rPr>
          <w:sz w:val="16"/>
          <w:szCs w:val="16"/>
        </w:rPr>
      </w:pPr>
      <w:r w:rsidRPr="008D486D">
        <w:rPr>
          <w:rStyle w:val="FootnoteReference"/>
          <w:sz w:val="16"/>
          <w:szCs w:val="16"/>
        </w:rPr>
        <w:footnoteRef/>
      </w:r>
      <w:r w:rsidRPr="008D486D">
        <w:rPr>
          <w:sz w:val="16"/>
          <w:szCs w:val="16"/>
        </w:rPr>
        <w:t xml:space="preserve"> </w:t>
      </w:r>
      <w:r w:rsidR="0011164C" w:rsidRPr="008D486D">
        <w:rPr>
          <w:sz w:val="16"/>
          <w:szCs w:val="16"/>
        </w:rPr>
        <w:t>Kamerstukken || 2024-25, 22 112, nr. 4055</w:t>
      </w:r>
    </w:p>
  </w:footnote>
  <w:footnote w:id="4">
    <w:p w14:paraId="6D4FF544" w14:textId="3F294596" w:rsidR="00BD76DC" w:rsidRPr="008D486D" w:rsidRDefault="00BD76DC">
      <w:pPr>
        <w:pStyle w:val="FootnoteText"/>
        <w:rPr>
          <w:sz w:val="16"/>
          <w:szCs w:val="16"/>
        </w:rPr>
      </w:pPr>
      <w:r w:rsidRPr="008D486D">
        <w:rPr>
          <w:rStyle w:val="FootnoteReference"/>
          <w:sz w:val="16"/>
          <w:szCs w:val="16"/>
        </w:rPr>
        <w:footnoteRef/>
      </w:r>
      <w:r w:rsidRPr="008D486D">
        <w:rPr>
          <w:sz w:val="16"/>
          <w:szCs w:val="16"/>
        </w:rPr>
        <w:t xml:space="preserve"> </w:t>
      </w:r>
      <w:r w:rsidR="00682C7A" w:rsidRPr="008D486D">
        <w:rPr>
          <w:sz w:val="16"/>
          <w:szCs w:val="16"/>
        </w:rPr>
        <w:t>Zie voor gegevens over de ingroei van elektrische personenauto’s, lichte en zware bedrijfsvoertuigen het dashboard Elektrisch vervoer van de Rijksdienst voor Ondernemend Nederland (RVO): https://duurzamemobiliteit.databank.nl</w:t>
      </w:r>
    </w:p>
  </w:footnote>
  <w:footnote w:id="5">
    <w:p w14:paraId="48832B72" w14:textId="53D24910" w:rsidR="00B93783" w:rsidRPr="00DD51CA" w:rsidRDefault="00B93783">
      <w:pPr>
        <w:pStyle w:val="FootnoteText"/>
        <w:rPr>
          <w:sz w:val="16"/>
          <w:szCs w:val="16"/>
        </w:rPr>
      </w:pPr>
      <w:r w:rsidRPr="00DD51CA">
        <w:rPr>
          <w:rStyle w:val="FootnoteReference"/>
          <w:sz w:val="16"/>
          <w:szCs w:val="16"/>
        </w:rPr>
        <w:footnoteRef/>
      </w:r>
      <w:r w:rsidRPr="00DD51CA">
        <w:rPr>
          <w:sz w:val="16"/>
          <w:szCs w:val="16"/>
        </w:rPr>
        <w:t xml:space="preserve"> Kamerstukken || 2025-26, 36 812</w:t>
      </w:r>
      <w:r w:rsidR="008D486D" w:rsidRPr="00DD51CA">
        <w:rPr>
          <w:sz w:val="16"/>
          <w:szCs w:val="16"/>
        </w:rPr>
        <w:t>, nr. 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05E9A" w14:textId="77777777" w:rsidR="0022330A" w:rsidRDefault="002233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94C48" w14:textId="77777777" w:rsidR="0056160D" w:rsidRDefault="005A161E">
    <w:r>
      <w:rPr>
        <w:noProof/>
        <w:lang w:val="en-GB" w:eastAsia="en-GB"/>
      </w:rPr>
      <mc:AlternateContent>
        <mc:Choice Requires="wps">
          <w:drawing>
            <wp:anchor distT="0" distB="0" distL="0" distR="0" simplePos="0" relativeHeight="251651584" behindDoc="0" locked="1" layoutInCell="1" allowOverlap="1" wp14:anchorId="5413AB0B" wp14:editId="1195ABE0">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6F970116" w14:textId="77777777" w:rsidR="0056160D" w:rsidRDefault="005A161E">
                          <w:pPr>
                            <w:pStyle w:val="AfzendgegevensKop0"/>
                          </w:pPr>
                          <w:r>
                            <w:t>Ministerie van Infrastructuur en Waterstaat</w:t>
                          </w:r>
                        </w:p>
                        <w:p w14:paraId="7F48DF8D" w14:textId="77777777" w:rsidR="005A161E" w:rsidRDefault="005A161E" w:rsidP="005A161E"/>
                        <w:p w14:paraId="464B3976" w14:textId="77777777" w:rsidR="005A161E" w:rsidRDefault="005A161E" w:rsidP="005A161E">
                          <w:pPr>
                            <w:pStyle w:val="Referentiegegevenskop"/>
                          </w:pPr>
                          <w:r>
                            <w:t>Kenmerk</w:t>
                          </w:r>
                        </w:p>
                        <w:p w14:paraId="4EE82C2C" w14:textId="77777777" w:rsidR="005A161E" w:rsidRPr="005A161E" w:rsidRDefault="005A161E" w:rsidP="005A161E">
                          <w:pPr>
                            <w:pStyle w:val="Referentiegegevenskop"/>
                            <w:rPr>
                              <w:b w:val="0"/>
                              <w:bCs/>
                            </w:rPr>
                          </w:pPr>
                          <w:r w:rsidRPr="005A161E">
                            <w:rPr>
                              <w:b w:val="0"/>
                              <w:bCs/>
                            </w:rPr>
                            <w:t>IENW/BSK-2025/229469</w:t>
                          </w:r>
                        </w:p>
                        <w:p w14:paraId="2782217B" w14:textId="77777777" w:rsidR="005A161E" w:rsidRPr="005A161E" w:rsidRDefault="005A161E" w:rsidP="005A161E"/>
                      </w:txbxContent>
                    </wps:txbx>
                    <wps:bodyPr vert="horz" wrap="square" lIns="0" tIns="0" rIns="0" bIns="0" anchor="t" anchorCtr="0"/>
                  </wps:wsp>
                </a:graphicData>
              </a:graphic>
            </wp:anchor>
          </w:drawing>
        </mc:Choice>
        <mc:Fallback>
          <w:pict>
            <v:shapetype w14:anchorId="5413AB0B"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6F970116" w14:textId="77777777" w:rsidR="0056160D" w:rsidRDefault="005A161E">
                    <w:pPr>
                      <w:pStyle w:val="AfzendgegevensKop0"/>
                    </w:pPr>
                    <w:r>
                      <w:t>Ministerie van Infrastructuur en Waterstaat</w:t>
                    </w:r>
                  </w:p>
                  <w:p w14:paraId="7F48DF8D" w14:textId="77777777" w:rsidR="005A161E" w:rsidRDefault="005A161E" w:rsidP="005A161E"/>
                  <w:p w14:paraId="464B3976" w14:textId="77777777" w:rsidR="005A161E" w:rsidRDefault="005A161E" w:rsidP="005A161E">
                    <w:pPr>
                      <w:pStyle w:val="Referentiegegevenskop"/>
                    </w:pPr>
                    <w:r>
                      <w:t>Kenmerk</w:t>
                    </w:r>
                  </w:p>
                  <w:p w14:paraId="4EE82C2C" w14:textId="77777777" w:rsidR="005A161E" w:rsidRPr="005A161E" w:rsidRDefault="005A161E" w:rsidP="005A161E">
                    <w:pPr>
                      <w:pStyle w:val="Referentiegegevenskop"/>
                      <w:rPr>
                        <w:b w:val="0"/>
                        <w:bCs/>
                      </w:rPr>
                    </w:pPr>
                    <w:r w:rsidRPr="005A161E">
                      <w:rPr>
                        <w:b w:val="0"/>
                        <w:bCs/>
                      </w:rPr>
                      <w:t>IENW/BSK-2025/229469</w:t>
                    </w:r>
                  </w:p>
                  <w:p w14:paraId="2782217B" w14:textId="77777777" w:rsidR="005A161E" w:rsidRPr="005A161E" w:rsidRDefault="005A161E" w:rsidP="005A161E"/>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35EF72EA" wp14:editId="3E1839E0">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FCEE05E" w14:textId="77777777" w:rsidR="0056160D" w:rsidRDefault="005A161E">
                          <w:pPr>
                            <w:pStyle w:val="Referentiegegevens"/>
                          </w:pPr>
                          <w:r>
                            <w:t xml:space="preserve">Pagina </w:t>
                          </w:r>
                          <w:r>
                            <w:fldChar w:fldCharType="begin"/>
                          </w:r>
                          <w:r>
                            <w:instrText>PAGE</w:instrText>
                          </w:r>
                          <w:r>
                            <w:fldChar w:fldCharType="separate"/>
                          </w:r>
                          <w:r w:rsidR="004B5EF7">
                            <w:rPr>
                              <w:noProof/>
                            </w:rPr>
                            <w:t>1</w:t>
                          </w:r>
                          <w:r>
                            <w:fldChar w:fldCharType="end"/>
                          </w:r>
                          <w:r>
                            <w:t xml:space="preserve"> van </w:t>
                          </w:r>
                          <w:r>
                            <w:fldChar w:fldCharType="begin"/>
                          </w:r>
                          <w:r>
                            <w:instrText>NUMPAGES</w:instrText>
                          </w:r>
                          <w:r>
                            <w:fldChar w:fldCharType="separate"/>
                          </w:r>
                          <w:r w:rsidR="004B5EF7">
                            <w:rPr>
                              <w:noProof/>
                            </w:rPr>
                            <w:t>1</w:t>
                          </w:r>
                          <w:r>
                            <w:fldChar w:fldCharType="end"/>
                          </w:r>
                        </w:p>
                      </w:txbxContent>
                    </wps:txbx>
                    <wps:bodyPr vert="horz" wrap="square" lIns="0" tIns="0" rIns="0" bIns="0" anchor="t" anchorCtr="0"/>
                  </wps:wsp>
                </a:graphicData>
              </a:graphic>
            </wp:anchor>
          </w:drawing>
        </mc:Choice>
        <mc:Fallback>
          <w:pict>
            <v:shape w14:anchorId="35EF72EA"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2FCEE05E" w14:textId="77777777" w:rsidR="0056160D" w:rsidRDefault="005A161E">
                    <w:pPr>
                      <w:pStyle w:val="Referentiegegevens"/>
                    </w:pPr>
                    <w:r>
                      <w:t xml:space="preserve">Pagina </w:t>
                    </w:r>
                    <w:r>
                      <w:fldChar w:fldCharType="begin"/>
                    </w:r>
                    <w:r>
                      <w:instrText>PAGE</w:instrText>
                    </w:r>
                    <w:r>
                      <w:fldChar w:fldCharType="separate"/>
                    </w:r>
                    <w:r w:rsidR="004B5EF7">
                      <w:rPr>
                        <w:noProof/>
                      </w:rPr>
                      <w:t>1</w:t>
                    </w:r>
                    <w:r>
                      <w:fldChar w:fldCharType="end"/>
                    </w:r>
                    <w:r>
                      <w:t xml:space="preserve"> van </w:t>
                    </w:r>
                    <w:r>
                      <w:fldChar w:fldCharType="begin"/>
                    </w:r>
                    <w:r>
                      <w:instrText>NUMPAGES</w:instrText>
                    </w:r>
                    <w:r>
                      <w:fldChar w:fldCharType="separate"/>
                    </w:r>
                    <w:r w:rsidR="004B5EF7">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42710910" wp14:editId="0575779E">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407BF56" w14:textId="77777777" w:rsidR="00A02D5A" w:rsidRDefault="00A02D5A"/>
                      </w:txbxContent>
                    </wps:txbx>
                    <wps:bodyPr vert="horz" wrap="square" lIns="0" tIns="0" rIns="0" bIns="0" anchor="t" anchorCtr="0"/>
                  </wps:wsp>
                </a:graphicData>
              </a:graphic>
            </wp:anchor>
          </w:drawing>
        </mc:Choice>
        <mc:Fallback>
          <w:pict>
            <v:shape w14:anchorId="42710910"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5407BF56" w14:textId="77777777" w:rsidR="00A02D5A" w:rsidRDefault="00A02D5A"/>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067AA2D9" wp14:editId="29C60605">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B5B5718" w14:textId="77777777" w:rsidR="00A02D5A" w:rsidRDefault="00A02D5A"/>
                      </w:txbxContent>
                    </wps:txbx>
                    <wps:bodyPr vert="horz" wrap="square" lIns="0" tIns="0" rIns="0" bIns="0" anchor="t" anchorCtr="0"/>
                  </wps:wsp>
                </a:graphicData>
              </a:graphic>
            </wp:anchor>
          </w:drawing>
        </mc:Choice>
        <mc:Fallback>
          <w:pict>
            <v:shape w14:anchorId="067AA2D9"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7B5B5718" w14:textId="77777777" w:rsidR="00A02D5A" w:rsidRDefault="00A02D5A"/>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A72ED" w14:textId="77777777" w:rsidR="0056160D" w:rsidRDefault="005A161E">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2CE1C795" wp14:editId="6CB269D4">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B1B46A7" w14:textId="77777777" w:rsidR="00A02D5A" w:rsidRDefault="00A02D5A"/>
                      </w:txbxContent>
                    </wps:txbx>
                    <wps:bodyPr vert="horz" wrap="square" lIns="0" tIns="0" rIns="0" bIns="0" anchor="t" anchorCtr="0"/>
                  </wps:wsp>
                </a:graphicData>
              </a:graphic>
            </wp:anchor>
          </w:drawing>
        </mc:Choice>
        <mc:Fallback>
          <w:pict>
            <v:shapetype w14:anchorId="2CE1C795"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1B1B46A7" w14:textId="77777777" w:rsidR="00A02D5A" w:rsidRDefault="00A02D5A"/>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1392EDE4" wp14:editId="06BD11AF">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749DBCD" w14:textId="4FA80919" w:rsidR="0056160D" w:rsidRDefault="005A161E">
                          <w:pPr>
                            <w:pStyle w:val="Referentiegegevens"/>
                          </w:pPr>
                          <w:r>
                            <w:t xml:space="preserve">Pagina </w:t>
                          </w:r>
                          <w:r>
                            <w:fldChar w:fldCharType="begin"/>
                          </w:r>
                          <w:r>
                            <w:instrText>PAGE</w:instrText>
                          </w:r>
                          <w:r>
                            <w:fldChar w:fldCharType="separate"/>
                          </w:r>
                          <w:r w:rsidR="00D663A7">
                            <w:rPr>
                              <w:noProof/>
                            </w:rPr>
                            <w:t>1</w:t>
                          </w:r>
                          <w:r>
                            <w:fldChar w:fldCharType="end"/>
                          </w:r>
                          <w:r>
                            <w:t xml:space="preserve"> van </w:t>
                          </w:r>
                          <w:r>
                            <w:fldChar w:fldCharType="begin"/>
                          </w:r>
                          <w:r>
                            <w:instrText>NUMPAGES</w:instrText>
                          </w:r>
                          <w:r>
                            <w:fldChar w:fldCharType="separate"/>
                          </w:r>
                          <w:r w:rsidR="00D663A7">
                            <w:rPr>
                              <w:noProof/>
                            </w:rPr>
                            <w:t>1</w:t>
                          </w:r>
                          <w:r>
                            <w:fldChar w:fldCharType="end"/>
                          </w:r>
                        </w:p>
                      </w:txbxContent>
                    </wps:txbx>
                    <wps:bodyPr vert="horz" wrap="square" lIns="0" tIns="0" rIns="0" bIns="0" anchor="t" anchorCtr="0"/>
                  </wps:wsp>
                </a:graphicData>
              </a:graphic>
            </wp:anchor>
          </w:drawing>
        </mc:Choice>
        <mc:Fallback>
          <w:pict>
            <v:shape w14:anchorId="1392EDE4"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3749DBCD" w14:textId="4FA80919" w:rsidR="0056160D" w:rsidRDefault="005A161E">
                    <w:pPr>
                      <w:pStyle w:val="Referentiegegevens"/>
                    </w:pPr>
                    <w:r>
                      <w:t xml:space="preserve">Pagina </w:t>
                    </w:r>
                    <w:r>
                      <w:fldChar w:fldCharType="begin"/>
                    </w:r>
                    <w:r>
                      <w:instrText>PAGE</w:instrText>
                    </w:r>
                    <w:r>
                      <w:fldChar w:fldCharType="separate"/>
                    </w:r>
                    <w:r w:rsidR="00D663A7">
                      <w:rPr>
                        <w:noProof/>
                      </w:rPr>
                      <w:t>1</w:t>
                    </w:r>
                    <w:r>
                      <w:fldChar w:fldCharType="end"/>
                    </w:r>
                    <w:r>
                      <w:t xml:space="preserve"> van </w:t>
                    </w:r>
                    <w:r>
                      <w:fldChar w:fldCharType="begin"/>
                    </w:r>
                    <w:r>
                      <w:instrText>NUMPAGES</w:instrText>
                    </w:r>
                    <w:r>
                      <w:fldChar w:fldCharType="separate"/>
                    </w:r>
                    <w:r w:rsidR="00D663A7">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1E5C0F7D" wp14:editId="4CCAE8A1">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7BA8663" w14:textId="77777777" w:rsidR="0056160D" w:rsidRDefault="005A161E">
                          <w:pPr>
                            <w:pStyle w:val="AfzendgegevensKop0"/>
                          </w:pPr>
                          <w:r>
                            <w:t>Ministerie van Infrastructuur en Waterstaat</w:t>
                          </w:r>
                        </w:p>
                        <w:p w14:paraId="59C256AF" w14:textId="77777777" w:rsidR="0056160D" w:rsidRDefault="0056160D">
                          <w:pPr>
                            <w:pStyle w:val="WitregelW1"/>
                          </w:pPr>
                        </w:p>
                        <w:p w14:paraId="0F8465CC" w14:textId="77777777" w:rsidR="0056160D" w:rsidRDefault="005A161E">
                          <w:pPr>
                            <w:pStyle w:val="Afzendgegevens"/>
                          </w:pPr>
                          <w:r>
                            <w:t>Rijnstraat 8</w:t>
                          </w:r>
                        </w:p>
                        <w:p w14:paraId="6541FE00" w14:textId="57331412" w:rsidR="0056160D" w:rsidRPr="004B5EF7" w:rsidRDefault="005A161E">
                          <w:pPr>
                            <w:pStyle w:val="Afzendgegevens"/>
                            <w:rPr>
                              <w:lang w:val="de-DE"/>
                            </w:rPr>
                          </w:pPr>
                          <w:r w:rsidRPr="004B5EF7">
                            <w:rPr>
                              <w:lang w:val="de-DE"/>
                            </w:rPr>
                            <w:t xml:space="preserve">2515 </w:t>
                          </w:r>
                          <w:r w:rsidR="0022330A" w:rsidRPr="004B5EF7">
                            <w:rPr>
                              <w:lang w:val="de-DE"/>
                            </w:rPr>
                            <w:t>XP Den</w:t>
                          </w:r>
                          <w:r w:rsidRPr="004B5EF7">
                            <w:rPr>
                              <w:lang w:val="de-DE"/>
                            </w:rPr>
                            <w:t xml:space="preserve"> Haag</w:t>
                          </w:r>
                        </w:p>
                        <w:p w14:paraId="2FBA3D5D" w14:textId="77777777" w:rsidR="0056160D" w:rsidRPr="004B5EF7" w:rsidRDefault="005A161E">
                          <w:pPr>
                            <w:pStyle w:val="Afzendgegevens"/>
                            <w:rPr>
                              <w:lang w:val="de-DE"/>
                            </w:rPr>
                          </w:pPr>
                          <w:r w:rsidRPr="004B5EF7">
                            <w:rPr>
                              <w:lang w:val="de-DE"/>
                            </w:rPr>
                            <w:t>Postbus 20901</w:t>
                          </w:r>
                        </w:p>
                        <w:p w14:paraId="16D0D9D3" w14:textId="77777777" w:rsidR="0056160D" w:rsidRPr="004B5EF7" w:rsidRDefault="005A161E">
                          <w:pPr>
                            <w:pStyle w:val="Afzendgegevens"/>
                            <w:rPr>
                              <w:lang w:val="de-DE"/>
                            </w:rPr>
                          </w:pPr>
                          <w:r w:rsidRPr="004B5EF7">
                            <w:rPr>
                              <w:lang w:val="de-DE"/>
                            </w:rPr>
                            <w:t>2500 EX Den Haag</w:t>
                          </w:r>
                        </w:p>
                        <w:p w14:paraId="6541409A" w14:textId="77777777" w:rsidR="0056160D" w:rsidRPr="004B5EF7" w:rsidRDefault="0056160D">
                          <w:pPr>
                            <w:pStyle w:val="WitregelW1"/>
                            <w:rPr>
                              <w:lang w:val="de-DE"/>
                            </w:rPr>
                          </w:pPr>
                        </w:p>
                        <w:p w14:paraId="135842B1" w14:textId="77777777" w:rsidR="0056160D" w:rsidRPr="004B5EF7" w:rsidRDefault="005A161E">
                          <w:pPr>
                            <w:pStyle w:val="Afzendgegevens"/>
                            <w:rPr>
                              <w:lang w:val="de-DE"/>
                            </w:rPr>
                          </w:pPr>
                          <w:r w:rsidRPr="004B5EF7">
                            <w:rPr>
                              <w:lang w:val="de-DE"/>
                            </w:rPr>
                            <w:t>T   070-456 0000</w:t>
                          </w:r>
                        </w:p>
                        <w:p w14:paraId="3C03459C" w14:textId="77777777" w:rsidR="0056160D" w:rsidRDefault="005A161E">
                          <w:pPr>
                            <w:pStyle w:val="Afzendgegevens"/>
                          </w:pPr>
                          <w:r>
                            <w:t>F   070-456 1111</w:t>
                          </w:r>
                        </w:p>
                        <w:p w14:paraId="64924C2F" w14:textId="77777777" w:rsidR="0056160D" w:rsidRDefault="0056160D">
                          <w:pPr>
                            <w:pStyle w:val="WitregelW2"/>
                          </w:pPr>
                        </w:p>
                        <w:p w14:paraId="2F2A3F20" w14:textId="77777777" w:rsidR="005A161E" w:rsidRDefault="005A161E" w:rsidP="005A161E"/>
                        <w:p w14:paraId="43EB85FF" w14:textId="77777777" w:rsidR="005A161E" w:rsidRPr="005A161E" w:rsidRDefault="005A161E" w:rsidP="005A161E"/>
                        <w:p w14:paraId="61A985B7" w14:textId="77777777" w:rsidR="005A161E" w:rsidRDefault="005A161E">
                          <w:pPr>
                            <w:pStyle w:val="Referentiegegevenskop"/>
                          </w:pPr>
                          <w:r>
                            <w:t>Kenmerk</w:t>
                          </w:r>
                        </w:p>
                        <w:p w14:paraId="0799263A" w14:textId="5D561599" w:rsidR="005A161E" w:rsidRPr="005A161E" w:rsidRDefault="005A161E">
                          <w:pPr>
                            <w:pStyle w:val="Referentiegegevenskop"/>
                            <w:rPr>
                              <w:b w:val="0"/>
                              <w:bCs/>
                            </w:rPr>
                          </w:pPr>
                          <w:r w:rsidRPr="005A161E">
                            <w:rPr>
                              <w:b w:val="0"/>
                              <w:bCs/>
                            </w:rPr>
                            <w:t>IENW/BSK-2025/229469</w:t>
                          </w:r>
                        </w:p>
                        <w:p w14:paraId="00961BD6" w14:textId="77777777" w:rsidR="005A161E" w:rsidRDefault="005A161E">
                          <w:pPr>
                            <w:pStyle w:val="Referentiegegevenskop"/>
                          </w:pPr>
                        </w:p>
                        <w:p w14:paraId="5B819119" w14:textId="195C2F7A" w:rsidR="0056160D" w:rsidRDefault="005A161E">
                          <w:pPr>
                            <w:pStyle w:val="Referentiegegevenskop"/>
                          </w:pPr>
                          <w:r>
                            <w:t>Bijlage(n)</w:t>
                          </w:r>
                        </w:p>
                        <w:p w14:paraId="14A846C0" w14:textId="1B8E2BD7" w:rsidR="0056160D" w:rsidRDefault="0022330A">
                          <w:pPr>
                            <w:pStyle w:val="Referentiegegevens"/>
                          </w:pPr>
                          <w:r>
                            <w:t>3</w:t>
                          </w:r>
                        </w:p>
                      </w:txbxContent>
                    </wps:txbx>
                    <wps:bodyPr vert="horz" wrap="square" lIns="0" tIns="0" rIns="0" bIns="0" anchor="t" anchorCtr="0"/>
                  </wps:wsp>
                </a:graphicData>
              </a:graphic>
            </wp:anchor>
          </w:drawing>
        </mc:Choice>
        <mc:Fallback>
          <w:pict>
            <v:shape w14:anchorId="1E5C0F7D"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47BA8663" w14:textId="77777777" w:rsidR="0056160D" w:rsidRDefault="005A161E">
                    <w:pPr>
                      <w:pStyle w:val="AfzendgegevensKop0"/>
                    </w:pPr>
                    <w:r>
                      <w:t>Ministerie van Infrastructuur en Waterstaat</w:t>
                    </w:r>
                  </w:p>
                  <w:p w14:paraId="59C256AF" w14:textId="77777777" w:rsidR="0056160D" w:rsidRDefault="0056160D">
                    <w:pPr>
                      <w:pStyle w:val="WitregelW1"/>
                    </w:pPr>
                  </w:p>
                  <w:p w14:paraId="0F8465CC" w14:textId="77777777" w:rsidR="0056160D" w:rsidRDefault="005A161E">
                    <w:pPr>
                      <w:pStyle w:val="Afzendgegevens"/>
                    </w:pPr>
                    <w:r>
                      <w:t>Rijnstraat 8</w:t>
                    </w:r>
                  </w:p>
                  <w:p w14:paraId="6541FE00" w14:textId="57331412" w:rsidR="0056160D" w:rsidRPr="004B5EF7" w:rsidRDefault="005A161E">
                    <w:pPr>
                      <w:pStyle w:val="Afzendgegevens"/>
                      <w:rPr>
                        <w:lang w:val="de-DE"/>
                      </w:rPr>
                    </w:pPr>
                    <w:r w:rsidRPr="004B5EF7">
                      <w:rPr>
                        <w:lang w:val="de-DE"/>
                      </w:rPr>
                      <w:t xml:space="preserve">2515 </w:t>
                    </w:r>
                    <w:r w:rsidR="0022330A" w:rsidRPr="004B5EF7">
                      <w:rPr>
                        <w:lang w:val="de-DE"/>
                      </w:rPr>
                      <w:t>XP Den</w:t>
                    </w:r>
                    <w:r w:rsidRPr="004B5EF7">
                      <w:rPr>
                        <w:lang w:val="de-DE"/>
                      </w:rPr>
                      <w:t xml:space="preserve"> Haag</w:t>
                    </w:r>
                  </w:p>
                  <w:p w14:paraId="2FBA3D5D" w14:textId="77777777" w:rsidR="0056160D" w:rsidRPr="004B5EF7" w:rsidRDefault="005A161E">
                    <w:pPr>
                      <w:pStyle w:val="Afzendgegevens"/>
                      <w:rPr>
                        <w:lang w:val="de-DE"/>
                      </w:rPr>
                    </w:pPr>
                    <w:r w:rsidRPr="004B5EF7">
                      <w:rPr>
                        <w:lang w:val="de-DE"/>
                      </w:rPr>
                      <w:t>Postbus 20901</w:t>
                    </w:r>
                  </w:p>
                  <w:p w14:paraId="16D0D9D3" w14:textId="77777777" w:rsidR="0056160D" w:rsidRPr="004B5EF7" w:rsidRDefault="005A161E">
                    <w:pPr>
                      <w:pStyle w:val="Afzendgegevens"/>
                      <w:rPr>
                        <w:lang w:val="de-DE"/>
                      </w:rPr>
                    </w:pPr>
                    <w:r w:rsidRPr="004B5EF7">
                      <w:rPr>
                        <w:lang w:val="de-DE"/>
                      </w:rPr>
                      <w:t>2500 EX Den Haag</w:t>
                    </w:r>
                  </w:p>
                  <w:p w14:paraId="6541409A" w14:textId="77777777" w:rsidR="0056160D" w:rsidRPr="004B5EF7" w:rsidRDefault="0056160D">
                    <w:pPr>
                      <w:pStyle w:val="WitregelW1"/>
                      <w:rPr>
                        <w:lang w:val="de-DE"/>
                      </w:rPr>
                    </w:pPr>
                  </w:p>
                  <w:p w14:paraId="135842B1" w14:textId="77777777" w:rsidR="0056160D" w:rsidRPr="004B5EF7" w:rsidRDefault="005A161E">
                    <w:pPr>
                      <w:pStyle w:val="Afzendgegevens"/>
                      <w:rPr>
                        <w:lang w:val="de-DE"/>
                      </w:rPr>
                    </w:pPr>
                    <w:r w:rsidRPr="004B5EF7">
                      <w:rPr>
                        <w:lang w:val="de-DE"/>
                      </w:rPr>
                      <w:t>T   070-456 0000</w:t>
                    </w:r>
                  </w:p>
                  <w:p w14:paraId="3C03459C" w14:textId="77777777" w:rsidR="0056160D" w:rsidRDefault="005A161E">
                    <w:pPr>
                      <w:pStyle w:val="Afzendgegevens"/>
                    </w:pPr>
                    <w:r>
                      <w:t>F   070-456 1111</w:t>
                    </w:r>
                  </w:p>
                  <w:p w14:paraId="64924C2F" w14:textId="77777777" w:rsidR="0056160D" w:rsidRDefault="0056160D">
                    <w:pPr>
                      <w:pStyle w:val="WitregelW2"/>
                    </w:pPr>
                  </w:p>
                  <w:p w14:paraId="2F2A3F20" w14:textId="77777777" w:rsidR="005A161E" w:rsidRDefault="005A161E" w:rsidP="005A161E"/>
                  <w:p w14:paraId="43EB85FF" w14:textId="77777777" w:rsidR="005A161E" w:rsidRPr="005A161E" w:rsidRDefault="005A161E" w:rsidP="005A161E"/>
                  <w:p w14:paraId="61A985B7" w14:textId="77777777" w:rsidR="005A161E" w:rsidRDefault="005A161E">
                    <w:pPr>
                      <w:pStyle w:val="Referentiegegevenskop"/>
                    </w:pPr>
                    <w:r>
                      <w:t>Kenmerk</w:t>
                    </w:r>
                  </w:p>
                  <w:p w14:paraId="0799263A" w14:textId="5D561599" w:rsidR="005A161E" w:rsidRPr="005A161E" w:rsidRDefault="005A161E">
                    <w:pPr>
                      <w:pStyle w:val="Referentiegegevenskop"/>
                      <w:rPr>
                        <w:b w:val="0"/>
                        <w:bCs/>
                      </w:rPr>
                    </w:pPr>
                    <w:r w:rsidRPr="005A161E">
                      <w:rPr>
                        <w:b w:val="0"/>
                        <w:bCs/>
                      </w:rPr>
                      <w:t>IENW/BSK-2025/229469</w:t>
                    </w:r>
                  </w:p>
                  <w:p w14:paraId="00961BD6" w14:textId="77777777" w:rsidR="005A161E" w:rsidRDefault="005A161E">
                    <w:pPr>
                      <w:pStyle w:val="Referentiegegevenskop"/>
                    </w:pPr>
                  </w:p>
                  <w:p w14:paraId="5B819119" w14:textId="195C2F7A" w:rsidR="0056160D" w:rsidRDefault="005A161E">
                    <w:pPr>
                      <w:pStyle w:val="Referentiegegevenskop"/>
                    </w:pPr>
                    <w:r>
                      <w:t>Bijlage(n)</w:t>
                    </w:r>
                  </w:p>
                  <w:p w14:paraId="14A846C0" w14:textId="1B8E2BD7" w:rsidR="0056160D" w:rsidRDefault="0022330A">
                    <w:pPr>
                      <w:pStyle w:val="Referentiegegevens"/>
                    </w:pPr>
                    <w:r>
                      <w:t>3</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1F4B4780" wp14:editId="2602B944">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4DAD3BF8" w14:textId="77777777" w:rsidR="0056160D" w:rsidRDefault="005A161E">
                          <w:pPr>
                            <w:spacing w:line="240" w:lineRule="auto"/>
                          </w:pPr>
                          <w:r>
                            <w:rPr>
                              <w:noProof/>
                              <w:lang w:val="en-GB" w:eastAsia="en-GB"/>
                            </w:rPr>
                            <w:drawing>
                              <wp:inline distT="0" distB="0" distL="0" distR="0" wp14:anchorId="0234AB8C" wp14:editId="39A5C9AB">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F4B4780"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4DAD3BF8" w14:textId="77777777" w:rsidR="0056160D" w:rsidRDefault="005A161E">
                    <w:pPr>
                      <w:spacing w:line="240" w:lineRule="auto"/>
                    </w:pPr>
                    <w:r>
                      <w:rPr>
                        <w:noProof/>
                        <w:lang w:val="en-GB" w:eastAsia="en-GB"/>
                      </w:rPr>
                      <w:drawing>
                        <wp:inline distT="0" distB="0" distL="0" distR="0" wp14:anchorId="0234AB8C" wp14:editId="39A5C9AB">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518A2F48" wp14:editId="3D44C53B">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E40996E" w14:textId="77777777" w:rsidR="0056160D" w:rsidRDefault="005A161E">
                          <w:pPr>
                            <w:spacing w:line="240" w:lineRule="auto"/>
                          </w:pPr>
                          <w:r>
                            <w:rPr>
                              <w:noProof/>
                              <w:lang w:val="en-GB" w:eastAsia="en-GB"/>
                            </w:rPr>
                            <w:drawing>
                              <wp:inline distT="0" distB="0" distL="0" distR="0" wp14:anchorId="28366B40" wp14:editId="4ABD490C">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18A2F48"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4E40996E" w14:textId="77777777" w:rsidR="0056160D" w:rsidRDefault="005A161E">
                    <w:pPr>
                      <w:spacing w:line="240" w:lineRule="auto"/>
                    </w:pPr>
                    <w:r>
                      <w:rPr>
                        <w:noProof/>
                        <w:lang w:val="en-GB" w:eastAsia="en-GB"/>
                      </w:rPr>
                      <w:drawing>
                        <wp:inline distT="0" distB="0" distL="0" distR="0" wp14:anchorId="28366B40" wp14:editId="4ABD490C">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124F4DBD" wp14:editId="07661552">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1691DDFF" w14:textId="77777777" w:rsidR="0056160D" w:rsidRDefault="005A161E">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124F4DBD"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1691DDFF" w14:textId="77777777" w:rsidR="0056160D" w:rsidRDefault="005A161E">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724C8D1A" wp14:editId="7DCE25FD">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008A34DD" w14:textId="77777777" w:rsidR="005A161E" w:rsidRDefault="005A161E" w:rsidP="005A161E">
                          <w:r>
                            <w:t>De voorzitter van de Tweede Kamer</w:t>
                          </w:r>
                          <w:r>
                            <w:br/>
                            <w:t>der Staten-Generaal</w:t>
                          </w:r>
                          <w:r>
                            <w:br/>
                            <w:t>Postbus 20018</w:t>
                          </w:r>
                          <w:r>
                            <w:br/>
                            <w:t>2500 EA  DEN HAAG</w:t>
                          </w:r>
                        </w:p>
                        <w:p w14:paraId="55E7BD9F" w14:textId="77777777" w:rsidR="00A02D5A" w:rsidRDefault="00A02D5A"/>
                      </w:txbxContent>
                    </wps:txbx>
                    <wps:bodyPr vert="horz" wrap="square" lIns="0" tIns="0" rIns="0" bIns="0" anchor="t" anchorCtr="0"/>
                  </wps:wsp>
                </a:graphicData>
              </a:graphic>
            </wp:anchor>
          </w:drawing>
        </mc:Choice>
        <mc:Fallback>
          <w:pict>
            <v:shape w14:anchorId="724C8D1A"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008A34DD" w14:textId="77777777" w:rsidR="005A161E" w:rsidRDefault="005A161E" w:rsidP="005A161E">
                    <w:r>
                      <w:t>De voorzitter van de Tweede Kamer</w:t>
                    </w:r>
                    <w:r>
                      <w:br/>
                      <w:t>der Staten-Generaal</w:t>
                    </w:r>
                    <w:r>
                      <w:br/>
                      <w:t>Postbus 20018</w:t>
                    </w:r>
                    <w:r>
                      <w:br/>
                      <w:t>2500 EA  DEN HAAG</w:t>
                    </w:r>
                  </w:p>
                  <w:p w14:paraId="55E7BD9F" w14:textId="77777777" w:rsidR="00A02D5A" w:rsidRDefault="00A02D5A"/>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68944B60" wp14:editId="1C1C9471">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56160D" w14:paraId="55301C50" w14:textId="77777777">
                            <w:trPr>
                              <w:trHeight w:val="200"/>
                            </w:trPr>
                            <w:tc>
                              <w:tcPr>
                                <w:tcW w:w="1140" w:type="dxa"/>
                              </w:tcPr>
                              <w:p w14:paraId="77618F70" w14:textId="77777777" w:rsidR="0056160D" w:rsidRDefault="0056160D"/>
                            </w:tc>
                            <w:tc>
                              <w:tcPr>
                                <w:tcW w:w="5400" w:type="dxa"/>
                              </w:tcPr>
                              <w:p w14:paraId="74C8C4BA" w14:textId="77777777" w:rsidR="0056160D" w:rsidRDefault="0056160D"/>
                            </w:tc>
                          </w:tr>
                          <w:tr w:rsidR="0056160D" w14:paraId="0A046F7A" w14:textId="77777777">
                            <w:trPr>
                              <w:trHeight w:val="240"/>
                            </w:trPr>
                            <w:tc>
                              <w:tcPr>
                                <w:tcW w:w="1140" w:type="dxa"/>
                              </w:tcPr>
                              <w:p w14:paraId="31BB15EF" w14:textId="77777777" w:rsidR="0056160D" w:rsidRDefault="005A161E">
                                <w:r>
                                  <w:t>Datum</w:t>
                                </w:r>
                              </w:p>
                            </w:tc>
                            <w:tc>
                              <w:tcPr>
                                <w:tcW w:w="5400" w:type="dxa"/>
                              </w:tcPr>
                              <w:p w14:paraId="714548BD" w14:textId="5AAE3CA0" w:rsidR="0056160D" w:rsidRDefault="0073642C">
                                <w:r>
                                  <w:t>26 september 2025</w:t>
                                </w:r>
                              </w:p>
                            </w:tc>
                          </w:tr>
                          <w:tr w:rsidR="0056160D" w14:paraId="215E14FD" w14:textId="77777777">
                            <w:trPr>
                              <w:trHeight w:val="240"/>
                            </w:trPr>
                            <w:tc>
                              <w:tcPr>
                                <w:tcW w:w="1140" w:type="dxa"/>
                              </w:tcPr>
                              <w:p w14:paraId="673555B0" w14:textId="77777777" w:rsidR="0056160D" w:rsidRDefault="005A161E">
                                <w:r>
                                  <w:t>Betreft</w:t>
                                </w:r>
                              </w:p>
                            </w:tc>
                            <w:tc>
                              <w:tcPr>
                                <w:tcW w:w="5400" w:type="dxa"/>
                              </w:tcPr>
                              <w:p w14:paraId="04252DE3" w14:textId="1E0329F5" w:rsidR="0056160D" w:rsidRDefault="005A161E">
                                <w:r>
                                  <w:t xml:space="preserve">Nederlandse positie richting Europese Commissie over </w:t>
                                </w:r>
                                <w:r w:rsidR="00D6677C">
                                  <w:t>emissievrije</w:t>
                                </w:r>
                                <w:r>
                                  <w:t xml:space="preserve"> zakelijke voertuigen</w:t>
                                </w:r>
                              </w:p>
                            </w:tc>
                          </w:tr>
                          <w:tr w:rsidR="0056160D" w14:paraId="6EFBC341" w14:textId="77777777">
                            <w:trPr>
                              <w:trHeight w:val="200"/>
                            </w:trPr>
                            <w:tc>
                              <w:tcPr>
                                <w:tcW w:w="1140" w:type="dxa"/>
                              </w:tcPr>
                              <w:p w14:paraId="3157F83E" w14:textId="77777777" w:rsidR="0056160D" w:rsidRDefault="0056160D"/>
                            </w:tc>
                            <w:tc>
                              <w:tcPr>
                                <w:tcW w:w="5400" w:type="dxa"/>
                              </w:tcPr>
                              <w:p w14:paraId="16DB1D32" w14:textId="77777777" w:rsidR="0056160D" w:rsidRDefault="0056160D"/>
                            </w:tc>
                          </w:tr>
                        </w:tbl>
                        <w:p w14:paraId="4B7E8861" w14:textId="77777777" w:rsidR="00A02D5A" w:rsidRDefault="00A02D5A"/>
                      </w:txbxContent>
                    </wps:txbx>
                    <wps:bodyPr vert="horz" wrap="square" lIns="0" tIns="0" rIns="0" bIns="0" anchor="t" anchorCtr="0"/>
                  </wps:wsp>
                </a:graphicData>
              </a:graphic>
            </wp:anchor>
          </w:drawing>
        </mc:Choice>
        <mc:Fallback>
          <w:pict>
            <v:shape w14:anchorId="68944B60"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56160D" w14:paraId="55301C50" w14:textId="77777777">
                      <w:trPr>
                        <w:trHeight w:val="200"/>
                      </w:trPr>
                      <w:tc>
                        <w:tcPr>
                          <w:tcW w:w="1140" w:type="dxa"/>
                        </w:tcPr>
                        <w:p w14:paraId="77618F70" w14:textId="77777777" w:rsidR="0056160D" w:rsidRDefault="0056160D"/>
                      </w:tc>
                      <w:tc>
                        <w:tcPr>
                          <w:tcW w:w="5400" w:type="dxa"/>
                        </w:tcPr>
                        <w:p w14:paraId="74C8C4BA" w14:textId="77777777" w:rsidR="0056160D" w:rsidRDefault="0056160D"/>
                      </w:tc>
                    </w:tr>
                    <w:tr w:rsidR="0056160D" w14:paraId="0A046F7A" w14:textId="77777777">
                      <w:trPr>
                        <w:trHeight w:val="240"/>
                      </w:trPr>
                      <w:tc>
                        <w:tcPr>
                          <w:tcW w:w="1140" w:type="dxa"/>
                        </w:tcPr>
                        <w:p w14:paraId="31BB15EF" w14:textId="77777777" w:rsidR="0056160D" w:rsidRDefault="005A161E">
                          <w:r>
                            <w:t>Datum</w:t>
                          </w:r>
                        </w:p>
                      </w:tc>
                      <w:tc>
                        <w:tcPr>
                          <w:tcW w:w="5400" w:type="dxa"/>
                        </w:tcPr>
                        <w:p w14:paraId="714548BD" w14:textId="5AAE3CA0" w:rsidR="0056160D" w:rsidRDefault="0073642C">
                          <w:r>
                            <w:t>26 september 2025</w:t>
                          </w:r>
                        </w:p>
                      </w:tc>
                    </w:tr>
                    <w:tr w:rsidR="0056160D" w14:paraId="215E14FD" w14:textId="77777777">
                      <w:trPr>
                        <w:trHeight w:val="240"/>
                      </w:trPr>
                      <w:tc>
                        <w:tcPr>
                          <w:tcW w:w="1140" w:type="dxa"/>
                        </w:tcPr>
                        <w:p w14:paraId="673555B0" w14:textId="77777777" w:rsidR="0056160D" w:rsidRDefault="005A161E">
                          <w:r>
                            <w:t>Betreft</w:t>
                          </w:r>
                        </w:p>
                      </w:tc>
                      <w:tc>
                        <w:tcPr>
                          <w:tcW w:w="5400" w:type="dxa"/>
                        </w:tcPr>
                        <w:p w14:paraId="04252DE3" w14:textId="1E0329F5" w:rsidR="0056160D" w:rsidRDefault="005A161E">
                          <w:r>
                            <w:t xml:space="preserve">Nederlandse positie richting Europese Commissie over </w:t>
                          </w:r>
                          <w:r w:rsidR="00D6677C">
                            <w:t>emissievrije</w:t>
                          </w:r>
                          <w:r>
                            <w:t xml:space="preserve"> zakelijke voertuigen</w:t>
                          </w:r>
                        </w:p>
                      </w:tc>
                    </w:tr>
                    <w:tr w:rsidR="0056160D" w14:paraId="6EFBC341" w14:textId="77777777">
                      <w:trPr>
                        <w:trHeight w:val="200"/>
                      </w:trPr>
                      <w:tc>
                        <w:tcPr>
                          <w:tcW w:w="1140" w:type="dxa"/>
                        </w:tcPr>
                        <w:p w14:paraId="3157F83E" w14:textId="77777777" w:rsidR="0056160D" w:rsidRDefault="0056160D"/>
                      </w:tc>
                      <w:tc>
                        <w:tcPr>
                          <w:tcW w:w="5400" w:type="dxa"/>
                        </w:tcPr>
                        <w:p w14:paraId="16DB1D32" w14:textId="77777777" w:rsidR="0056160D" w:rsidRDefault="0056160D"/>
                      </w:tc>
                    </w:tr>
                  </w:tbl>
                  <w:p w14:paraId="4B7E8861" w14:textId="77777777" w:rsidR="00A02D5A" w:rsidRDefault="00A02D5A"/>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0F77827A" wp14:editId="76D54A79">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B5EE7FE" w14:textId="77777777" w:rsidR="00A02D5A" w:rsidRDefault="00A02D5A"/>
                      </w:txbxContent>
                    </wps:txbx>
                    <wps:bodyPr vert="horz" wrap="square" lIns="0" tIns="0" rIns="0" bIns="0" anchor="t" anchorCtr="0"/>
                  </wps:wsp>
                </a:graphicData>
              </a:graphic>
            </wp:anchor>
          </w:drawing>
        </mc:Choice>
        <mc:Fallback>
          <w:pict>
            <v:shape w14:anchorId="0F77827A"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2B5EE7FE" w14:textId="77777777" w:rsidR="00A02D5A" w:rsidRDefault="00A02D5A"/>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63CC296"/>
    <w:multiLevelType w:val="multilevel"/>
    <w:tmpl w:val="FB44225C"/>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B10793C"/>
    <w:multiLevelType w:val="multilevel"/>
    <w:tmpl w:val="D7330D75"/>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663A6AD"/>
    <w:multiLevelType w:val="multilevel"/>
    <w:tmpl w:val="48AA024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C0021462"/>
    <w:multiLevelType w:val="multilevel"/>
    <w:tmpl w:val="61709661"/>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190387C"/>
    <w:multiLevelType w:val="multilevel"/>
    <w:tmpl w:val="725B552C"/>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DE416A0"/>
    <w:multiLevelType w:val="multilevel"/>
    <w:tmpl w:val="491582B9"/>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4416E0B"/>
    <w:multiLevelType w:val="multilevel"/>
    <w:tmpl w:val="F8E6526B"/>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BDB26A1"/>
    <w:multiLevelType w:val="multilevel"/>
    <w:tmpl w:val="89417B59"/>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D8A430F"/>
    <w:multiLevelType w:val="multilevel"/>
    <w:tmpl w:val="88A91BB6"/>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F776530"/>
    <w:multiLevelType w:val="multilevel"/>
    <w:tmpl w:val="741259D5"/>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9A12040"/>
    <w:multiLevelType w:val="multilevel"/>
    <w:tmpl w:val="C3307D2D"/>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9B07DFB"/>
    <w:multiLevelType w:val="multilevel"/>
    <w:tmpl w:val="A9489926"/>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B079A00"/>
    <w:multiLevelType w:val="multilevel"/>
    <w:tmpl w:val="3FFCC9B7"/>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543D8F5"/>
    <w:multiLevelType w:val="multilevel"/>
    <w:tmpl w:val="8FCDD713"/>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92E7326"/>
    <w:multiLevelType w:val="multilevel"/>
    <w:tmpl w:val="3A7FF8B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5" w15:restartNumberingAfterBreak="0">
    <w:nsid w:val="268F6581"/>
    <w:multiLevelType w:val="multilevel"/>
    <w:tmpl w:val="EFD53D34"/>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E182156"/>
    <w:multiLevelType w:val="multilevel"/>
    <w:tmpl w:val="9699820C"/>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377D316"/>
    <w:multiLevelType w:val="multilevel"/>
    <w:tmpl w:val="8274BF5B"/>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BFB5ED1"/>
    <w:multiLevelType w:val="multilevel"/>
    <w:tmpl w:val="39285310"/>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7864848"/>
    <w:multiLevelType w:val="multilevel"/>
    <w:tmpl w:val="467C5575"/>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8DFAD24"/>
    <w:multiLevelType w:val="multilevel"/>
    <w:tmpl w:val="67E10230"/>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F770968"/>
    <w:multiLevelType w:val="multilevel"/>
    <w:tmpl w:val="A5C6966B"/>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F5992AF"/>
    <w:multiLevelType w:val="multilevel"/>
    <w:tmpl w:val="BE49D456"/>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19"/>
  </w:num>
  <w:num w:numId="3">
    <w:abstractNumId w:val="3"/>
  </w:num>
  <w:num w:numId="4">
    <w:abstractNumId w:val="15"/>
  </w:num>
  <w:num w:numId="5">
    <w:abstractNumId w:val="2"/>
  </w:num>
  <w:num w:numId="6">
    <w:abstractNumId w:val="0"/>
  </w:num>
  <w:num w:numId="7">
    <w:abstractNumId w:val="1"/>
  </w:num>
  <w:num w:numId="8">
    <w:abstractNumId w:val="8"/>
  </w:num>
  <w:num w:numId="9">
    <w:abstractNumId w:val="7"/>
  </w:num>
  <w:num w:numId="10">
    <w:abstractNumId w:val="5"/>
  </w:num>
  <w:num w:numId="11">
    <w:abstractNumId w:val="16"/>
  </w:num>
  <w:num w:numId="12">
    <w:abstractNumId w:val="14"/>
  </w:num>
  <w:num w:numId="13">
    <w:abstractNumId w:val="12"/>
  </w:num>
  <w:num w:numId="14">
    <w:abstractNumId w:val="4"/>
  </w:num>
  <w:num w:numId="15">
    <w:abstractNumId w:val="17"/>
  </w:num>
  <w:num w:numId="16">
    <w:abstractNumId w:val="20"/>
  </w:num>
  <w:num w:numId="17">
    <w:abstractNumId w:val="18"/>
  </w:num>
  <w:num w:numId="18">
    <w:abstractNumId w:val="10"/>
  </w:num>
  <w:num w:numId="19">
    <w:abstractNumId w:val="9"/>
  </w:num>
  <w:num w:numId="20">
    <w:abstractNumId w:val="11"/>
  </w:num>
  <w:num w:numId="21">
    <w:abstractNumId w:val="21"/>
  </w:num>
  <w:num w:numId="22">
    <w:abstractNumId w:val="22"/>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EF7"/>
    <w:rsid w:val="00037821"/>
    <w:rsid w:val="00055733"/>
    <w:rsid w:val="00070CAA"/>
    <w:rsid w:val="00074424"/>
    <w:rsid w:val="000D16BC"/>
    <w:rsid w:val="000F67C7"/>
    <w:rsid w:val="0011164C"/>
    <w:rsid w:val="00114CF0"/>
    <w:rsid w:val="00121D01"/>
    <w:rsid w:val="00121F04"/>
    <w:rsid w:val="001534D5"/>
    <w:rsid w:val="001563C6"/>
    <w:rsid w:val="0017648E"/>
    <w:rsid w:val="0019450F"/>
    <w:rsid w:val="001A7CA2"/>
    <w:rsid w:val="001F2D56"/>
    <w:rsid w:val="001F5DCF"/>
    <w:rsid w:val="00221C7A"/>
    <w:rsid w:val="0022330A"/>
    <w:rsid w:val="002354D6"/>
    <w:rsid w:val="00242B5D"/>
    <w:rsid w:val="00251042"/>
    <w:rsid w:val="0027130A"/>
    <w:rsid w:val="00271B70"/>
    <w:rsid w:val="0028463F"/>
    <w:rsid w:val="002A135D"/>
    <w:rsid w:val="002B4781"/>
    <w:rsid w:val="002F734F"/>
    <w:rsid w:val="0030785C"/>
    <w:rsid w:val="00325E57"/>
    <w:rsid w:val="00352760"/>
    <w:rsid w:val="00380AF8"/>
    <w:rsid w:val="00390669"/>
    <w:rsid w:val="003A4409"/>
    <w:rsid w:val="00424652"/>
    <w:rsid w:val="00435C37"/>
    <w:rsid w:val="004400D0"/>
    <w:rsid w:val="004A39D1"/>
    <w:rsid w:val="004B4BD2"/>
    <w:rsid w:val="004B53F4"/>
    <w:rsid w:val="004B5EF7"/>
    <w:rsid w:val="004C4EA6"/>
    <w:rsid w:val="005429D9"/>
    <w:rsid w:val="005509A7"/>
    <w:rsid w:val="0056160D"/>
    <w:rsid w:val="0059109A"/>
    <w:rsid w:val="005A161E"/>
    <w:rsid w:val="00630E63"/>
    <w:rsid w:val="006358DA"/>
    <w:rsid w:val="00674809"/>
    <w:rsid w:val="00682C7A"/>
    <w:rsid w:val="006B45CA"/>
    <w:rsid w:val="006C2320"/>
    <w:rsid w:val="006E568D"/>
    <w:rsid w:val="00720A7A"/>
    <w:rsid w:val="0073050B"/>
    <w:rsid w:val="0073642C"/>
    <w:rsid w:val="00751A3B"/>
    <w:rsid w:val="007649A4"/>
    <w:rsid w:val="0076765C"/>
    <w:rsid w:val="007709B1"/>
    <w:rsid w:val="007749BB"/>
    <w:rsid w:val="00790E0A"/>
    <w:rsid w:val="007A41B7"/>
    <w:rsid w:val="007C3692"/>
    <w:rsid w:val="00806A72"/>
    <w:rsid w:val="008157A0"/>
    <w:rsid w:val="008219F9"/>
    <w:rsid w:val="008414DD"/>
    <w:rsid w:val="00876B84"/>
    <w:rsid w:val="008804FA"/>
    <w:rsid w:val="00881641"/>
    <w:rsid w:val="008A4771"/>
    <w:rsid w:val="008B6682"/>
    <w:rsid w:val="008C2C84"/>
    <w:rsid w:val="008C35A1"/>
    <w:rsid w:val="008C3936"/>
    <w:rsid w:val="008C4632"/>
    <w:rsid w:val="008D486D"/>
    <w:rsid w:val="008D78A3"/>
    <w:rsid w:val="009054BF"/>
    <w:rsid w:val="00976A7D"/>
    <w:rsid w:val="00996B2C"/>
    <w:rsid w:val="009A7D43"/>
    <w:rsid w:val="00A02D5A"/>
    <w:rsid w:val="00A06584"/>
    <w:rsid w:val="00AB0D31"/>
    <w:rsid w:val="00AC38AF"/>
    <w:rsid w:val="00AD7961"/>
    <w:rsid w:val="00B33CAD"/>
    <w:rsid w:val="00B439FD"/>
    <w:rsid w:val="00B61ECD"/>
    <w:rsid w:val="00B72460"/>
    <w:rsid w:val="00B80051"/>
    <w:rsid w:val="00B93783"/>
    <w:rsid w:val="00BA2BF3"/>
    <w:rsid w:val="00BC51D9"/>
    <w:rsid w:val="00BD76DC"/>
    <w:rsid w:val="00BE32ED"/>
    <w:rsid w:val="00BF0F4E"/>
    <w:rsid w:val="00C16075"/>
    <w:rsid w:val="00C17FA4"/>
    <w:rsid w:val="00C85AD0"/>
    <w:rsid w:val="00CA61B7"/>
    <w:rsid w:val="00CC323C"/>
    <w:rsid w:val="00D16FAC"/>
    <w:rsid w:val="00D222AF"/>
    <w:rsid w:val="00D663A7"/>
    <w:rsid w:val="00D6677C"/>
    <w:rsid w:val="00D74181"/>
    <w:rsid w:val="00DC0176"/>
    <w:rsid w:val="00DD51CA"/>
    <w:rsid w:val="00DE6F0C"/>
    <w:rsid w:val="00DF4EA2"/>
    <w:rsid w:val="00E270E9"/>
    <w:rsid w:val="00E501A5"/>
    <w:rsid w:val="00E514E2"/>
    <w:rsid w:val="00E90AD5"/>
    <w:rsid w:val="00E94175"/>
    <w:rsid w:val="00E9649F"/>
    <w:rsid w:val="00EA2B13"/>
    <w:rsid w:val="00EB3A90"/>
    <w:rsid w:val="00EC2621"/>
    <w:rsid w:val="00F52EAB"/>
    <w:rsid w:val="00F55B65"/>
    <w:rsid w:val="00F55E1A"/>
    <w:rsid w:val="00F748F1"/>
    <w:rsid w:val="00F80B77"/>
    <w:rsid w:val="00FB4140"/>
    <w:rsid w:val="00FE2C0D"/>
    <w:rsid w:val="00FF32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615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4B5EF7"/>
    <w:pPr>
      <w:tabs>
        <w:tab w:val="center" w:pos="4536"/>
        <w:tab w:val="right" w:pos="9072"/>
      </w:tabs>
      <w:spacing w:line="240" w:lineRule="auto"/>
    </w:pPr>
  </w:style>
  <w:style w:type="character" w:customStyle="1" w:styleId="HeaderChar">
    <w:name w:val="Header Char"/>
    <w:basedOn w:val="DefaultParagraphFont"/>
    <w:link w:val="Header"/>
    <w:uiPriority w:val="99"/>
    <w:rsid w:val="004B5EF7"/>
    <w:rPr>
      <w:rFonts w:ascii="Verdana" w:hAnsi="Verdana"/>
      <w:color w:val="000000"/>
      <w:sz w:val="18"/>
      <w:szCs w:val="18"/>
    </w:rPr>
  </w:style>
  <w:style w:type="paragraph" w:styleId="Footer">
    <w:name w:val="footer"/>
    <w:basedOn w:val="Normal"/>
    <w:link w:val="FooterChar"/>
    <w:uiPriority w:val="99"/>
    <w:unhideWhenUsed/>
    <w:rsid w:val="004B5EF7"/>
    <w:pPr>
      <w:tabs>
        <w:tab w:val="center" w:pos="4536"/>
        <w:tab w:val="right" w:pos="9072"/>
      </w:tabs>
      <w:spacing w:line="240" w:lineRule="auto"/>
    </w:pPr>
  </w:style>
  <w:style w:type="character" w:customStyle="1" w:styleId="FooterChar">
    <w:name w:val="Footer Char"/>
    <w:basedOn w:val="DefaultParagraphFont"/>
    <w:link w:val="Footer"/>
    <w:uiPriority w:val="99"/>
    <w:rsid w:val="004B5EF7"/>
    <w:rPr>
      <w:rFonts w:ascii="Verdana" w:hAnsi="Verdana"/>
      <w:color w:val="000000"/>
      <w:sz w:val="18"/>
      <w:szCs w:val="18"/>
    </w:rPr>
  </w:style>
  <w:style w:type="character" w:styleId="CommentReference">
    <w:name w:val="annotation reference"/>
    <w:basedOn w:val="DefaultParagraphFont"/>
    <w:uiPriority w:val="99"/>
    <w:semiHidden/>
    <w:unhideWhenUsed/>
    <w:rsid w:val="00251042"/>
    <w:rPr>
      <w:sz w:val="16"/>
      <w:szCs w:val="16"/>
    </w:rPr>
  </w:style>
  <w:style w:type="paragraph" w:styleId="CommentText">
    <w:name w:val="annotation text"/>
    <w:basedOn w:val="Normal"/>
    <w:link w:val="CommentTextChar"/>
    <w:uiPriority w:val="99"/>
    <w:unhideWhenUsed/>
    <w:rsid w:val="00251042"/>
    <w:pPr>
      <w:spacing w:line="240" w:lineRule="auto"/>
    </w:pPr>
    <w:rPr>
      <w:sz w:val="20"/>
      <w:szCs w:val="20"/>
    </w:rPr>
  </w:style>
  <w:style w:type="character" w:customStyle="1" w:styleId="CommentTextChar">
    <w:name w:val="Comment Text Char"/>
    <w:basedOn w:val="DefaultParagraphFont"/>
    <w:link w:val="CommentText"/>
    <w:uiPriority w:val="99"/>
    <w:rsid w:val="00251042"/>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251042"/>
    <w:rPr>
      <w:b/>
      <w:bCs/>
    </w:rPr>
  </w:style>
  <w:style w:type="character" w:customStyle="1" w:styleId="CommentSubjectChar">
    <w:name w:val="Comment Subject Char"/>
    <w:basedOn w:val="CommentTextChar"/>
    <w:link w:val="CommentSubject"/>
    <w:uiPriority w:val="99"/>
    <w:semiHidden/>
    <w:rsid w:val="00251042"/>
    <w:rPr>
      <w:rFonts w:ascii="Verdana" w:hAnsi="Verdana"/>
      <w:b/>
      <w:bCs/>
      <w:color w:val="000000"/>
    </w:rPr>
  </w:style>
  <w:style w:type="paragraph" w:styleId="FootnoteText">
    <w:name w:val="footnote text"/>
    <w:basedOn w:val="Normal"/>
    <w:link w:val="FootnoteTextChar"/>
    <w:uiPriority w:val="99"/>
    <w:semiHidden/>
    <w:unhideWhenUsed/>
    <w:rsid w:val="00251042"/>
    <w:pPr>
      <w:spacing w:line="240" w:lineRule="auto"/>
    </w:pPr>
    <w:rPr>
      <w:sz w:val="20"/>
      <w:szCs w:val="20"/>
    </w:rPr>
  </w:style>
  <w:style w:type="character" w:customStyle="1" w:styleId="FootnoteTextChar">
    <w:name w:val="Footnote Text Char"/>
    <w:basedOn w:val="DefaultParagraphFont"/>
    <w:link w:val="FootnoteText"/>
    <w:uiPriority w:val="99"/>
    <w:semiHidden/>
    <w:rsid w:val="00251042"/>
    <w:rPr>
      <w:rFonts w:ascii="Verdana" w:hAnsi="Verdana"/>
      <w:color w:val="000000"/>
    </w:rPr>
  </w:style>
  <w:style w:type="character" w:styleId="FootnoteReference">
    <w:name w:val="footnote reference"/>
    <w:basedOn w:val="DefaultParagraphFont"/>
    <w:uiPriority w:val="99"/>
    <w:semiHidden/>
    <w:unhideWhenUsed/>
    <w:rsid w:val="00251042"/>
    <w:rPr>
      <w:vertAlign w:val="superscript"/>
    </w:rPr>
  </w:style>
  <w:style w:type="paragraph" w:styleId="Revision">
    <w:name w:val="Revision"/>
    <w:hidden/>
    <w:uiPriority w:val="99"/>
    <w:semiHidden/>
    <w:rsid w:val="00E9649F"/>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562029">
      <w:bodyDiv w:val="1"/>
      <w:marLeft w:val="0"/>
      <w:marRight w:val="0"/>
      <w:marTop w:val="0"/>
      <w:marBottom w:val="0"/>
      <w:divBdr>
        <w:top w:val="none" w:sz="0" w:space="0" w:color="auto"/>
        <w:left w:val="none" w:sz="0" w:space="0" w:color="auto"/>
        <w:bottom w:val="none" w:sz="0" w:space="0" w:color="auto"/>
        <w:right w:val="none" w:sz="0" w:space="0" w:color="auto"/>
      </w:divBdr>
    </w:div>
    <w:div w:id="807168610">
      <w:bodyDiv w:val="1"/>
      <w:marLeft w:val="0"/>
      <w:marRight w:val="0"/>
      <w:marTop w:val="0"/>
      <w:marBottom w:val="0"/>
      <w:divBdr>
        <w:top w:val="none" w:sz="0" w:space="0" w:color="auto"/>
        <w:left w:val="none" w:sz="0" w:space="0" w:color="auto"/>
        <w:bottom w:val="none" w:sz="0" w:space="0" w:color="auto"/>
        <w:right w:val="none" w:sz="0" w:space="0" w:color="auto"/>
      </w:divBdr>
    </w:div>
    <w:div w:id="855315179">
      <w:bodyDiv w:val="1"/>
      <w:marLeft w:val="0"/>
      <w:marRight w:val="0"/>
      <w:marTop w:val="0"/>
      <w:marBottom w:val="0"/>
      <w:divBdr>
        <w:top w:val="none" w:sz="0" w:space="0" w:color="auto"/>
        <w:left w:val="none" w:sz="0" w:space="0" w:color="auto"/>
        <w:bottom w:val="none" w:sz="0" w:space="0" w:color="auto"/>
        <w:right w:val="none" w:sz="0" w:space="0" w:color="auto"/>
      </w:divBdr>
    </w:div>
    <w:div w:id="12064825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1375</ap:Words>
  <ap:Characters>7841</ap:Characters>
  <ap:DocSecurity>0</ap:DocSecurity>
  <ap:Lines>65</ap:Lines>
  <ap:Paragraphs>18</ap:Paragraphs>
  <ap:ScaleCrop>false</ap:ScaleCrop>
  <ap:HeadingPairs>
    <vt:vector baseType="variant" size="2">
      <vt:variant>
        <vt:lpstr>Titel</vt:lpstr>
      </vt:variant>
      <vt:variant>
        <vt:i4>1</vt:i4>
      </vt:variant>
    </vt:vector>
  </ap:HeadingPairs>
  <ap:TitlesOfParts>
    <vt:vector baseType="lpstr" size="1">
      <vt:lpstr>Brief aan Parlement - Nederlandse positie richting Europese Commissie over schone zakelijke voertuigen</vt:lpstr>
    </vt:vector>
  </ap:TitlesOfParts>
  <ap:LinksUpToDate>false</ap:LinksUpToDate>
  <ap:CharactersWithSpaces>9198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2025-09-26T10:57:00.0000000Z</dcterms:created>
  <dcterms:modified xsi:type="dcterms:W3CDTF">2025-09-26T10:57:00.0000000Z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Nederlandse positie richting Europese Commissie over schone zakelijke voertuigen</vt:lpwstr>
  </property>
  <property fmtid="{D5CDD505-2E9C-101B-9397-08002B2CF9AE}" pid="5" name="Publicatiedatum">
    <vt:lpwstr/>
  </property>
  <property fmtid="{D5CDD505-2E9C-101B-9397-08002B2CF9AE}" pid="6" name="Verantwoordelijke organisatie">
    <vt:lpwstr>Dir.Duurzame Mobiliteit</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MA A.G. Verhoeff</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