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7C2F" w:rsidR="00A20612" w:rsidRDefault="001856D0" w14:paraId="326254E4" w14:textId="77777777">
      <w:pPr>
        <w:autoSpaceDE w:val="0"/>
        <w:autoSpaceDN w:val="0"/>
        <w:adjustRightInd w:val="0"/>
        <w:spacing w:before="0" w:after="0"/>
        <w:ind w:left="1416" w:hanging="1371"/>
        <w:rPr>
          <w:b/>
          <w:bCs/>
          <w:sz w:val="23"/>
          <w:szCs w:val="23"/>
        </w:rPr>
      </w:pPr>
      <w:r w:rsidRPr="00467C2F">
        <w:rPr>
          <w:b/>
          <w:bCs/>
          <w:sz w:val="23"/>
          <w:szCs w:val="23"/>
        </w:rPr>
        <w:t>36820-XVII</w:t>
      </w:r>
      <w:r w:rsidRPr="00467C2F">
        <w:rPr>
          <w:b/>
          <w:bCs/>
          <w:sz w:val="23"/>
          <w:szCs w:val="23"/>
        </w:rPr>
        <w:tab/>
        <w:t>Wijziging van de begrotingsstaat voor Buitenlandse Handel en Ontwikkelingshulp (XVII) voor het jaar 2025 (wijziging samenhangende met de Miljoenennota)</w:t>
      </w:r>
    </w:p>
    <w:p w:rsidRPr="00467C2F" w:rsidR="00A20612" w:rsidRDefault="00A20612" w14:paraId="015F8A78" w14:textId="77777777">
      <w:pPr>
        <w:autoSpaceDE w:val="0"/>
        <w:autoSpaceDN w:val="0"/>
        <w:adjustRightInd w:val="0"/>
        <w:spacing w:before="0" w:after="0"/>
        <w:ind w:left="1416" w:hanging="1371"/>
        <w:rPr>
          <w:b/>
        </w:rPr>
      </w:pPr>
    </w:p>
    <w:p w:rsidRPr="00467C2F" w:rsidR="00A20612" w:rsidRDefault="001856D0" w14:paraId="494FD6B0" w14:textId="77777777">
      <w:pPr>
        <w:rPr>
          <w:b/>
        </w:rPr>
      </w:pPr>
      <w:r w:rsidRPr="00467C2F">
        <w:rPr>
          <w:b/>
        </w:rPr>
        <w:t xml:space="preserve">nr. </w:t>
      </w:r>
      <w:r w:rsidRPr="00467C2F">
        <w:rPr>
          <w:b/>
        </w:rPr>
        <w:tab/>
      </w:r>
      <w:r w:rsidRPr="00467C2F">
        <w:rPr>
          <w:b/>
        </w:rPr>
        <w:tab/>
        <w:t>Lijst van vragen en antwoorden</w:t>
      </w:r>
    </w:p>
    <w:p w:rsidRPr="00467C2F" w:rsidR="00A20612" w:rsidRDefault="001856D0" w14:paraId="16EC0784" w14:textId="77777777">
      <w:r w:rsidRPr="00467C2F">
        <w:tab/>
      </w:r>
      <w:r w:rsidRPr="00467C2F">
        <w:tab/>
      </w:r>
    </w:p>
    <w:p w:rsidRPr="00467C2F" w:rsidR="00A20612" w:rsidRDefault="001856D0" w14:paraId="77E90F44" w14:textId="77777777">
      <w:pPr>
        <w:ind w:left="702" w:firstLine="708"/>
        <w:rPr>
          <w:i/>
        </w:rPr>
      </w:pPr>
      <w:r w:rsidRPr="00467C2F">
        <w:t xml:space="preserve">Vastgesteld </w:t>
      </w:r>
      <w:r w:rsidRPr="00467C2F">
        <w:rPr>
          <w:i/>
        </w:rPr>
        <w:t>(wordt door griffie ingevuld als antwoorden er zijn)</w:t>
      </w:r>
    </w:p>
    <w:p w:rsidRPr="00467C2F" w:rsidR="00A20612" w:rsidRDefault="001856D0" w14:paraId="42FBAC5F" w14:textId="20B48F18">
      <w:pPr>
        <w:ind w:left="1410"/>
      </w:pPr>
      <w:r w:rsidRPr="00467C2F">
        <w:t>De vaste commissie voor</w:t>
      </w:r>
      <w:r w:rsidRPr="00467C2F" w:rsidR="00653A36">
        <w:t xml:space="preserve"> Buitenlandse Handel en Ontwikkelingshulp</w:t>
      </w:r>
      <w:r w:rsidRPr="00467C2F">
        <w:t xml:space="preserve"> heeft een aantal vragen voorgelegd aan de </w:t>
      </w:r>
      <w:r w:rsidRPr="00467C2F" w:rsidR="00653A36">
        <w:t xml:space="preserve">minister van Buitenlandse Zaken </w:t>
      </w:r>
      <w:r w:rsidRPr="00467C2F">
        <w:t>inzak</w:t>
      </w:r>
      <w:r w:rsidRPr="00467C2F" w:rsidR="00653A36">
        <w:t>e</w:t>
      </w:r>
      <w:r w:rsidRPr="00467C2F">
        <w:t xml:space="preserve"> de </w:t>
      </w:r>
      <w:r w:rsidRPr="00467C2F">
        <w:rPr>
          <w:b/>
        </w:rPr>
        <w:t>Wijziging van de begrotingsstaat voor Buitenlandse Handel en Ontwikkelingshulp (XVII) voor het jaar 2025 (wijziging samenhangende met de Miljoenennota)</w:t>
      </w:r>
      <w:r w:rsidRPr="00467C2F">
        <w:t xml:space="preserve"> (</w:t>
      </w:r>
      <w:r w:rsidRPr="00467C2F">
        <w:rPr>
          <w:b/>
        </w:rPr>
        <w:t>36820-XVII</w:t>
      </w:r>
      <w:r w:rsidRPr="00467C2F">
        <w:t xml:space="preserve">, nr. </w:t>
      </w:r>
      <w:r w:rsidRPr="00467C2F">
        <w:rPr>
          <w:b/>
        </w:rPr>
        <w:t>1-2</w:t>
      </w:r>
      <w:r w:rsidRPr="00467C2F">
        <w:t>).</w:t>
      </w:r>
    </w:p>
    <w:p w:rsidRPr="00467C2F" w:rsidR="00A20612" w:rsidRDefault="001856D0" w14:paraId="4C109E57" w14:textId="77777777">
      <w:pPr>
        <w:ind w:left="1410"/>
      </w:pPr>
      <w:r w:rsidRPr="00467C2F">
        <w:t>De daarop door de XXX gegeven antwoorden zijn hierbij afgedrukt.</w:t>
      </w:r>
    </w:p>
    <w:p w:rsidRPr="00467C2F" w:rsidR="00A20612" w:rsidRDefault="00A20612" w14:paraId="349743AD" w14:textId="77777777">
      <w:pPr>
        <w:spacing w:before="0" w:after="0"/>
      </w:pPr>
    </w:p>
    <w:p w:rsidRPr="00467C2F" w:rsidR="00A20612" w:rsidRDefault="00653A36" w14:paraId="2A0C160C" w14:textId="53A58F0F">
      <w:pPr>
        <w:spacing w:before="0" w:after="0"/>
        <w:ind w:left="703" w:firstLine="709"/>
      </w:pPr>
      <w:r w:rsidRPr="00467C2F">
        <w:t xml:space="preserve">Fungerend </w:t>
      </w:r>
      <w:r w:rsidRPr="00467C2F" w:rsidR="001856D0">
        <w:t xml:space="preserve">Voorzitter van de commissie, </w:t>
      </w:r>
    </w:p>
    <w:p w:rsidRPr="00467C2F" w:rsidR="00A20612" w:rsidRDefault="001856D0" w14:paraId="2CB687CD" w14:textId="0FB4D095">
      <w:pPr>
        <w:spacing w:before="0" w:after="0"/>
      </w:pPr>
      <w:r w:rsidRPr="00467C2F">
        <w:tab/>
      </w:r>
      <w:r w:rsidRPr="00467C2F">
        <w:tab/>
      </w:r>
      <w:r w:rsidRPr="00467C2F" w:rsidR="00653A36">
        <w:t>Klaver</w:t>
      </w:r>
    </w:p>
    <w:p w:rsidRPr="00467C2F" w:rsidR="00A20612" w:rsidRDefault="001856D0" w14:paraId="71849B36" w14:textId="77777777">
      <w:pPr>
        <w:spacing w:before="0" w:after="0"/>
      </w:pPr>
      <w:r w:rsidRPr="00467C2F">
        <w:tab/>
      </w:r>
      <w:r w:rsidRPr="00467C2F">
        <w:tab/>
      </w:r>
    </w:p>
    <w:p w:rsidRPr="00467C2F" w:rsidR="00A20612" w:rsidRDefault="001856D0" w14:paraId="07435B5C" w14:textId="00D4F67F">
      <w:pPr>
        <w:spacing w:before="0" w:after="0"/>
      </w:pPr>
      <w:r w:rsidRPr="00467C2F">
        <w:tab/>
      </w:r>
      <w:r w:rsidRPr="00467C2F" w:rsidR="00653A36">
        <w:t xml:space="preserve">              Adjunct-g</w:t>
      </w:r>
      <w:r w:rsidRPr="00467C2F">
        <w:t>riffier van de commissie,</w:t>
      </w:r>
    </w:p>
    <w:p w:rsidRPr="00467C2F" w:rsidR="00A20612" w:rsidRDefault="001856D0" w14:paraId="3E148BE6" w14:textId="062E34DD">
      <w:pPr>
        <w:spacing w:before="0" w:after="0"/>
      </w:pPr>
      <w:r w:rsidRPr="00467C2F">
        <w:tab/>
      </w:r>
      <w:r w:rsidRPr="00467C2F">
        <w:tab/>
      </w:r>
      <w:r w:rsidRPr="00467C2F" w:rsidR="00653A36">
        <w:t xml:space="preserve">Prenger </w:t>
      </w:r>
    </w:p>
    <w:p w:rsidRPr="00467C2F" w:rsidR="00A20612" w:rsidRDefault="00A20612" w14:paraId="3547C83A" w14:textId="77777777"/>
    <w:tbl>
      <w:tblPr>
        <w:tblW w:w="8647" w:type="dxa"/>
        <w:tblLayout w:type="fixed"/>
        <w:tblCellMar>
          <w:left w:w="0" w:type="dxa"/>
          <w:right w:w="0" w:type="dxa"/>
        </w:tblCellMar>
        <w:tblLook w:val="0000" w:firstRow="0" w:lastRow="0" w:firstColumn="0" w:lastColumn="0" w:noHBand="0" w:noVBand="0"/>
      </w:tblPr>
      <w:tblGrid>
        <w:gridCol w:w="567"/>
        <w:gridCol w:w="7083"/>
        <w:gridCol w:w="430"/>
        <w:gridCol w:w="567"/>
      </w:tblGrid>
      <w:tr w:rsidRPr="00467C2F" w:rsidR="004C460D" w:rsidTr="00CA32BB" w14:paraId="11CBA147" w14:textId="77777777">
        <w:trPr>
          <w:cantSplit/>
        </w:trPr>
        <w:tc>
          <w:tcPr>
            <w:tcW w:w="567" w:type="dxa"/>
          </w:tcPr>
          <w:p w:rsidRPr="00467C2F" w:rsidR="004C460D" w:rsidRDefault="004C460D" w14:paraId="1DD93276" w14:textId="77777777">
            <w:bookmarkStart w:name="bmkStartTabel" w:id="0"/>
            <w:bookmarkEnd w:id="0"/>
            <w:proofErr w:type="spellStart"/>
            <w:r w:rsidRPr="00467C2F">
              <w:t>Nr</w:t>
            </w:r>
            <w:proofErr w:type="spellEnd"/>
          </w:p>
        </w:tc>
        <w:tc>
          <w:tcPr>
            <w:tcW w:w="7083" w:type="dxa"/>
          </w:tcPr>
          <w:p w:rsidRPr="00467C2F" w:rsidR="004C460D" w:rsidRDefault="004C460D" w14:paraId="3071A718" w14:textId="77777777">
            <w:r w:rsidRPr="00467C2F">
              <w:t>Vraag</w:t>
            </w:r>
          </w:p>
        </w:tc>
        <w:tc>
          <w:tcPr>
            <w:tcW w:w="430" w:type="dxa"/>
          </w:tcPr>
          <w:p w:rsidRPr="00467C2F" w:rsidR="004C460D" w:rsidP="00E7153D" w:rsidRDefault="004C460D" w14:paraId="697260EF" w14:textId="77777777">
            <w:pPr>
              <w:jc w:val="right"/>
            </w:pPr>
            <w:r w:rsidRPr="00467C2F">
              <w:t>Blz. (van)</w:t>
            </w:r>
          </w:p>
        </w:tc>
        <w:tc>
          <w:tcPr>
            <w:tcW w:w="567" w:type="dxa"/>
          </w:tcPr>
          <w:p w:rsidRPr="00467C2F" w:rsidR="004C460D" w:rsidP="00E7153D" w:rsidRDefault="004C460D" w14:paraId="63FD91B4" w14:textId="77777777">
            <w:pPr>
              <w:jc w:val="center"/>
            </w:pPr>
            <w:r w:rsidRPr="00467C2F">
              <w:t>t/m</w:t>
            </w:r>
          </w:p>
        </w:tc>
      </w:tr>
      <w:tr w:rsidRPr="00467C2F" w:rsidR="004C460D" w:rsidTr="00CA32BB" w14:paraId="6A48821F" w14:textId="77777777">
        <w:tc>
          <w:tcPr>
            <w:tcW w:w="567" w:type="dxa"/>
          </w:tcPr>
          <w:p w:rsidRPr="00467C2F" w:rsidR="004C460D" w:rsidRDefault="004C460D" w14:paraId="4BF6D013" w14:textId="77777777">
            <w:r w:rsidRPr="00467C2F">
              <w:t>1</w:t>
            </w:r>
          </w:p>
        </w:tc>
        <w:tc>
          <w:tcPr>
            <w:tcW w:w="7083" w:type="dxa"/>
          </w:tcPr>
          <w:p w:rsidRPr="00467C2F" w:rsidR="004C460D" w:rsidRDefault="004C460D" w14:paraId="1545BE7F" w14:textId="7C0403CE">
            <w:r w:rsidRPr="00467C2F">
              <w:t>Hoe groot is het aandeel van de wederuitvoer in de totale goederenexport naar landen als Duitsland, Frankrijk en België en welk deel daarvan is afkomstig van buitenlandse bedrijven?</w:t>
            </w:r>
          </w:p>
          <w:p w:rsidRPr="00467C2F" w:rsidR="004C460D" w:rsidP="007E1626" w:rsidRDefault="004C460D" w14:paraId="2FA9CCDA" w14:textId="77777777">
            <w:r w:rsidRPr="00467C2F">
              <w:rPr>
                <w:b/>
                <w:bCs/>
              </w:rPr>
              <w:t>Antwoord</w:t>
            </w:r>
            <w:r w:rsidRPr="00467C2F">
              <w:t>:</w:t>
            </w:r>
          </w:p>
          <w:p w:rsidRPr="00467C2F" w:rsidR="004C460D" w:rsidP="00D960EA" w:rsidRDefault="004C460D" w14:paraId="1DA89B18" w14:textId="77777777">
            <w:pPr>
              <w:rPr>
                <w:b/>
                <w:bCs/>
              </w:rPr>
            </w:pPr>
            <w:r w:rsidRPr="00467C2F">
              <w:rPr>
                <w:b/>
                <w:bCs/>
              </w:rPr>
              <w:t>De publicatie Nederland Handelsland 2025 bevat cijfers over de goederenexport in 2024 naar specifieke landen. Hieronder is de goederenexport naar Duitsland, België en Frankrijk uitgesplitst naar wederuitvoer en uitvoer van Nederlandse makelij:</w:t>
            </w:r>
          </w:p>
          <w:p w:rsidRPr="00467C2F" w:rsidR="004C460D" w:rsidP="00D960EA" w:rsidRDefault="004C460D" w14:paraId="6852B99D" w14:textId="77777777">
            <w:pPr>
              <w:numPr>
                <w:ilvl w:val="0"/>
                <w:numId w:val="3"/>
              </w:numPr>
              <w:rPr>
                <w:b/>
                <w:bCs/>
              </w:rPr>
            </w:pPr>
            <w:r w:rsidRPr="00467C2F">
              <w:rPr>
                <w:b/>
                <w:bCs/>
              </w:rPr>
              <w:t>Duitsland: EUR 147,2 miljard totaal, EUR 88,41 miljard (60%) is wederuitvoer en EUR 58,79 miljard (40%) uitvoer van NL makelij.</w:t>
            </w:r>
          </w:p>
          <w:p w:rsidRPr="00467C2F" w:rsidR="004C460D" w:rsidP="00D960EA" w:rsidRDefault="004C460D" w14:paraId="48A7AA54" w14:textId="77777777">
            <w:pPr>
              <w:numPr>
                <w:ilvl w:val="0"/>
                <w:numId w:val="3"/>
              </w:numPr>
              <w:rPr>
                <w:b/>
                <w:bCs/>
              </w:rPr>
            </w:pPr>
            <w:r w:rsidRPr="00467C2F">
              <w:rPr>
                <w:b/>
                <w:bCs/>
              </w:rPr>
              <w:t>België: EUR 79,19 miljard totaal, EUR 43,36 miljard (55%) wederuitvoer en EUR 35,83 miljard (45%) uitvoer van NL makelij.</w:t>
            </w:r>
          </w:p>
          <w:p w:rsidRPr="00467C2F" w:rsidR="004C460D" w:rsidP="00D960EA" w:rsidRDefault="004C460D" w14:paraId="76EC15CD" w14:textId="76A3D216">
            <w:pPr>
              <w:numPr>
                <w:ilvl w:val="0"/>
                <w:numId w:val="3"/>
              </w:numPr>
              <w:rPr>
                <w:b/>
                <w:bCs/>
              </w:rPr>
            </w:pPr>
            <w:r w:rsidRPr="00467C2F">
              <w:rPr>
                <w:b/>
                <w:bCs/>
              </w:rPr>
              <w:t>Frankrijk: EUR 52,16 miljard totaal, EUR 32,59 miljard (62%) wederuitvoer en EUR 19,57 miljard (38%) uitvoer van NL makelij.</w:t>
            </w:r>
          </w:p>
          <w:p w:rsidRPr="00467C2F" w:rsidR="004C460D" w:rsidP="0015743A" w:rsidRDefault="004C460D" w14:paraId="22FF49BC" w14:textId="77777777">
            <w:pPr>
              <w:ind w:left="720"/>
              <w:rPr>
                <w:b/>
                <w:bCs/>
              </w:rPr>
            </w:pPr>
          </w:p>
          <w:p w:rsidRPr="00467C2F" w:rsidR="004C460D" w:rsidP="00D960EA" w:rsidRDefault="004C460D" w14:paraId="1BF87650" w14:textId="6DFAFC78">
            <w:pPr>
              <w:rPr>
                <w:b/>
                <w:bCs/>
              </w:rPr>
            </w:pPr>
            <w:r w:rsidRPr="00467C2F">
              <w:rPr>
                <w:b/>
                <w:bCs/>
              </w:rPr>
              <w:t>Het is op dit moment niet bekend welk aandeel van de wederuitvoer is toe te schrijven aan buitenlandse bedrijven, maar de toegevoegde waarde van wederuitvoer is beperkt vergeleken met die van uitvoer van goederen van Nederlandse makelij.</w:t>
            </w:r>
          </w:p>
          <w:p w:rsidRPr="00467C2F" w:rsidR="004C460D" w:rsidP="00D960EA" w:rsidRDefault="004C460D" w14:paraId="394EA8E8" w14:textId="77777777">
            <w:pPr>
              <w:rPr>
                <w:b/>
                <w:bCs/>
              </w:rPr>
            </w:pPr>
          </w:p>
          <w:p w:rsidRPr="00467C2F" w:rsidR="004C460D" w:rsidP="00D960EA" w:rsidRDefault="004C460D" w14:paraId="25DF8ED7" w14:textId="73600415">
            <w:pPr>
              <w:rPr>
                <w:b/>
                <w:bCs/>
              </w:rPr>
            </w:pPr>
            <w:r w:rsidRPr="00467C2F">
              <w:rPr>
                <w:b/>
                <w:bCs/>
              </w:rPr>
              <w:t xml:space="preserve">Wel is bekend dat het aandeel van de Nederlandse export, zónder doorvoer, dat voor rekening van buitenlandse bedrijven komt in 2023 neerkwam op ongeveer twee-derde van de totale Nederlandse exportwaarde van goederen. </w:t>
            </w:r>
          </w:p>
          <w:p w:rsidRPr="00467C2F" w:rsidR="004C460D" w:rsidP="0015743A" w:rsidRDefault="004C460D" w14:paraId="7A637C3F" w14:textId="77777777">
            <w:pPr>
              <w:rPr>
                <w:b/>
                <w:bCs/>
              </w:rPr>
            </w:pPr>
          </w:p>
          <w:p w:rsidRPr="00467C2F" w:rsidR="004C460D" w:rsidP="004C460D" w:rsidRDefault="004C460D" w14:paraId="37DCEA29" w14:textId="77777777">
            <w:pPr>
              <w:rPr>
                <w:b/>
                <w:bCs/>
              </w:rPr>
            </w:pPr>
            <w:r w:rsidRPr="00467C2F">
              <w:rPr>
                <w:b/>
                <w:bCs/>
              </w:rPr>
              <w:t>Bij deze beantwoording is gebruikgemaakt van data op basis van de CBS-definitie van grensoverdracht. Dit zijn goederenbewegingen waarbij goederen fysiek de Nederlandse landsgrens passeren, zonder dat hierbij altijd sprake is van economische eigendomsoverdracht.</w:t>
            </w:r>
          </w:p>
          <w:p w:rsidRPr="00467C2F" w:rsidR="00CA32BB" w:rsidP="004C460D" w:rsidRDefault="00CA32BB" w14:paraId="569933FB" w14:textId="1DA115B4">
            <w:pPr>
              <w:rPr>
                <w:b/>
                <w:bCs/>
              </w:rPr>
            </w:pPr>
          </w:p>
        </w:tc>
        <w:tc>
          <w:tcPr>
            <w:tcW w:w="430" w:type="dxa"/>
          </w:tcPr>
          <w:p w:rsidRPr="00467C2F" w:rsidR="004C460D" w:rsidRDefault="004C460D" w14:paraId="2002BD98" w14:textId="77777777">
            <w:pPr>
              <w:jc w:val="right"/>
            </w:pPr>
          </w:p>
        </w:tc>
        <w:tc>
          <w:tcPr>
            <w:tcW w:w="567" w:type="dxa"/>
          </w:tcPr>
          <w:p w:rsidRPr="00467C2F" w:rsidR="004C460D" w:rsidRDefault="004C460D" w14:paraId="2430415E" w14:textId="77777777">
            <w:pPr>
              <w:jc w:val="right"/>
            </w:pPr>
            <w:r w:rsidRPr="00467C2F">
              <w:t xml:space="preserve"> </w:t>
            </w:r>
          </w:p>
        </w:tc>
      </w:tr>
      <w:tr w:rsidRPr="00467C2F" w:rsidR="004C460D" w:rsidTr="00CA32BB" w14:paraId="2426868F" w14:textId="77777777">
        <w:tc>
          <w:tcPr>
            <w:tcW w:w="567" w:type="dxa"/>
          </w:tcPr>
          <w:p w:rsidRPr="00467C2F" w:rsidR="004C460D" w:rsidRDefault="004C460D" w14:paraId="7AB4CA55" w14:textId="77777777">
            <w:pPr>
              <w:rPr>
                <w:b/>
                <w:bCs/>
              </w:rPr>
            </w:pPr>
            <w:r w:rsidRPr="00467C2F">
              <w:rPr>
                <w:b/>
                <w:bCs/>
              </w:rPr>
              <w:lastRenderedPageBreak/>
              <w:t>2</w:t>
            </w:r>
          </w:p>
        </w:tc>
        <w:tc>
          <w:tcPr>
            <w:tcW w:w="7083" w:type="dxa"/>
          </w:tcPr>
          <w:p w:rsidRPr="00500CDA" w:rsidR="004C460D" w:rsidRDefault="004C460D" w14:paraId="7B1B58B8" w14:textId="5A9BD13E">
            <w:r w:rsidRPr="00500CDA">
              <w:t xml:space="preserve">Hoeveel van de Nederlandse goederenexport bestaat uit wederuitvoer en wat is het werkelijke toegevoegde verdienvermogen (in </w:t>
            </w:r>
            <w:proofErr w:type="spellStart"/>
            <w:r w:rsidRPr="00500CDA">
              <w:t>waardecreatie</w:t>
            </w:r>
            <w:proofErr w:type="spellEnd"/>
            <w:r w:rsidRPr="00500CDA">
              <w:t xml:space="preserve"> en werkgelegenheid) daarvan ten opzichte van export van in Nederland geproduceerde goederen?</w:t>
            </w:r>
          </w:p>
          <w:p w:rsidRPr="00467C2F" w:rsidR="004C460D" w:rsidP="007E1626" w:rsidRDefault="004C460D" w14:paraId="29ED9403" w14:textId="77777777">
            <w:pPr>
              <w:rPr>
                <w:b/>
                <w:bCs/>
              </w:rPr>
            </w:pPr>
            <w:r w:rsidRPr="00467C2F">
              <w:rPr>
                <w:b/>
                <w:bCs/>
              </w:rPr>
              <w:t>Antwoord:</w:t>
            </w:r>
          </w:p>
          <w:p w:rsidRPr="00467C2F" w:rsidR="004C460D" w:rsidP="00ED07A6" w:rsidRDefault="004C460D" w14:paraId="30DDC7C0" w14:textId="77777777">
            <w:pPr>
              <w:rPr>
                <w:b/>
                <w:bCs/>
              </w:rPr>
            </w:pPr>
            <w:r w:rsidRPr="00467C2F">
              <w:rPr>
                <w:b/>
                <w:bCs/>
              </w:rPr>
              <w:t>In 2023 bedroeg de Nederlandse export van goederen en diensten in totaal EUR 945,2 miljard. De goederenexport was EUR 676,9 miljard, waarvan EUR 352,4 miljard (52%) wederuitvoer en EUR 324,5 miljard (48%) uitvoer van Nederlandse makelij. Per euro bruto export werd bij Nederlandse makelij gemiddeld 51,1 eurocent verdiend, bij wederuitvoer 11,9 eurocent.</w:t>
            </w:r>
          </w:p>
          <w:p w:rsidRPr="00467C2F" w:rsidR="004C460D" w:rsidP="00ED07A6" w:rsidRDefault="004C460D" w14:paraId="4744CCFE" w14:textId="77777777">
            <w:pPr>
              <w:rPr>
                <w:b/>
                <w:bCs/>
              </w:rPr>
            </w:pPr>
          </w:p>
          <w:p w:rsidRPr="00467C2F" w:rsidR="004C460D" w:rsidP="00ED07A6" w:rsidRDefault="004C460D" w14:paraId="3579079D" w14:textId="77777777">
            <w:pPr>
              <w:rPr>
                <w:b/>
                <w:bCs/>
              </w:rPr>
            </w:pPr>
            <w:r w:rsidRPr="00467C2F">
              <w:rPr>
                <w:b/>
                <w:bCs/>
              </w:rPr>
              <w:t>De export van goederen en diensten was in 2023 goed voor ruim 2,6 miljoen voltijdbanen (</w:t>
            </w:r>
            <w:proofErr w:type="spellStart"/>
            <w:r w:rsidRPr="00467C2F">
              <w:rPr>
                <w:b/>
                <w:bCs/>
              </w:rPr>
              <w:t>vte</w:t>
            </w:r>
            <w:proofErr w:type="spellEnd"/>
            <w:r w:rsidRPr="00467C2F">
              <w:rPr>
                <w:b/>
                <w:bCs/>
              </w:rPr>
              <w:t>), waarvan 1,2 miljoen direct en 1,4 miljoen indirect. Dit komt overeen met 31,4% van de totale werkgelegenheid.</w:t>
            </w:r>
          </w:p>
          <w:p w:rsidRPr="00467C2F" w:rsidR="004C460D" w:rsidP="00ED07A6" w:rsidRDefault="004C460D" w14:paraId="7F25D59E" w14:textId="77777777">
            <w:pPr>
              <w:rPr>
                <w:b/>
                <w:bCs/>
              </w:rPr>
            </w:pPr>
            <w:r w:rsidRPr="00467C2F">
              <w:rPr>
                <w:b/>
                <w:bCs/>
              </w:rPr>
              <w:t>De directe werkgelegenheid bestond uit:</w:t>
            </w:r>
          </w:p>
          <w:p w:rsidRPr="00467C2F" w:rsidR="004C460D" w:rsidP="00ED07A6" w:rsidRDefault="004C460D" w14:paraId="69810874" w14:textId="77777777">
            <w:pPr>
              <w:numPr>
                <w:ilvl w:val="0"/>
                <w:numId w:val="5"/>
              </w:numPr>
              <w:rPr>
                <w:b/>
                <w:bCs/>
              </w:rPr>
            </w:pPr>
            <w:r w:rsidRPr="00467C2F">
              <w:rPr>
                <w:b/>
                <w:bCs/>
              </w:rPr>
              <w:t xml:space="preserve">451 duizend </w:t>
            </w:r>
            <w:proofErr w:type="spellStart"/>
            <w:r w:rsidRPr="00467C2F">
              <w:rPr>
                <w:b/>
                <w:bCs/>
              </w:rPr>
              <w:t>vte</w:t>
            </w:r>
            <w:proofErr w:type="spellEnd"/>
            <w:r w:rsidRPr="00467C2F">
              <w:rPr>
                <w:b/>
                <w:bCs/>
              </w:rPr>
              <w:t xml:space="preserve"> voor goederen Nederlandse makelij</w:t>
            </w:r>
          </w:p>
          <w:p w:rsidRPr="00467C2F" w:rsidR="004C460D" w:rsidP="00ED07A6" w:rsidRDefault="004C460D" w14:paraId="162E464D" w14:textId="77777777">
            <w:pPr>
              <w:numPr>
                <w:ilvl w:val="0"/>
                <w:numId w:val="5"/>
              </w:numPr>
              <w:rPr>
                <w:b/>
                <w:bCs/>
              </w:rPr>
            </w:pPr>
            <w:r w:rsidRPr="00467C2F">
              <w:rPr>
                <w:b/>
                <w:bCs/>
              </w:rPr>
              <w:t xml:space="preserve">60 duizend </w:t>
            </w:r>
            <w:proofErr w:type="spellStart"/>
            <w:r w:rsidRPr="00467C2F">
              <w:rPr>
                <w:b/>
                <w:bCs/>
              </w:rPr>
              <w:t>vte</w:t>
            </w:r>
            <w:proofErr w:type="spellEnd"/>
            <w:r w:rsidRPr="00467C2F">
              <w:rPr>
                <w:b/>
                <w:bCs/>
              </w:rPr>
              <w:t xml:space="preserve"> voor wederuitvoer</w:t>
            </w:r>
          </w:p>
          <w:p w:rsidRPr="00467C2F" w:rsidR="004C460D" w:rsidP="00ED07A6" w:rsidRDefault="004C460D" w14:paraId="084BAAA1" w14:textId="77777777">
            <w:pPr>
              <w:numPr>
                <w:ilvl w:val="0"/>
                <w:numId w:val="5"/>
              </w:numPr>
              <w:rPr>
                <w:b/>
                <w:bCs/>
              </w:rPr>
            </w:pPr>
            <w:r w:rsidRPr="00467C2F">
              <w:rPr>
                <w:b/>
                <w:bCs/>
              </w:rPr>
              <w:t xml:space="preserve">721 duizend </w:t>
            </w:r>
            <w:proofErr w:type="spellStart"/>
            <w:r w:rsidRPr="00467C2F">
              <w:rPr>
                <w:b/>
                <w:bCs/>
              </w:rPr>
              <w:t>vte</w:t>
            </w:r>
            <w:proofErr w:type="spellEnd"/>
            <w:r w:rsidRPr="00467C2F">
              <w:rPr>
                <w:b/>
                <w:bCs/>
              </w:rPr>
              <w:t xml:space="preserve"> voor dienstenexport</w:t>
            </w:r>
          </w:p>
          <w:p w:rsidRPr="00467C2F" w:rsidR="004C460D" w:rsidP="00ED07A6" w:rsidRDefault="004C460D" w14:paraId="59DD8DDF" w14:textId="77777777">
            <w:pPr>
              <w:rPr>
                <w:b/>
                <w:bCs/>
              </w:rPr>
            </w:pPr>
          </w:p>
          <w:p w:rsidRPr="00467C2F" w:rsidR="004C460D" w:rsidP="00ED07A6" w:rsidRDefault="004C460D" w14:paraId="2398845F" w14:textId="77777777">
            <w:pPr>
              <w:rPr>
                <w:b/>
                <w:bCs/>
              </w:rPr>
            </w:pPr>
            <w:r w:rsidRPr="00467C2F">
              <w:rPr>
                <w:b/>
                <w:bCs/>
              </w:rPr>
              <w:t>De indirecte werkgelegenheid bestond uit:</w:t>
            </w:r>
          </w:p>
          <w:p w:rsidRPr="00467C2F" w:rsidR="004C460D" w:rsidP="00ED07A6" w:rsidRDefault="004C460D" w14:paraId="2D1AFA9E" w14:textId="77777777">
            <w:pPr>
              <w:numPr>
                <w:ilvl w:val="0"/>
                <w:numId w:val="6"/>
              </w:numPr>
              <w:rPr>
                <w:b/>
                <w:bCs/>
              </w:rPr>
            </w:pPr>
            <w:r w:rsidRPr="00467C2F">
              <w:rPr>
                <w:b/>
                <w:bCs/>
              </w:rPr>
              <w:t xml:space="preserve">628 duizend </w:t>
            </w:r>
            <w:proofErr w:type="spellStart"/>
            <w:r w:rsidRPr="00467C2F">
              <w:rPr>
                <w:b/>
                <w:bCs/>
              </w:rPr>
              <w:t>vte</w:t>
            </w:r>
            <w:proofErr w:type="spellEnd"/>
            <w:r w:rsidRPr="00467C2F">
              <w:rPr>
                <w:b/>
                <w:bCs/>
              </w:rPr>
              <w:t xml:space="preserve"> voor goederen Nederlandse makelij</w:t>
            </w:r>
          </w:p>
          <w:p w:rsidRPr="00467C2F" w:rsidR="004C460D" w:rsidP="00ED07A6" w:rsidRDefault="004C460D" w14:paraId="7F0D4B86" w14:textId="77777777">
            <w:pPr>
              <w:numPr>
                <w:ilvl w:val="0"/>
                <w:numId w:val="6"/>
              </w:numPr>
              <w:rPr>
                <w:b/>
                <w:bCs/>
              </w:rPr>
            </w:pPr>
            <w:r w:rsidRPr="00467C2F">
              <w:rPr>
                <w:b/>
                <w:bCs/>
              </w:rPr>
              <w:t xml:space="preserve">230 duizend </w:t>
            </w:r>
            <w:proofErr w:type="spellStart"/>
            <w:r w:rsidRPr="00467C2F">
              <w:rPr>
                <w:b/>
                <w:bCs/>
              </w:rPr>
              <w:t>vte</w:t>
            </w:r>
            <w:proofErr w:type="spellEnd"/>
            <w:r w:rsidRPr="00467C2F">
              <w:rPr>
                <w:b/>
                <w:bCs/>
              </w:rPr>
              <w:t xml:space="preserve"> voor wederuitvoer</w:t>
            </w:r>
          </w:p>
          <w:p w:rsidRPr="00467C2F" w:rsidR="004C460D" w:rsidP="00ED07A6" w:rsidRDefault="004C460D" w14:paraId="3C174280" w14:textId="77777777">
            <w:pPr>
              <w:numPr>
                <w:ilvl w:val="0"/>
                <w:numId w:val="6"/>
              </w:numPr>
              <w:rPr>
                <w:b/>
                <w:bCs/>
              </w:rPr>
            </w:pPr>
            <w:r w:rsidRPr="00467C2F">
              <w:rPr>
                <w:b/>
                <w:bCs/>
              </w:rPr>
              <w:t xml:space="preserve">523 duizend </w:t>
            </w:r>
            <w:proofErr w:type="spellStart"/>
            <w:r w:rsidRPr="00467C2F">
              <w:rPr>
                <w:b/>
                <w:bCs/>
              </w:rPr>
              <w:t>vte</w:t>
            </w:r>
            <w:proofErr w:type="spellEnd"/>
            <w:r w:rsidRPr="00467C2F">
              <w:rPr>
                <w:b/>
                <w:bCs/>
              </w:rPr>
              <w:t xml:space="preserve"> voor dienstenexport</w:t>
            </w:r>
          </w:p>
          <w:p w:rsidRPr="00467C2F" w:rsidR="004C460D" w:rsidP="007E1626" w:rsidRDefault="004C460D" w14:paraId="36B3B13E" w14:textId="77777777">
            <w:pPr>
              <w:rPr>
                <w:b/>
                <w:bCs/>
              </w:rPr>
            </w:pPr>
          </w:p>
          <w:p w:rsidRPr="00467C2F" w:rsidR="004C460D" w:rsidP="002001F7" w:rsidRDefault="004C460D" w14:paraId="4BD75239" w14:textId="228B728F">
            <w:pPr>
              <w:rPr>
                <w:b/>
                <w:bCs/>
              </w:rPr>
            </w:pPr>
            <w:r w:rsidRPr="00467C2F">
              <w:rPr>
                <w:b/>
                <w:bCs/>
              </w:rPr>
              <w:t>Bij deze beantwoording is gebruikgemaakt van data op basis van de CBS-definitie van eigendomsoverdracht. Dit zijn goederentransacties waarbij een Nederlands bedrijf of persoon het economisch eigendom van de goederen overdraagt aan een buitenlands bedrijf of persoon en omgekeerd.</w:t>
            </w:r>
          </w:p>
          <w:p w:rsidRPr="00467C2F" w:rsidR="004C460D" w:rsidP="004C460D" w:rsidRDefault="004C460D" w14:paraId="4D18C80E" w14:textId="77777777">
            <w:pPr>
              <w:rPr>
                <w:b/>
                <w:bCs/>
              </w:rPr>
            </w:pPr>
          </w:p>
          <w:p w:rsidRPr="00467C2F" w:rsidR="00CA32BB" w:rsidP="004C460D" w:rsidRDefault="00CA32BB" w14:paraId="04C30E60" w14:textId="77777777">
            <w:pPr>
              <w:rPr>
                <w:b/>
                <w:bCs/>
              </w:rPr>
            </w:pPr>
          </w:p>
        </w:tc>
        <w:tc>
          <w:tcPr>
            <w:tcW w:w="430" w:type="dxa"/>
          </w:tcPr>
          <w:p w:rsidRPr="00467C2F" w:rsidR="004C460D" w:rsidRDefault="004C460D" w14:paraId="2B4F37BF" w14:textId="77777777">
            <w:pPr>
              <w:jc w:val="right"/>
            </w:pPr>
          </w:p>
        </w:tc>
        <w:tc>
          <w:tcPr>
            <w:tcW w:w="567" w:type="dxa"/>
          </w:tcPr>
          <w:p w:rsidRPr="00467C2F" w:rsidR="004C460D" w:rsidRDefault="004C460D" w14:paraId="191A61CC" w14:textId="77777777">
            <w:pPr>
              <w:jc w:val="right"/>
            </w:pPr>
            <w:r w:rsidRPr="00467C2F">
              <w:t xml:space="preserve"> </w:t>
            </w:r>
          </w:p>
        </w:tc>
      </w:tr>
      <w:tr w:rsidRPr="00467C2F" w:rsidR="004C460D" w:rsidTr="00CA32BB" w14:paraId="5F87D13A" w14:textId="77777777">
        <w:tc>
          <w:tcPr>
            <w:tcW w:w="567" w:type="dxa"/>
          </w:tcPr>
          <w:p w:rsidRPr="00467C2F" w:rsidR="004C460D" w:rsidRDefault="004C460D" w14:paraId="7504DF4F" w14:textId="77777777">
            <w:bookmarkStart w:name="_Hlk209699276" w:id="1"/>
            <w:r w:rsidRPr="00467C2F">
              <w:t>3</w:t>
            </w:r>
          </w:p>
        </w:tc>
        <w:tc>
          <w:tcPr>
            <w:tcW w:w="7083" w:type="dxa"/>
          </w:tcPr>
          <w:p w:rsidRPr="00500CDA" w:rsidR="004C460D" w:rsidRDefault="004C460D" w14:paraId="252CAD2F" w14:textId="77777777">
            <w:r w:rsidRPr="00500CDA">
              <w:t>Hoe beoordeelt het kabinet de risico’s van een handelsmissie naar Saudi-Arabië in het licht van de mensenrechtensituatie en hoe is dit afgewogen tegen het strategische belang voor energievoorziening?</w:t>
            </w:r>
          </w:p>
          <w:p w:rsidRPr="00467C2F" w:rsidR="004C460D" w:rsidP="007E1626" w:rsidRDefault="004C460D" w14:paraId="38912711" w14:textId="77777777">
            <w:pPr>
              <w:rPr>
                <w:b/>
                <w:bCs/>
              </w:rPr>
            </w:pPr>
            <w:r w:rsidRPr="00467C2F">
              <w:rPr>
                <w:b/>
                <w:bCs/>
              </w:rPr>
              <w:t>Antwoord:</w:t>
            </w:r>
          </w:p>
          <w:p w:rsidRPr="00467C2F" w:rsidR="008C0215" w:rsidP="008C0215" w:rsidRDefault="008C0215" w14:paraId="3CCF5338" w14:textId="44510A32">
            <w:pPr>
              <w:rPr>
                <w:b/>
                <w:bCs/>
              </w:rPr>
            </w:pPr>
            <w:r w:rsidRPr="00467C2F">
              <w:rPr>
                <w:b/>
                <w:bCs/>
              </w:rPr>
              <w:t>Het Nederlandse handelsbeleid is gebaseerd op balans: het gaat om de versterking van ons internationale verdienvermogen, bijvoorbeeld op belangrijke thema’s als de energietransitie, en tegelijkertijd om blijvend te engageren met landen vanuit de bredere bilaterale relatie. Alhoewel er sprake kan zijn van een spanningsveld, sluiten mensenrechten en handel elkaar niet uit: zij kunnen elkaar juist aanvullen.</w:t>
            </w:r>
          </w:p>
          <w:p w:rsidRPr="00467C2F" w:rsidR="008C0215" w:rsidP="008C0215" w:rsidRDefault="008C0215" w14:paraId="52B00908" w14:textId="35C24987">
            <w:pPr>
              <w:rPr>
                <w:b/>
                <w:bCs/>
              </w:rPr>
            </w:pPr>
            <w:r w:rsidRPr="00467C2F">
              <w:rPr>
                <w:b/>
                <w:bCs/>
              </w:rPr>
              <w:t>Saoedi-Arabië is een belangrijke geopolitieke speler in het Midden-Oosten en daarbuiten. Het is de grootste economie en de grootste handelspartner van Nederland in de Golfregio. Het is een sterk groeiende markt voor het Nederlands bedrijfsleven; het bilateraal handelsvolume (goederen en diensten)  groeide in de afgelopen 5 jaar significant naar EUR 13,9 miljard in 2024 (CBS, voorlopige cijfers</w:t>
            </w:r>
            <w:r w:rsidRPr="00467C2F" w:rsidR="00752322">
              <w:rPr>
                <w:rStyle w:val="FootnoteReference"/>
                <w:b/>
                <w:bCs/>
              </w:rPr>
              <w:footnoteReference w:id="2"/>
            </w:r>
            <w:r w:rsidRPr="00467C2F">
              <w:rPr>
                <w:b/>
                <w:bCs/>
              </w:rPr>
              <w:t xml:space="preserve">). </w:t>
            </w:r>
          </w:p>
          <w:p w:rsidRPr="00467C2F" w:rsidR="008C0215" w:rsidP="008C0215" w:rsidRDefault="008C0215" w14:paraId="22ADB29B" w14:textId="50746701">
            <w:pPr>
              <w:rPr>
                <w:b/>
                <w:bCs/>
              </w:rPr>
            </w:pPr>
            <w:r w:rsidRPr="00467C2F">
              <w:rPr>
                <w:b/>
                <w:bCs/>
              </w:rPr>
              <w:t>Nederland heeft een brede relatie met Saoedi-Arabië waarbinnen een dialoog bestaat over zowel (</w:t>
            </w:r>
            <w:proofErr w:type="spellStart"/>
            <w:r w:rsidRPr="00467C2F">
              <w:rPr>
                <w:b/>
                <w:bCs/>
              </w:rPr>
              <w:t>geo</w:t>
            </w:r>
            <w:proofErr w:type="spellEnd"/>
            <w:r w:rsidRPr="00467C2F">
              <w:rPr>
                <w:b/>
                <w:bCs/>
              </w:rPr>
              <w:t xml:space="preserve">)politieke als economische onderwerpen; mensenrechten vormen onderdeel van deze dialoog. </w:t>
            </w:r>
          </w:p>
          <w:p w:rsidRPr="00467C2F" w:rsidR="008C0215" w:rsidP="008C0215" w:rsidRDefault="008C0215" w14:paraId="7CA9BA19" w14:textId="77777777">
            <w:pPr>
              <w:rPr>
                <w:b/>
                <w:bCs/>
              </w:rPr>
            </w:pPr>
            <w:r w:rsidRPr="00467C2F">
              <w:rPr>
                <w:b/>
                <w:bCs/>
              </w:rPr>
              <w:t xml:space="preserve">Saoedi-Arabië heeft een sterke </w:t>
            </w:r>
            <w:proofErr w:type="spellStart"/>
            <w:r w:rsidRPr="00467C2F">
              <w:rPr>
                <w:b/>
                <w:bCs/>
              </w:rPr>
              <w:t>geo-ecomische</w:t>
            </w:r>
            <w:proofErr w:type="spellEnd"/>
            <w:r w:rsidRPr="00467C2F">
              <w:rPr>
                <w:b/>
                <w:bCs/>
              </w:rPr>
              <w:t xml:space="preserve"> positie en een groot potentieel voor de productie en export van waterstof en de productie van duurzame vliegtuigbrandstoffen. Dit kan bijdragen aan onze energietransitie, aan de positie </w:t>
            </w:r>
            <w:r w:rsidRPr="00467C2F">
              <w:rPr>
                <w:b/>
                <w:bCs/>
              </w:rPr>
              <w:lastRenderedPageBreak/>
              <w:t xml:space="preserve">van onze havens als </w:t>
            </w:r>
            <w:proofErr w:type="spellStart"/>
            <w:r w:rsidRPr="00467C2F">
              <w:rPr>
                <w:b/>
                <w:bCs/>
              </w:rPr>
              <w:t>energiehub</w:t>
            </w:r>
            <w:proofErr w:type="spellEnd"/>
            <w:r w:rsidRPr="00467C2F">
              <w:rPr>
                <w:b/>
                <w:bCs/>
              </w:rPr>
              <w:t xml:space="preserve"> en industriecluster en biedt internationale verdienkansen voor Nederlandse bedrijven. </w:t>
            </w:r>
          </w:p>
          <w:p w:rsidRPr="00467C2F" w:rsidR="008C0215" w:rsidP="008C0215" w:rsidRDefault="008C0215" w14:paraId="16555077" w14:textId="77777777">
            <w:pPr>
              <w:rPr>
                <w:b/>
                <w:bCs/>
              </w:rPr>
            </w:pPr>
            <w:r w:rsidRPr="00467C2F">
              <w:rPr>
                <w:b/>
                <w:bCs/>
              </w:rPr>
              <w:t xml:space="preserve">Het kabinet verwacht van alle Nederlandse bedrijven die internationaal ondernemen dat zij gepaste zorgvuldigheid in lijn met de OESO-richtlijnen toepassen om negatieve gevolgen voor mens en milieu in hun bedrijfsvoering en </w:t>
            </w:r>
            <w:proofErr w:type="spellStart"/>
            <w:r w:rsidRPr="00467C2F">
              <w:rPr>
                <w:b/>
                <w:bCs/>
              </w:rPr>
              <w:t>waardeketens</w:t>
            </w:r>
            <w:proofErr w:type="spellEnd"/>
            <w:r w:rsidRPr="00467C2F">
              <w:rPr>
                <w:b/>
                <w:bCs/>
              </w:rPr>
              <w:t xml:space="preserve"> te identificeren en aan te pakken. Bedrijven die mee willen op missie moeten de IMVO-voorwaarden ondertekenen en daarmee verklaren dat zij de OESO-richtlijnen toepassen. </w:t>
            </w:r>
          </w:p>
          <w:p w:rsidRPr="00467C2F" w:rsidR="008C0215" w:rsidP="008C0215" w:rsidRDefault="008C0215" w14:paraId="61FC909D" w14:textId="77777777">
            <w:pPr>
              <w:rPr>
                <w:b/>
                <w:bCs/>
              </w:rPr>
            </w:pPr>
            <w:r w:rsidRPr="00467C2F">
              <w:rPr>
                <w:b/>
                <w:bCs/>
              </w:rPr>
              <w:t xml:space="preserve">Een check of bedrijven aan deze voorwaarden voldoen is proportioneel en gericht op het verbetering en niet op uitsluiting. De Nederlandse overheid zet altijd in op IMVO-voorlichting aan bedrijven over de lokale context, waaronder risico’s op mensenrechtenschendingen, en hoe de juiste mitigatiemaatregelen te nemen. </w:t>
            </w:r>
          </w:p>
          <w:p w:rsidRPr="00467C2F" w:rsidR="00CA32BB" w:rsidP="008C0215" w:rsidRDefault="00CA32BB" w14:paraId="56F7BEDA" w14:textId="0DF4B111">
            <w:pPr>
              <w:rPr>
                <w:b/>
                <w:bCs/>
              </w:rPr>
            </w:pPr>
          </w:p>
        </w:tc>
        <w:tc>
          <w:tcPr>
            <w:tcW w:w="430" w:type="dxa"/>
          </w:tcPr>
          <w:p w:rsidRPr="00467C2F" w:rsidR="004C460D" w:rsidRDefault="004C460D" w14:paraId="2F619B75" w14:textId="77777777">
            <w:pPr>
              <w:jc w:val="right"/>
            </w:pPr>
          </w:p>
        </w:tc>
        <w:tc>
          <w:tcPr>
            <w:tcW w:w="567" w:type="dxa"/>
          </w:tcPr>
          <w:p w:rsidRPr="00467C2F" w:rsidR="004C460D" w:rsidRDefault="004C460D" w14:paraId="4E95AFD8" w14:textId="77777777">
            <w:pPr>
              <w:jc w:val="right"/>
            </w:pPr>
            <w:r w:rsidRPr="00467C2F">
              <w:t xml:space="preserve"> </w:t>
            </w:r>
          </w:p>
        </w:tc>
      </w:tr>
      <w:bookmarkEnd w:id="1"/>
      <w:tr w:rsidRPr="00467C2F" w:rsidR="004C460D" w:rsidTr="00CA32BB" w14:paraId="64B85F29" w14:textId="77777777">
        <w:tc>
          <w:tcPr>
            <w:tcW w:w="567" w:type="dxa"/>
          </w:tcPr>
          <w:p w:rsidRPr="00467C2F" w:rsidR="004C460D" w:rsidRDefault="004C460D" w14:paraId="78727D27" w14:textId="77777777">
            <w:r w:rsidRPr="00467C2F">
              <w:t>4</w:t>
            </w:r>
          </w:p>
        </w:tc>
        <w:tc>
          <w:tcPr>
            <w:tcW w:w="7083" w:type="dxa"/>
          </w:tcPr>
          <w:p w:rsidRPr="00467C2F" w:rsidR="004C460D" w:rsidRDefault="004C460D" w14:paraId="7D22B172" w14:textId="77094B08">
            <w:r w:rsidRPr="00467C2F">
              <w:t>Kunt u aangeven waar in de suppletoire de 25 miljoen euro voor Gaza (voor medische evacuaties en humanitaire steun, aangekondigd per brief op 9 september 2025) is verwerkt? Via welke organisaties wordt dit geld besteed?</w:t>
            </w:r>
          </w:p>
          <w:p w:rsidRPr="00467C2F" w:rsidR="004C460D" w:rsidP="007E1626" w:rsidRDefault="004C460D" w14:paraId="2D4523AE" w14:textId="77777777">
            <w:pPr>
              <w:rPr>
                <w:b/>
                <w:bCs/>
              </w:rPr>
            </w:pPr>
            <w:r w:rsidRPr="00467C2F">
              <w:rPr>
                <w:b/>
                <w:bCs/>
              </w:rPr>
              <w:t>Antwoord:</w:t>
            </w:r>
          </w:p>
          <w:p w:rsidRPr="00467C2F" w:rsidR="004C460D" w:rsidP="002F5034" w:rsidRDefault="004C460D" w14:paraId="34577417" w14:textId="6227F4D2">
            <w:pPr>
              <w:rPr>
                <w:b/>
                <w:bCs/>
              </w:rPr>
            </w:pPr>
            <w:r w:rsidRPr="00467C2F">
              <w:rPr>
                <w:b/>
                <w:bCs/>
              </w:rPr>
              <w:t xml:space="preserve">De </w:t>
            </w:r>
            <w:r w:rsidRPr="00467C2F" w:rsidR="00EC736E">
              <w:rPr>
                <w:b/>
                <w:bCs/>
              </w:rPr>
              <w:t xml:space="preserve">EUR </w:t>
            </w:r>
            <w:r w:rsidRPr="00467C2F">
              <w:rPr>
                <w:b/>
                <w:bCs/>
              </w:rPr>
              <w:t xml:space="preserve">25 miljoen voor Gaza wordt gefinancierd vanuit bestaande middelen op artikel 4.1 en is daarom niet zichtbaar als mutatie in deze suppletoire begroting. Zoals aangekondigd in de Kamerbrief op 9 september jl. maakt Nederland 25 miljoen euro beschikbaar voor hulp aan mensen uit Gaza. Dit gaat om humanitaire hulp en ondersteuning voor de langere termijn, zowel in de Gazastrook als landen in de regio. Hierin wordt nu prioriteit geven aan de ondersteuning van medische capaciteit in de regio. Uit deze reservering ontvangt Save </w:t>
            </w:r>
            <w:proofErr w:type="spellStart"/>
            <w:r w:rsidRPr="00467C2F">
              <w:rPr>
                <w:b/>
                <w:bCs/>
              </w:rPr>
              <w:t>the</w:t>
            </w:r>
            <w:proofErr w:type="spellEnd"/>
            <w:r w:rsidRPr="00467C2F">
              <w:rPr>
                <w:b/>
                <w:bCs/>
              </w:rPr>
              <w:t xml:space="preserve"> </w:t>
            </w:r>
            <w:proofErr w:type="spellStart"/>
            <w:r w:rsidRPr="00467C2F">
              <w:rPr>
                <w:b/>
                <w:bCs/>
              </w:rPr>
              <w:t>Children</w:t>
            </w:r>
            <w:proofErr w:type="spellEnd"/>
            <w:r w:rsidRPr="00467C2F">
              <w:rPr>
                <w:b/>
                <w:bCs/>
              </w:rPr>
              <w:t xml:space="preserve"> </w:t>
            </w:r>
            <w:r w:rsidRPr="00467C2F" w:rsidR="00EC736E">
              <w:rPr>
                <w:b/>
                <w:bCs/>
              </w:rPr>
              <w:t>EUR</w:t>
            </w:r>
            <w:r w:rsidRPr="00467C2F">
              <w:rPr>
                <w:b/>
                <w:bCs/>
              </w:rPr>
              <w:t xml:space="preserve"> 800.000 ter ondersteuning van het werk om patiënten te evacueren naar Egypte. Over de nadere besteding van het resterende bedrag wordt uw Kamer spoedig geïnformeerd. </w:t>
            </w:r>
          </w:p>
          <w:p w:rsidRPr="00467C2F" w:rsidR="004C460D" w:rsidP="004C460D" w:rsidRDefault="004C460D" w14:paraId="5B382E43" w14:textId="77777777"/>
        </w:tc>
        <w:tc>
          <w:tcPr>
            <w:tcW w:w="430" w:type="dxa"/>
          </w:tcPr>
          <w:p w:rsidRPr="00467C2F" w:rsidR="004C460D" w:rsidRDefault="004C460D" w14:paraId="46008958" w14:textId="77777777">
            <w:pPr>
              <w:jc w:val="right"/>
            </w:pPr>
          </w:p>
        </w:tc>
        <w:tc>
          <w:tcPr>
            <w:tcW w:w="567" w:type="dxa"/>
          </w:tcPr>
          <w:p w:rsidRPr="00467C2F" w:rsidR="004C460D" w:rsidRDefault="004C460D" w14:paraId="1DA1D6C1" w14:textId="77777777">
            <w:pPr>
              <w:jc w:val="right"/>
            </w:pPr>
            <w:r w:rsidRPr="00467C2F">
              <w:t xml:space="preserve"> </w:t>
            </w:r>
          </w:p>
        </w:tc>
      </w:tr>
      <w:tr w:rsidRPr="00467C2F" w:rsidR="004C460D" w:rsidTr="00CA32BB" w14:paraId="5A059F3C" w14:textId="77777777">
        <w:tc>
          <w:tcPr>
            <w:tcW w:w="567" w:type="dxa"/>
          </w:tcPr>
          <w:p w:rsidRPr="00467C2F" w:rsidR="004C460D" w:rsidRDefault="004C460D" w14:paraId="102798D1" w14:textId="77777777">
            <w:r w:rsidRPr="00467C2F">
              <w:t>5</w:t>
            </w:r>
          </w:p>
        </w:tc>
        <w:tc>
          <w:tcPr>
            <w:tcW w:w="7083" w:type="dxa"/>
          </w:tcPr>
          <w:p w:rsidRPr="00467C2F" w:rsidR="004C460D" w:rsidRDefault="004C460D" w14:paraId="370BE858" w14:textId="77777777">
            <w:r w:rsidRPr="00467C2F">
              <w:t>Kan worden toegelicht hoe de CW 3.1 zoals voorgesteld, bijdraagt aan het "doelmatiger inrichten" en "sterker ophangen aan de beleidsdoelen"?</w:t>
            </w:r>
          </w:p>
          <w:p w:rsidRPr="00467C2F" w:rsidR="004C460D" w:rsidP="007E1626" w:rsidRDefault="004C460D" w14:paraId="6AB8A82B" w14:textId="77777777">
            <w:pPr>
              <w:rPr>
                <w:b/>
                <w:bCs/>
              </w:rPr>
            </w:pPr>
            <w:r w:rsidRPr="00467C2F">
              <w:rPr>
                <w:b/>
                <w:bCs/>
              </w:rPr>
              <w:t>Antwoord:</w:t>
            </w:r>
          </w:p>
          <w:p w:rsidRPr="00467C2F" w:rsidR="004C460D" w:rsidP="007E1626" w:rsidRDefault="004C460D" w14:paraId="119DF7A4" w14:textId="73935F84">
            <w:pPr>
              <w:rPr>
                <w:b/>
              </w:rPr>
            </w:pPr>
            <w:r w:rsidRPr="00467C2F">
              <w:rPr>
                <w:b/>
              </w:rPr>
              <w:t xml:space="preserve">De sterkere ophanging aan beleidsdoelen komt tot uitdrukking door de doelen per </w:t>
            </w:r>
            <w:proofErr w:type="spellStart"/>
            <w:r w:rsidRPr="00467C2F">
              <w:rPr>
                <w:b/>
              </w:rPr>
              <w:t>subartikel</w:t>
            </w:r>
            <w:proofErr w:type="spellEnd"/>
            <w:r w:rsidRPr="00467C2F">
              <w:rPr>
                <w:b/>
              </w:rPr>
              <w:t xml:space="preserve"> volgens een zelfde logica te formuleren en uit te werken, en ervoor te zorgen dat zo in evaluaties beter kan worden aangegeven wat hiermee wordt bereikt en in het jaarverslag wat de voortgang is. Nu is de voortgang vooral opgehangen aan een aantal kwantitatieve indicatoren, die onderling sterk verschillen in de mate waarin zij indicatief zijn voor het doelbereik.</w:t>
            </w:r>
          </w:p>
          <w:p w:rsidRPr="00467C2F" w:rsidR="004C460D" w:rsidP="004C460D" w:rsidRDefault="004C460D" w14:paraId="5A1E3323" w14:textId="77777777"/>
        </w:tc>
        <w:tc>
          <w:tcPr>
            <w:tcW w:w="430" w:type="dxa"/>
          </w:tcPr>
          <w:p w:rsidRPr="00467C2F" w:rsidR="004C460D" w:rsidRDefault="004C460D" w14:paraId="3A1222BA" w14:textId="77777777">
            <w:pPr>
              <w:jc w:val="right"/>
            </w:pPr>
          </w:p>
        </w:tc>
        <w:tc>
          <w:tcPr>
            <w:tcW w:w="567" w:type="dxa"/>
          </w:tcPr>
          <w:p w:rsidRPr="00467C2F" w:rsidR="004C460D" w:rsidRDefault="004C460D" w14:paraId="64CAFAD5" w14:textId="77777777">
            <w:pPr>
              <w:jc w:val="right"/>
            </w:pPr>
            <w:r w:rsidRPr="00467C2F">
              <w:t xml:space="preserve"> </w:t>
            </w:r>
          </w:p>
        </w:tc>
      </w:tr>
      <w:tr w:rsidRPr="00467C2F" w:rsidR="004C460D" w:rsidTr="00CA32BB" w14:paraId="23009D3E" w14:textId="77777777">
        <w:tc>
          <w:tcPr>
            <w:tcW w:w="567" w:type="dxa"/>
          </w:tcPr>
          <w:p w:rsidRPr="00467C2F" w:rsidR="004C460D" w:rsidRDefault="004C460D" w14:paraId="24BAA32E" w14:textId="77777777">
            <w:r w:rsidRPr="00467C2F">
              <w:t>6</w:t>
            </w:r>
          </w:p>
        </w:tc>
        <w:tc>
          <w:tcPr>
            <w:tcW w:w="7083" w:type="dxa"/>
          </w:tcPr>
          <w:p w:rsidRPr="00467C2F" w:rsidR="004C460D" w:rsidRDefault="004C460D" w14:paraId="62DAB02E" w14:textId="77777777">
            <w:r w:rsidRPr="00467C2F">
              <w:t>Wordt CW 3.1 ook gebruikt om bezuinigingen te verantwoorden? Zo nee, waarom niet, en welke andere mogelijkheden worden gebruikt om de bezuinigen te verantwoorden?</w:t>
            </w:r>
          </w:p>
          <w:p w:rsidRPr="00467C2F" w:rsidR="004C460D" w:rsidP="007E1626" w:rsidRDefault="004C460D" w14:paraId="252874FC" w14:textId="77777777">
            <w:pPr>
              <w:rPr>
                <w:b/>
                <w:bCs/>
              </w:rPr>
            </w:pPr>
            <w:r w:rsidRPr="00467C2F">
              <w:rPr>
                <w:b/>
                <w:bCs/>
              </w:rPr>
              <w:t>Antwoord:</w:t>
            </w:r>
          </w:p>
          <w:p w:rsidRPr="00467C2F" w:rsidR="004C460D" w:rsidP="007E1626" w:rsidRDefault="004C460D" w14:paraId="1788863A" w14:textId="1B3C569E">
            <w:pPr>
              <w:rPr>
                <w:b/>
                <w:bCs/>
              </w:rPr>
            </w:pPr>
            <w:r w:rsidRPr="00467C2F">
              <w:rPr>
                <w:b/>
                <w:bCs/>
              </w:rPr>
              <w:t xml:space="preserve">Het kader ‘beleidskeuzes uitgelegd (CW3.1)’ is van toepassing op voorstellen voor nieuw beleid, maar ook voor aanpassingen van beleid en voortzetting van aflopend beleid. Centraal in het kader staat het beleidsdoel en de beleidsinstrumenten, met een onderbouwing van doeltreffendheid, doelmatigheid en aandacht voor evalueerbaarheid. In het voorstel voor een verbeterde verantwoordingsystematiek wordt aangesloten bij dit </w:t>
            </w:r>
            <w:proofErr w:type="spellStart"/>
            <w:r w:rsidRPr="00467C2F">
              <w:rPr>
                <w:b/>
                <w:bCs/>
              </w:rPr>
              <w:t>Rijksbrede</w:t>
            </w:r>
            <w:proofErr w:type="spellEnd"/>
            <w:r w:rsidRPr="00467C2F">
              <w:rPr>
                <w:b/>
                <w:bCs/>
              </w:rPr>
              <w:t xml:space="preserve"> kader, omdat het zich ervoor leent om een reflectie over resultaten op te baseren in het Jaarverslag. Ook over beleidsonderdelen waarop wordt bezuinigd, of die worden beëindigd terwijl er nog activiteiten doorlopen, zal volgens deze systematiek worden verantwoord.</w:t>
            </w:r>
          </w:p>
          <w:p w:rsidRPr="00467C2F" w:rsidR="004C460D" w:rsidP="004C460D" w:rsidRDefault="004C460D" w14:paraId="2712E225" w14:textId="77777777"/>
        </w:tc>
        <w:tc>
          <w:tcPr>
            <w:tcW w:w="430" w:type="dxa"/>
          </w:tcPr>
          <w:p w:rsidRPr="00467C2F" w:rsidR="004C460D" w:rsidRDefault="004C460D" w14:paraId="66F64FE6" w14:textId="77777777">
            <w:pPr>
              <w:jc w:val="right"/>
            </w:pPr>
          </w:p>
        </w:tc>
        <w:tc>
          <w:tcPr>
            <w:tcW w:w="567" w:type="dxa"/>
          </w:tcPr>
          <w:p w:rsidRPr="00467C2F" w:rsidR="004C460D" w:rsidRDefault="004C460D" w14:paraId="12640AD7" w14:textId="77777777">
            <w:pPr>
              <w:jc w:val="right"/>
            </w:pPr>
            <w:r w:rsidRPr="00467C2F">
              <w:t xml:space="preserve"> </w:t>
            </w:r>
          </w:p>
        </w:tc>
      </w:tr>
      <w:tr w:rsidRPr="00467C2F" w:rsidR="004C460D" w:rsidTr="00CA32BB" w14:paraId="5043CC14" w14:textId="77777777">
        <w:tc>
          <w:tcPr>
            <w:tcW w:w="567" w:type="dxa"/>
          </w:tcPr>
          <w:p w:rsidRPr="00467C2F" w:rsidR="004C460D" w:rsidRDefault="004C460D" w14:paraId="699D23C5" w14:textId="77777777">
            <w:r w:rsidRPr="00467C2F">
              <w:t>7</w:t>
            </w:r>
          </w:p>
        </w:tc>
        <w:tc>
          <w:tcPr>
            <w:tcW w:w="7083" w:type="dxa"/>
          </w:tcPr>
          <w:p w:rsidRPr="00467C2F" w:rsidR="004C460D" w:rsidRDefault="004C460D" w14:paraId="64773AEB" w14:textId="614B3FC5">
            <w:r w:rsidRPr="00467C2F">
              <w:t>Hoe wordt voorkomen dat bij de toelichting op indicatoren selectief (‘</w:t>
            </w:r>
            <w:proofErr w:type="spellStart"/>
            <w:r w:rsidRPr="00467C2F">
              <w:t>cherry</w:t>
            </w:r>
            <w:proofErr w:type="spellEnd"/>
            <w:r w:rsidRPr="00467C2F">
              <w:t xml:space="preserve"> </w:t>
            </w:r>
            <w:proofErr w:type="spellStart"/>
            <w:r w:rsidRPr="00467C2F">
              <w:t>picking</w:t>
            </w:r>
            <w:proofErr w:type="spellEnd"/>
            <w:r w:rsidRPr="00467C2F">
              <w:t>’) wordt gerapporteerd?</w:t>
            </w:r>
          </w:p>
          <w:p w:rsidRPr="00467C2F" w:rsidR="004C460D" w:rsidP="007E1626" w:rsidRDefault="004C460D" w14:paraId="1EF38F06" w14:textId="77777777">
            <w:pPr>
              <w:rPr>
                <w:b/>
                <w:bCs/>
              </w:rPr>
            </w:pPr>
            <w:r w:rsidRPr="00467C2F">
              <w:rPr>
                <w:b/>
                <w:bCs/>
              </w:rPr>
              <w:t>Antwoord:</w:t>
            </w:r>
          </w:p>
          <w:p w:rsidRPr="00467C2F" w:rsidR="00CA32BB" w:rsidP="004C460D" w:rsidRDefault="004C460D" w14:paraId="4C722B03" w14:textId="17B260EF">
            <w:pPr>
              <w:rPr>
                <w:b/>
                <w:bCs/>
                <w:color w:val="000000" w:themeColor="text1"/>
              </w:rPr>
            </w:pPr>
            <w:r w:rsidRPr="00467C2F">
              <w:rPr>
                <w:b/>
                <w:bCs/>
                <w:color w:val="000000" w:themeColor="text1"/>
              </w:rPr>
              <w:lastRenderedPageBreak/>
              <w:t xml:space="preserve">De nieuwe systematiek richt zich op de verantwoording over de gekozen instrumenten en inspanningen in relatie tot de gestelde beleidsdoelen zoals verwoord in de CW3.1 formulieren. Dit vereist een analyse op het geheel van een deelthema/sub-artikel (portfolioniveau). Resultaatdata is daarbij een noodzakelijke ondersteuning. In een dergelijke verantwoording zal ook naar voren komen welke delen van de programmering minder resultaat laten zien en welke bijsturing daarop heeft plaatsgevonden. Deze aanpak richt zich meer dan voorheen op het totaal van de programmering en voorkomt te eenzijdige focus op de individuele indicator. </w:t>
            </w:r>
          </w:p>
        </w:tc>
        <w:tc>
          <w:tcPr>
            <w:tcW w:w="430" w:type="dxa"/>
          </w:tcPr>
          <w:p w:rsidRPr="00467C2F" w:rsidR="004C460D" w:rsidRDefault="004C460D" w14:paraId="4B2EAC76" w14:textId="77777777">
            <w:pPr>
              <w:jc w:val="right"/>
            </w:pPr>
          </w:p>
        </w:tc>
        <w:tc>
          <w:tcPr>
            <w:tcW w:w="567" w:type="dxa"/>
          </w:tcPr>
          <w:p w:rsidRPr="00467C2F" w:rsidR="004C460D" w:rsidRDefault="004C460D" w14:paraId="589B1364" w14:textId="77777777">
            <w:pPr>
              <w:jc w:val="right"/>
            </w:pPr>
            <w:r w:rsidRPr="00467C2F">
              <w:t xml:space="preserve"> </w:t>
            </w:r>
          </w:p>
        </w:tc>
      </w:tr>
      <w:tr w:rsidRPr="00467C2F" w:rsidR="004C460D" w:rsidTr="00CA32BB" w14:paraId="449BD02F" w14:textId="77777777">
        <w:tc>
          <w:tcPr>
            <w:tcW w:w="567" w:type="dxa"/>
          </w:tcPr>
          <w:p w:rsidRPr="00467C2F" w:rsidR="004C460D" w:rsidRDefault="004C460D" w14:paraId="53F8F28E" w14:textId="77777777">
            <w:r w:rsidRPr="00467C2F">
              <w:t>8</w:t>
            </w:r>
          </w:p>
        </w:tc>
        <w:tc>
          <w:tcPr>
            <w:tcW w:w="7083" w:type="dxa"/>
          </w:tcPr>
          <w:p w:rsidRPr="00467C2F" w:rsidR="004C460D" w:rsidRDefault="004C460D" w14:paraId="7D55DB6E" w14:textId="4E2FBD10">
            <w:r w:rsidRPr="00467C2F">
              <w:t>Wordt bij wijziging van indicatoren de Kamer geïnformeerd met methodologische toelichting? Zo nee, waarom niet?</w:t>
            </w:r>
          </w:p>
          <w:p w:rsidRPr="00467C2F" w:rsidR="004C460D" w:rsidP="007E1626" w:rsidRDefault="004C460D" w14:paraId="3D6D43BD" w14:textId="77777777">
            <w:pPr>
              <w:rPr>
                <w:b/>
                <w:bCs/>
              </w:rPr>
            </w:pPr>
            <w:r w:rsidRPr="00467C2F">
              <w:rPr>
                <w:b/>
                <w:bCs/>
              </w:rPr>
              <w:t>Antwoord:</w:t>
            </w:r>
          </w:p>
          <w:p w:rsidRPr="00467C2F" w:rsidR="004C460D" w:rsidP="007E1626" w:rsidRDefault="004C460D" w14:paraId="624F3214" w14:textId="15A41B6D">
            <w:pPr>
              <w:rPr>
                <w:b/>
                <w:bCs/>
              </w:rPr>
            </w:pPr>
            <w:r w:rsidRPr="00467C2F">
              <w:rPr>
                <w:b/>
                <w:bCs/>
              </w:rPr>
              <w:t>De manier van resultaatmeting met indicatoren is ingegeven door de beleidsdoelen en daaruit voortvloeiende interventielogica en instrumentarium. Beleidswijzigingen, voortschrijdend inzicht, en wijzigingen van de context kunnen daarbij aanleiding geven tot wijziging van indicatoren. Het jaarverslag aan de Kamer is de plek om dergelijke aanpassingen toe te lichten.</w:t>
            </w:r>
          </w:p>
          <w:p w:rsidRPr="00467C2F" w:rsidR="004C460D" w:rsidP="007E1626" w:rsidRDefault="004C460D" w14:paraId="0F9FFC28" w14:textId="0654A543">
            <w:pPr>
              <w:rPr>
                <w:b/>
                <w:bCs/>
              </w:rPr>
            </w:pPr>
            <w:r w:rsidRPr="00467C2F">
              <w:rPr>
                <w:b/>
                <w:bCs/>
              </w:rPr>
              <w:t>De methodologische uitwerking van de indicatoren blijft onderwerp van kwaliteitscontrole middels de evaluaties overeengekomen in de Strategische Evaluatie Agenda.</w:t>
            </w:r>
          </w:p>
          <w:p w:rsidRPr="00467C2F" w:rsidR="004C460D" w:rsidP="004C460D" w:rsidRDefault="004C460D" w14:paraId="107E22E1" w14:textId="77777777"/>
        </w:tc>
        <w:tc>
          <w:tcPr>
            <w:tcW w:w="430" w:type="dxa"/>
          </w:tcPr>
          <w:p w:rsidRPr="00467C2F" w:rsidR="004C460D" w:rsidRDefault="004C460D" w14:paraId="52A5763C" w14:textId="77777777">
            <w:pPr>
              <w:jc w:val="right"/>
            </w:pPr>
          </w:p>
        </w:tc>
        <w:tc>
          <w:tcPr>
            <w:tcW w:w="567" w:type="dxa"/>
          </w:tcPr>
          <w:p w:rsidRPr="00467C2F" w:rsidR="004C460D" w:rsidRDefault="004C460D" w14:paraId="30B5AC32" w14:textId="77777777">
            <w:pPr>
              <w:jc w:val="right"/>
            </w:pPr>
            <w:r w:rsidRPr="00467C2F">
              <w:t xml:space="preserve"> </w:t>
            </w:r>
          </w:p>
        </w:tc>
      </w:tr>
      <w:tr w:rsidRPr="00467C2F" w:rsidR="004C460D" w:rsidTr="00CA32BB" w14:paraId="54F4AE5B" w14:textId="77777777">
        <w:tc>
          <w:tcPr>
            <w:tcW w:w="567" w:type="dxa"/>
          </w:tcPr>
          <w:p w:rsidRPr="00467C2F" w:rsidR="004C460D" w:rsidRDefault="004C460D" w14:paraId="288E62A2" w14:textId="77777777">
            <w:r w:rsidRPr="00467C2F">
              <w:t>9</w:t>
            </w:r>
          </w:p>
        </w:tc>
        <w:tc>
          <w:tcPr>
            <w:tcW w:w="7083" w:type="dxa"/>
          </w:tcPr>
          <w:p w:rsidRPr="00467C2F" w:rsidR="004C460D" w:rsidRDefault="004C460D" w14:paraId="3CECF5B1" w14:textId="77777777">
            <w:r w:rsidRPr="00467C2F">
              <w:t>Kunt u een overzicht geven van de jaarlijkse (begrote) uitgaven op het gebied van abortuszorg (zorg en pleiten) van 2010 tot 2030?</w:t>
            </w:r>
          </w:p>
          <w:p w:rsidRPr="00467C2F" w:rsidR="004C460D" w:rsidP="007E1626" w:rsidRDefault="004C460D" w14:paraId="7D7EAD0B" w14:textId="5F21E173">
            <w:pPr>
              <w:rPr>
                <w:b/>
                <w:bCs/>
              </w:rPr>
            </w:pPr>
            <w:r w:rsidRPr="00467C2F">
              <w:rPr>
                <w:b/>
                <w:bCs/>
              </w:rPr>
              <w:t>Antwoord:</w:t>
            </w:r>
          </w:p>
          <w:p w:rsidRPr="00467C2F" w:rsidR="004C460D" w:rsidP="004C460D" w:rsidRDefault="004C460D" w14:paraId="7FA78BE9" w14:textId="4EE30F90">
            <w:r w:rsidRPr="00467C2F">
              <w:rPr>
                <w:b/>
                <w:bCs/>
              </w:rPr>
              <w:t>Het is niet mogelijk onder artikel 3.1 de exacte uitgaven op het gebied van abortuszorg uit te splitsen. Nederlandse bijdragen onder dit artikel komen ten goede aan programma’s en fondsen die een breed pakket van gezondheidsdiensten (inclusief S</w:t>
            </w:r>
            <w:r w:rsidRPr="00467C2F" w:rsidR="00EC736E">
              <w:rPr>
                <w:b/>
                <w:bCs/>
              </w:rPr>
              <w:t xml:space="preserve">eksuele en </w:t>
            </w:r>
            <w:r w:rsidRPr="00467C2F">
              <w:rPr>
                <w:b/>
                <w:bCs/>
              </w:rPr>
              <w:t>R</w:t>
            </w:r>
            <w:r w:rsidRPr="00467C2F" w:rsidR="00EC736E">
              <w:rPr>
                <w:b/>
                <w:bCs/>
              </w:rPr>
              <w:t xml:space="preserve">eproductieve </w:t>
            </w:r>
            <w:r w:rsidRPr="00467C2F">
              <w:rPr>
                <w:b/>
                <w:bCs/>
              </w:rPr>
              <w:t>G</w:t>
            </w:r>
            <w:r w:rsidRPr="00467C2F" w:rsidR="00EC736E">
              <w:rPr>
                <w:b/>
                <w:bCs/>
              </w:rPr>
              <w:t xml:space="preserve">ezondheid en </w:t>
            </w:r>
            <w:r w:rsidRPr="00467C2F">
              <w:rPr>
                <w:b/>
                <w:bCs/>
              </w:rPr>
              <w:t>R</w:t>
            </w:r>
            <w:r w:rsidRPr="00467C2F" w:rsidR="00EC736E">
              <w:rPr>
                <w:b/>
                <w:bCs/>
              </w:rPr>
              <w:t>echten (SRGR)</w:t>
            </w:r>
            <w:r w:rsidRPr="00467C2F">
              <w:rPr>
                <w:b/>
                <w:bCs/>
              </w:rPr>
              <w:t>) aanbieden. Daaronder valt bijvoorbeeld het versterken van gezondheidssystemen, moeder- en kindzorg, gezondheidsvoorlichting, anticonceptie of zorg rondom hiv/aids. Partnerorganisaties werken vaak aan een breed pakket van diensten. Toegang tot veilige abortus kan hier onderdeel van uitmaken</w:t>
            </w:r>
            <w:r w:rsidRPr="00467C2F">
              <w:t>.  </w:t>
            </w:r>
          </w:p>
          <w:p w:rsidRPr="00467C2F" w:rsidR="00CA32BB" w:rsidP="004C460D" w:rsidRDefault="00CA32BB" w14:paraId="796AA63B" w14:textId="79169820"/>
        </w:tc>
        <w:tc>
          <w:tcPr>
            <w:tcW w:w="430" w:type="dxa"/>
          </w:tcPr>
          <w:p w:rsidRPr="00467C2F" w:rsidR="004C460D" w:rsidRDefault="004C460D" w14:paraId="1C6DE2C6" w14:textId="77777777">
            <w:pPr>
              <w:jc w:val="right"/>
            </w:pPr>
          </w:p>
        </w:tc>
        <w:tc>
          <w:tcPr>
            <w:tcW w:w="567" w:type="dxa"/>
          </w:tcPr>
          <w:p w:rsidRPr="00467C2F" w:rsidR="004C460D" w:rsidRDefault="004C460D" w14:paraId="3EA18193" w14:textId="77777777">
            <w:pPr>
              <w:jc w:val="right"/>
            </w:pPr>
            <w:r w:rsidRPr="00467C2F">
              <w:t xml:space="preserve"> </w:t>
            </w:r>
          </w:p>
        </w:tc>
      </w:tr>
      <w:tr w:rsidRPr="00467C2F" w:rsidR="004C460D" w:rsidTr="00CA32BB" w14:paraId="2352DB8F" w14:textId="77777777">
        <w:tc>
          <w:tcPr>
            <w:tcW w:w="567" w:type="dxa"/>
          </w:tcPr>
          <w:p w:rsidRPr="00467C2F" w:rsidR="004C460D" w:rsidRDefault="004C460D" w14:paraId="49D1BD9D" w14:textId="77777777">
            <w:r w:rsidRPr="00467C2F">
              <w:t>10</w:t>
            </w:r>
          </w:p>
        </w:tc>
        <w:tc>
          <w:tcPr>
            <w:tcW w:w="7083" w:type="dxa"/>
          </w:tcPr>
          <w:p w:rsidRPr="00467C2F" w:rsidR="004C460D" w:rsidRDefault="004C460D" w14:paraId="79D9C155" w14:textId="77777777">
            <w:r w:rsidRPr="00467C2F">
              <w:t>Kunt u een overzicht geven van de jaarlijkse (begrote) uitgaven op het gebied van vrouwenrechten van 2010 tot 2030?</w:t>
            </w:r>
          </w:p>
          <w:p w:rsidRPr="00467C2F" w:rsidR="004C460D" w:rsidP="007E1626" w:rsidRDefault="004C460D" w14:paraId="13451BF5" w14:textId="77777777">
            <w:pPr>
              <w:rPr>
                <w:b/>
                <w:bCs/>
              </w:rPr>
            </w:pPr>
            <w:r w:rsidRPr="00467C2F">
              <w:rPr>
                <w:b/>
                <w:bCs/>
              </w:rPr>
              <w:t>Antwoord:</w:t>
            </w:r>
          </w:p>
          <w:p w:rsidRPr="00467C2F" w:rsidR="004C460D" w:rsidP="007E1626" w:rsidRDefault="004C460D" w14:paraId="5D4E326F" w14:textId="20C6705C">
            <w:pPr>
              <w:rPr>
                <w:b/>
                <w:bCs/>
              </w:rPr>
            </w:pPr>
            <w:bookmarkStart w:name="_Hlk209514463" w:id="2"/>
            <w:r w:rsidRPr="00467C2F">
              <w:rPr>
                <w:b/>
                <w:bCs/>
              </w:rPr>
              <w:t>Zie bijlage 1.</w:t>
            </w:r>
          </w:p>
          <w:bookmarkEnd w:id="2"/>
          <w:p w:rsidRPr="00467C2F" w:rsidR="004C460D" w:rsidP="004C460D" w:rsidRDefault="004C460D" w14:paraId="0E6400BC" w14:textId="77777777"/>
        </w:tc>
        <w:tc>
          <w:tcPr>
            <w:tcW w:w="430" w:type="dxa"/>
          </w:tcPr>
          <w:p w:rsidRPr="00467C2F" w:rsidR="004C460D" w:rsidRDefault="004C460D" w14:paraId="2E3C3717" w14:textId="77777777">
            <w:pPr>
              <w:jc w:val="right"/>
            </w:pPr>
          </w:p>
        </w:tc>
        <w:tc>
          <w:tcPr>
            <w:tcW w:w="567" w:type="dxa"/>
          </w:tcPr>
          <w:p w:rsidRPr="00467C2F" w:rsidR="004C460D" w:rsidRDefault="004C460D" w14:paraId="571A343D" w14:textId="77777777">
            <w:pPr>
              <w:jc w:val="right"/>
            </w:pPr>
            <w:r w:rsidRPr="00467C2F">
              <w:t xml:space="preserve"> </w:t>
            </w:r>
          </w:p>
        </w:tc>
      </w:tr>
      <w:tr w:rsidRPr="00467C2F" w:rsidR="004C460D" w:rsidTr="00CA32BB" w14:paraId="07956CD6" w14:textId="77777777">
        <w:tc>
          <w:tcPr>
            <w:tcW w:w="567" w:type="dxa"/>
          </w:tcPr>
          <w:p w:rsidRPr="00467C2F" w:rsidR="004C460D" w:rsidP="00812658" w:rsidRDefault="004C460D" w14:paraId="3CBDB6CB" w14:textId="77777777">
            <w:r w:rsidRPr="00467C2F">
              <w:t>11</w:t>
            </w:r>
          </w:p>
        </w:tc>
        <w:tc>
          <w:tcPr>
            <w:tcW w:w="7083" w:type="dxa"/>
          </w:tcPr>
          <w:p w:rsidRPr="00467C2F" w:rsidR="004C460D" w:rsidP="00812658" w:rsidRDefault="004C460D" w14:paraId="33F7FFF2" w14:textId="77777777">
            <w:r w:rsidRPr="00467C2F">
              <w:t>Kunt u een overzicht geven van de jaarlijkse (begrote) uitgaven op het gebied van onderwijs van 2010 tot 2030?</w:t>
            </w:r>
          </w:p>
          <w:p w:rsidRPr="00467C2F" w:rsidR="004C460D" w:rsidP="00812658" w:rsidRDefault="004C460D" w14:paraId="067306BE" w14:textId="77777777">
            <w:pPr>
              <w:rPr>
                <w:b/>
                <w:bCs/>
              </w:rPr>
            </w:pPr>
            <w:r w:rsidRPr="00467C2F">
              <w:rPr>
                <w:b/>
                <w:bCs/>
              </w:rPr>
              <w:t>Antwoord:</w:t>
            </w:r>
          </w:p>
          <w:p w:rsidRPr="00467C2F" w:rsidR="004C460D" w:rsidP="00960B65" w:rsidRDefault="004C460D" w14:paraId="31CAC1AA" w14:textId="77777777">
            <w:pPr>
              <w:rPr>
                <w:b/>
                <w:bCs/>
              </w:rPr>
            </w:pPr>
            <w:r w:rsidRPr="00467C2F">
              <w:rPr>
                <w:b/>
                <w:bCs/>
              </w:rPr>
              <w:t>Zie bijlage 1.</w:t>
            </w:r>
          </w:p>
          <w:p w:rsidRPr="00467C2F" w:rsidR="004C460D" w:rsidP="004C460D" w:rsidRDefault="004C460D" w14:paraId="551A6C47" w14:textId="77777777"/>
        </w:tc>
        <w:tc>
          <w:tcPr>
            <w:tcW w:w="430" w:type="dxa"/>
          </w:tcPr>
          <w:p w:rsidRPr="00467C2F" w:rsidR="004C460D" w:rsidP="00812658" w:rsidRDefault="004C460D" w14:paraId="55E476F7" w14:textId="77777777">
            <w:pPr>
              <w:jc w:val="right"/>
            </w:pPr>
          </w:p>
        </w:tc>
        <w:tc>
          <w:tcPr>
            <w:tcW w:w="567" w:type="dxa"/>
          </w:tcPr>
          <w:p w:rsidRPr="00467C2F" w:rsidR="004C460D" w:rsidP="00812658" w:rsidRDefault="004C460D" w14:paraId="38B4B520" w14:textId="77777777">
            <w:pPr>
              <w:jc w:val="right"/>
            </w:pPr>
            <w:r w:rsidRPr="00467C2F">
              <w:t xml:space="preserve"> </w:t>
            </w:r>
          </w:p>
        </w:tc>
      </w:tr>
      <w:tr w:rsidRPr="00467C2F" w:rsidR="004C460D" w:rsidTr="00CA32BB" w14:paraId="28A7F0E3" w14:textId="77777777">
        <w:tc>
          <w:tcPr>
            <w:tcW w:w="567" w:type="dxa"/>
          </w:tcPr>
          <w:p w:rsidRPr="00467C2F" w:rsidR="004C460D" w:rsidP="00812658" w:rsidRDefault="004C460D" w14:paraId="0A7D09EA" w14:textId="77777777">
            <w:r w:rsidRPr="00467C2F">
              <w:t>12</w:t>
            </w:r>
          </w:p>
        </w:tc>
        <w:tc>
          <w:tcPr>
            <w:tcW w:w="7083" w:type="dxa"/>
          </w:tcPr>
          <w:p w:rsidRPr="00467C2F" w:rsidR="004C460D" w:rsidP="00812658" w:rsidRDefault="004C460D" w14:paraId="0B75F0B6" w14:textId="77777777">
            <w:r w:rsidRPr="00467C2F">
              <w:t>Kunt u een overzicht geven van de jaarlijkse (begrote) uitgaven op het gebied van klimaat van 2010 tot 2030?</w:t>
            </w:r>
          </w:p>
          <w:p w:rsidRPr="00467C2F" w:rsidR="004C460D" w:rsidP="00812658" w:rsidRDefault="004C460D" w14:paraId="4B4E8919" w14:textId="77777777">
            <w:pPr>
              <w:rPr>
                <w:b/>
                <w:bCs/>
              </w:rPr>
            </w:pPr>
            <w:r w:rsidRPr="00467C2F">
              <w:rPr>
                <w:b/>
                <w:bCs/>
              </w:rPr>
              <w:t>Antwoord:</w:t>
            </w:r>
          </w:p>
          <w:p w:rsidRPr="00467C2F" w:rsidR="004C460D" w:rsidP="00960B65" w:rsidRDefault="004C460D" w14:paraId="4A745B77" w14:textId="77777777">
            <w:pPr>
              <w:rPr>
                <w:b/>
                <w:bCs/>
              </w:rPr>
            </w:pPr>
            <w:r w:rsidRPr="00467C2F">
              <w:rPr>
                <w:b/>
                <w:bCs/>
              </w:rPr>
              <w:t>Zie bijlage 1.</w:t>
            </w:r>
          </w:p>
          <w:p w:rsidRPr="00467C2F" w:rsidR="004C460D" w:rsidP="004C460D" w:rsidRDefault="004C460D" w14:paraId="79F20403" w14:textId="77777777"/>
        </w:tc>
        <w:tc>
          <w:tcPr>
            <w:tcW w:w="430" w:type="dxa"/>
          </w:tcPr>
          <w:p w:rsidRPr="00467C2F" w:rsidR="004C460D" w:rsidP="00812658" w:rsidRDefault="004C460D" w14:paraId="534E594A" w14:textId="77777777">
            <w:pPr>
              <w:jc w:val="right"/>
            </w:pPr>
          </w:p>
        </w:tc>
        <w:tc>
          <w:tcPr>
            <w:tcW w:w="567" w:type="dxa"/>
          </w:tcPr>
          <w:p w:rsidRPr="00467C2F" w:rsidR="004C460D" w:rsidP="00812658" w:rsidRDefault="004C460D" w14:paraId="7FC44C16" w14:textId="77777777">
            <w:pPr>
              <w:jc w:val="right"/>
            </w:pPr>
            <w:r w:rsidRPr="00467C2F">
              <w:t xml:space="preserve"> </w:t>
            </w:r>
          </w:p>
        </w:tc>
      </w:tr>
      <w:tr w:rsidRPr="00467C2F" w:rsidR="004C460D" w:rsidTr="00CA32BB" w14:paraId="18A8A9F4" w14:textId="77777777">
        <w:tc>
          <w:tcPr>
            <w:tcW w:w="567" w:type="dxa"/>
          </w:tcPr>
          <w:p w:rsidRPr="00467C2F" w:rsidR="004C460D" w:rsidP="00812658" w:rsidRDefault="004C460D" w14:paraId="4DD108E9" w14:textId="77777777">
            <w:r w:rsidRPr="00467C2F">
              <w:t>13</w:t>
            </w:r>
          </w:p>
        </w:tc>
        <w:tc>
          <w:tcPr>
            <w:tcW w:w="7083" w:type="dxa"/>
          </w:tcPr>
          <w:p w:rsidRPr="00467C2F" w:rsidR="004C460D" w:rsidP="00812658" w:rsidRDefault="004C460D" w14:paraId="6624B482" w14:textId="77777777">
            <w:r w:rsidRPr="00467C2F">
              <w:t>Kunt u een overzicht geven van de jaarlijkse (begrote) uitgaven op het gebied van het maatschappelijk middenveld van 2010 tot 2030?</w:t>
            </w:r>
          </w:p>
          <w:p w:rsidRPr="00467C2F" w:rsidR="004C460D" w:rsidP="00812658" w:rsidRDefault="004C460D" w14:paraId="5C87DB5E" w14:textId="77777777">
            <w:pPr>
              <w:rPr>
                <w:b/>
                <w:bCs/>
              </w:rPr>
            </w:pPr>
            <w:r w:rsidRPr="00467C2F">
              <w:rPr>
                <w:b/>
                <w:bCs/>
              </w:rPr>
              <w:t>Antwoord:</w:t>
            </w:r>
          </w:p>
          <w:p w:rsidRPr="00467C2F" w:rsidR="004C460D" w:rsidP="00960B65" w:rsidRDefault="004C460D" w14:paraId="6CE5D3B9" w14:textId="77777777">
            <w:pPr>
              <w:rPr>
                <w:b/>
                <w:bCs/>
              </w:rPr>
            </w:pPr>
            <w:r w:rsidRPr="00467C2F">
              <w:rPr>
                <w:b/>
                <w:bCs/>
              </w:rPr>
              <w:t>Zie bijlage 1.</w:t>
            </w:r>
          </w:p>
          <w:p w:rsidRPr="00467C2F" w:rsidR="004C460D" w:rsidP="004C460D" w:rsidRDefault="004C460D" w14:paraId="674FA151" w14:textId="77777777"/>
        </w:tc>
        <w:tc>
          <w:tcPr>
            <w:tcW w:w="430" w:type="dxa"/>
          </w:tcPr>
          <w:p w:rsidRPr="00467C2F" w:rsidR="004C460D" w:rsidP="00812658" w:rsidRDefault="004C460D" w14:paraId="3342E487" w14:textId="77777777">
            <w:pPr>
              <w:jc w:val="right"/>
            </w:pPr>
          </w:p>
        </w:tc>
        <w:tc>
          <w:tcPr>
            <w:tcW w:w="567" w:type="dxa"/>
          </w:tcPr>
          <w:p w:rsidRPr="00467C2F" w:rsidR="004C460D" w:rsidP="00812658" w:rsidRDefault="004C460D" w14:paraId="2845CBD0" w14:textId="77777777">
            <w:pPr>
              <w:jc w:val="right"/>
            </w:pPr>
            <w:r w:rsidRPr="00467C2F">
              <w:t xml:space="preserve"> </w:t>
            </w:r>
          </w:p>
        </w:tc>
      </w:tr>
      <w:tr w:rsidRPr="00467C2F" w:rsidR="004C460D" w:rsidTr="00CA32BB" w14:paraId="19C7EFDC" w14:textId="77777777">
        <w:tc>
          <w:tcPr>
            <w:tcW w:w="567" w:type="dxa"/>
          </w:tcPr>
          <w:p w:rsidRPr="00467C2F" w:rsidR="004C460D" w:rsidP="00812658" w:rsidRDefault="004C460D" w14:paraId="198CC2BF" w14:textId="77777777">
            <w:r w:rsidRPr="00467C2F">
              <w:t>14</w:t>
            </w:r>
          </w:p>
        </w:tc>
        <w:tc>
          <w:tcPr>
            <w:tcW w:w="7083" w:type="dxa"/>
          </w:tcPr>
          <w:p w:rsidRPr="00467C2F" w:rsidR="004C460D" w:rsidP="00812658" w:rsidRDefault="004C460D" w14:paraId="056DCB31" w14:textId="77777777">
            <w:r w:rsidRPr="00467C2F">
              <w:t>Kunt u een overzicht geven van het jaarlijks (gerealiseerde) ODA percentage van 2010 tot 2030?</w:t>
            </w:r>
          </w:p>
          <w:p w:rsidRPr="00467C2F" w:rsidR="004C460D" w:rsidP="00812658" w:rsidRDefault="004C460D" w14:paraId="3F40B956" w14:textId="77777777">
            <w:pPr>
              <w:rPr>
                <w:b/>
                <w:bCs/>
              </w:rPr>
            </w:pPr>
            <w:r w:rsidRPr="00467C2F">
              <w:rPr>
                <w:b/>
                <w:bCs/>
              </w:rPr>
              <w:t>Antwoord:</w:t>
            </w:r>
          </w:p>
          <w:p w:rsidRPr="00467C2F" w:rsidR="004C460D" w:rsidP="00181E88" w:rsidRDefault="004C460D" w14:paraId="439E55C8" w14:textId="77777777">
            <w:pPr>
              <w:rPr>
                <w:b/>
                <w:bCs/>
              </w:rPr>
            </w:pPr>
            <w:r w:rsidRPr="00467C2F">
              <w:rPr>
                <w:b/>
                <w:bCs/>
              </w:rPr>
              <w:t>Zie bijlage 1.</w:t>
            </w:r>
          </w:p>
          <w:p w:rsidRPr="00467C2F" w:rsidR="004C460D" w:rsidP="004C460D" w:rsidRDefault="004C460D" w14:paraId="4817C957" w14:textId="77777777"/>
        </w:tc>
        <w:tc>
          <w:tcPr>
            <w:tcW w:w="430" w:type="dxa"/>
          </w:tcPr>
          <w:p w:rsidRPr="00467C2F" w:rsidR="004C460D" w:rsidP="00812658" w:rsidRDefault="004C460D" w14:paraId="6DB91E88" w14:textId="77777777">
            <w:pPr>
              <w:jc w:val="right"/>
            </w:pPr>
          </w:p>
        </w:tc>
        <w:tc>
          <w:tcPr>
            <w:tcW w:w="567" w:type="dxa"/>
          </w:tcPr>
          <w:p w:rsidRPr="00467C2F" w:rsidR="004C460D" w:rsidP="00812658" w:rsidRDefault="004C460D" w14:paraId="71D52A62" w14:textId="77777777">
            <w:pPr>
              <w:jc w:val="right"/>
            </w:pPr>
            <w:r w:rsidRPr="00467C2F">
              <w:t xml:space="preserve"> </w:t>
            </w:r>
          </w:p>
        </w:tc>
      </w:tr>
      <w:tr w:rsidRPr="00467C2F" w:rsidR="004C460D" w:rsidTr="00CA32BB" w14:paraId="23682E25" w14:textId="77777777">
        <w:tc>
          <w:tcPr>
            <w:tcW w:w="567" w:type="dxa"/>
          </w:tcPr>
          <w:p w:rsidRPr="00467C2F" w:rsidR="004C460D" w:rsidP="00812658" w:rsidRDefault="004C460D" w14:paraId="264980F2" w14:textId="77777777">
            <w:r w:rsidRPr="00467C2F">
              <w:t>15</w:t>
            </w:r>
          </w:p>
        </w:tc>
        <w:tc>
          <w:tcPr>
            <w:tcW w:w="7083" w:type="dxa"/>
          </w:tcPr>
          <w:p w:rsidRPr="00467C2F" w:rsidR="004C460D" w:rsidP="00812658" w:rsidRDefault="004C460D" w14:paraId="04B9F3EE" w14:textId="77777777">
            <w:r w:rsidRPr="00467C2F">
              <w:t>Bevestigt het kabinet dat de wet terugwerkt tot 16-09-2025, en welke mutaties vallen onder die terugwerkende werking?</w:t>
            </w:r>
          </w:p>
          <w:p w:rsidRPr="00467C2F" w:rsidR="004C460D" w:rsidP="00812658" w:rsidRDefault="004C460D" w14:paraId="32B58339" w14:textId="77777777">
            <w:pPr>
              <w:rPr>
                <w:b/>
                <w:bCs/>
              </w:rPr>
            </w:pPr>
            <w:r w:rsidRPr="00467C2F">
              <w:rPr>
                <w:b/>
                <w:bCs/>
              </w:rPr>
              <w:t>Antwoord:</w:t>
            </w:r>
          </w:p>
          <w:p w:rsidRPr="00467C2F" w:rsidR="004C460D" w:rsidP="00812658" w:rsidRDefault="004C460D" w14:paraId="7877E4C4" w14:textId="141EEA12">
            <w:r w:rsidRPr="00467C2F">
              <w:rPr>
                <w:b/>
                <w:bCs/>
              </w:rPr>
              <w:t>Dat een suppletoire begrotingswet terugwerkt tot het moment van indiening is een standaardbepaling in dit type wetsvoorstel. Deze bepaling is van toepassing op alle begrotingsmutaties die zijn opgenomen in het Voorstel van Wet. Het ministerie gaat vanzelfsprekend terughoudend om met de uitvoering van de mutaties in het wetsvoorstel tot autorisatie van het parlement</w:t>
            </w:r>
            <w:r w:rsidRPr="00467C2F">
              <w:t>.</w:t>
            </w:r>
          </w:p>
          <w:p w:rsidRPr="00467C2F" w:rsidR="004C460D" w:rsidP="004C460D" w:rsidRDefault="004C460D" w14:paraId="6CE49C54" w14:textId="77777777"/>
        </w:tc>
        <w:tc>
          <w:tcPr>
            <w:tcW w:w="430" w:type="dxa"/>
          </w:tcPr>
          <w:p w:rsidRPr="00467C2F" w:rsidR="004C460D" w:rsidP="00812658" w:rsidRDefault="004C460D" w14:paraId="66910A8F" w14:textId="77777777">
            <w:pPr>
              <w:jc w:val="right"/>
            </w:pPr>
            <w:r w:rsidRPr="00467C2F">
              <w:t>2</w:t>
            </w:r>
          </w:p>
        </w:tc>
        <w:tc>
          <w:tcPr>
            <w:tcW w:w="567" w:type="dxa"/>
          </w:tcPr>
          <w:p w:rsidRPr="00467C2F" w:rsidR="004C460D" w:rsidP="00812658" w:rsidRDefault="004C460D" w14:paraId="654F0463" w14:textId="77777777">
            <w:pPr>
              <w:jc w:val="right"/>
            </w:pPr>
            <w:r w:rsidRPr="00467C2F">
              <w:t xml:space="preserve">3 </w:t>
            </w:r>
          </w:p>
        </w:tc>
      </w:tr>
      <w:tr w:rsidRPr="00467C2F" w:rsidR="004C460D" w:rsidTr="00CA32BB" w14:paraId="5C97CCE1" w14:textId="77777777">
        <w:tc>
          <w:tcPr>
            <w:tcW w:w="567" w:type="dxa"/>
          </w:tcPr>
          <w:p w:rsidRPr="00467C2F" w:rsidR="004C460D" w:rsidP="00812658" w:rsidRDefault="004C460D" w14:paraId="6EBF15A9" w14:textId="77777777">
            <w:r w:rsidRPr="00467C2F">
              <w:t>16</w:t>
            </w:r>
          </w:p>
        </w:tc>
        <w:tc>
          <w:tcPr>
            <w:tcW w:w="7083" w:type="dxa"/>
          </w:tcPr>
          <w:p w:rsidRPr="00467C2F" w:rsidR="004C460D" w:rsidP="00812658" w:rsidRDefault="004C460D" w14:paraId="66D5076F" w14:textId="77777777">
            <w:r w:rsidRPr="00467C2F">
              <w:t>Kan het kabinet uitsplitsen welk deel van de septembermutaties in Nederland neerslaat en welk deel in het buitenland (per artikel)?</w:t>
            </w:r>
          </w:p>
          <w:p w:rsidRPr="00467C2F" w:rsidR="004C460D" w:rsidP="00812658" w:rsidRDefault="004C460D" w14:paraId="6CD2AC7B" w14:textId="77777777">
            <w:pPr>
              <w:rPr>
                <w:b/>
                <w:bCs/>
              </w:rPr>
            </w:pPr>
            <w:r w:rsidRPr="00467C2F">
              <w:rPr>
                <w:b/>
                <w:bCs/>
              </w:rPr>
              <w:t>Antwoord:</w:t>
            </w:r>
          </w:p>
          <w:p w:rsidRPr="00467C2F" w:rsidR="004C460D" w:rsidP="00812658" w:rsidRDefault="004C460D" w14:paraId="0A5EF258" w14:textId="0F3D36F2">
            <w:r w:rsidRPr="00467C2F">
              <w:rPr>
                <w:b/>
                <w:bCs/>
              </w:rPr>
              <w:t>Het grootste gedeelte van de mutaties betreft ODA-middelen. Dit zijn middelen die ten goede komen aan lage- en middeninkomenslanden. De overboeking naar het ministerie van A</w:t>
            </w:r>
            <w:r w:rsidRPr="00467C2F" w:rsidR="00EC736E">
              <w:rPr>
                <w:b/>
                <w:bCs/>
              </w:rPr>
              <w:t>siel en Migratie (A&amp;M)</w:t>
            </w:r>
            <w:r w:rsidRPr="00467C2F">
              <w:rPr>
                <w:b/>
                <w:bCs/>
              </w:rPr>
              <w:t xml:space="preserve"> van EUR 10 miljoen dat vanuit artikel 4 wordt overgeheveld en </w:t>
            </w:r>
            <w:proofErr w:type="spellStart"/>
            <w:r w:rsidRPr="00467C2F">
              <w:rPr>
                <w:b/>
                <w:bCs/>
              </w:rPr>
              <w:t>omgelabeld</w:t>
            </w:r>
            <w:proofErr w:type="spellEnd"/>
            <w:r w:rsidRPr="00467C2F">
              <w:rPr>
                <w:b/>
                <w:bCs/>
              </w:rPr>
              <w:t xml:space="preserve"> wordt naar non-ODA ten behoeve van complementaire inzet op migratiebeleid zal waarschijnlijk deels in Nederland en deels in het buitenland neerslaan.</w:t>
            </w:r>
          </w:p>
          <w:p w:rsidRPr="00467C2F" w:rsidR="004C460D" w:rsidP="004C460D" w:rsidRDefault="004C460D" w14:paraId="33AED487" w14:textId="77777777"/>
        </w:tc>
        <w:tc>
          <w:tcPr>
            <w:tcW w:w="430" w:type="dxa"/>
          </w:tcPr>
          <w:p w:rsidRPr="00467C2F" w:rsidR="004C460D" w:rsidP="00812658" w:rsidRDefault="004C460D" w14:paraId="323864AC" w14:textId="77777777">
            <w:pPr>
              <w:jc w:val="right"/>
            </w:pPr>
            <w:r w:rsidRPr="00467C2F">
              <w:t>2</w:t>
            </w:r>
          </w:p>
        </w:tc>
        <w:tc>
          <w:tcPr>
            <w:tcW w:w="567" w:type="dxa"/>
          </w:tcPr>
          <w:p w:rsidRPr="00467C2F" w:rsidR="004C460D" w:rsidP="00812658" w:rsidRDefault="004C460D" w14:paraId="387ADDB2" w14:textId="77777777">
            <w:pPr>
              <w:jc w:val="right"/>
            </w:pPr>
            <w:r w:rsidRPr="00467C2F">
              <w:t xml:space="preserve">4 </w:t>
            </w:r>
          </w:p>
        </w:tc>
      </w:tr>
      <w:tr w:rsidRPr="00467C2F" w:rsidR="004C460D" w:rsidTr="00CA32BB" w14:paraId="556DD670" w14:textId="77777777">
        <w:tc>
          <w:tcPr>
            <w:tcW w:w="567" w:type="dxa"/>
          </w:tcPr>
          <w:p w:rsidRPr="00467C2F" w:rsidR="004C460D" w:rsidP="00812658" w:rsidRDefault="004C460D" w14:paraId="469BBE10" w14:textId="77777777">
            <w:r w:rsidRPr="00467C2F">
              <w:t>17</w:t>
            </w:r>
          </w:p>
        </w:tc>
        <w:tc>
          <w:tcPr>
            <w:tcW w:w="7083" w:type="dxa"/>
          </w:tcPr>
          <w:p w:rsidRPr="00467C2F" w:rsidR="004C460D" w:rsidP="00812658" w:rsidRDefault="004C460D" w14:paraId="32A8F54C" w14:textId="77777777">
            <w:r w:rsidRPr="00467C2F">
              <w:t>Kan het kabinet per artikel (1–5) toelichten waarom de verplichtingen in september nog stijgen in plaats van krimpen?</w:t>
            </w:r>
          </w:p>
          <w:p w:rsidRPr="00467C2F" w:rsidR="004C460D" w:rsidP="00812658" w:rsidRDefault="004C460D" w14:paraId="3E145DF2" w14:textId="77777777">
            <w:pPr>
              <w:rPr>
                <w:b/>
                <w:bCs/>
              </w:rPr>
            </w:pPr>
            <w:r w:rsidRPr="00467C2F">
              <w:rPr>
                <w:b/>
                <w:bCs/>
              </w:rPr>
              <w:t>Antwoord:</w:t>
            </w:r>
          </w:p>
          <w:p w:rsidRPr="00467C2F" w:rsidR="004C460D" w:rsidP="00812658" w:rsidRDefault="004C460D" w14:paraId="2E64D24D" w14:textId="4613A1DC">
            <w:pPr>
              <w:rPr>
                <w:b/>
                <w:bCs/>
              </w:rPr>
            </w:pPr>
            <w:r w:rsidRPr="00467C2F">
              <w:rPr>
                <w:b/>
                <w:bCs/>
              </w:rPr>
              <w:t xml:space="preserve">Het verplichtingenbudget voor artikel 1 en 2 stijgt. Het betreft ophogingen om de verplichtingen in lijn te brengen met de geraamde uitgaven voor de komende jaren volgend uit de beleidsbrief Ontwikkelingshulp (Kamerstuk 36180-133, p. 20). Hiermee worden ambassades in staat gesteld verplichtingen aan te gaan voor programma’s op het gebied van voedselzekerheid, watermanagement en handel. Daarnaast stijgt het verplichtingenbudget op artikel 2 door de overheveling van EUR 10 miljoen voor wederopbouw voor Gaza. </w:t>
            </w:r>
          </w:p>
          <w:p w:rsidRPr="00467C2F" w:rsidR="004C460D" w:rsidP="00812658" w:rsidRDefault="004C460D" w14:paraId="6CE48F17" w14:textId="74872520">
            <w:pPr>
              <w:rPr>
                <w:b/>
                <w:bCs/>
              </w:rPr>
            </w:pPr>
            <w:r w:rsidRPr="00467C2F">
              <w:rPr>
                <w:b/>
                <w:bCs/>
              </w:rPr>
              <w:t xml:space="preserve">Voor artikel 3,4 en 5 daalt het verplichtingenbudget. </w:t>
            </w:r>
          </w:p>
          <w:p w:rsidRPr="00467C2F" w:rsidR="004C460D" w:rsidP="00812658" w:rsidRDefault="004C460D" w14:paraId="5FD73BFC" w14:textId="77777777"/>
        </w:tc>
        <w:tc>
          <w:tcPr>
            <w:tcW w:w="430" w:type="dxa"/>
          </w:tcPr>
          <w:p w:rsidRPr="00467C2F" w:rsidR="004C460D" w:rsidP="00812658" w:rsidRDefault="004C460D" w14:paraId="2D642C1A" w14:textId="77777777">
            <w:pPr>
              <w:jc w:val="right"/>
            </w:pPr>
            <w:r w:rsidRPr="00467C2F">
              <w:t>3</w:t>
            </w:r>
          </w:p>
        </w:tc>
        <w:tc>
          <w:tcPr>
            <w:tcW w:w="567" w:type="dxa"/>
          </w:tcPr>
          <w:p w:rsidRPr="00467C2F" w:rsidR="004C460D" w:rsidP="00812658" w:rsidRDefault="004C460D" w14:paraId="76FCA5B4" w14:textId="77777777">
            <w:pPr>
              <w:jc w:val="right"/>
            </w:pPr>
            <w:r w:rsidRPr="00467C2F">
              <w:t xml:space="preserve">5 </w:t>
            </w:r>
          </w:p>
        </w:tc>
      </w:tr>
      <w:tr w:rsidRPr="00467C2F" w:rsidR="004C460D" w:rsidTr="00CA32BB" w14:paraId="15B9ADC3" w14:textId="77777777">
        <w:tc>
          <w:tcPr>
            <w:tcW w:w="567" w:type="dxa"/>
          </w:tcPr>
          <w:p w:rsidRPr="00467C2F" w:rsidR="004C460D" w:rsidP="00812658" w:rsidRDefault="004C460D" w14:paraId="71C85DD4" w14:textId="77777777">
            <w:r w:rsidRPr="00467C2F">
              <w:t>18</w:t>
            </w:r>
          </w:p>
        </w:tc>
        <w:tc>
          <w:tcPr>
            <w:tcW w:w="7083" w:type="dxa"/>
          </w:tcPr>
          <w:p w:rsidRPr="00467C2F" w:rsidR="004C460D" w:rsidP="00812658" w:rsidRDefault="004C460D" w14:paraId="4B1DFE04" w14:textId="77777777">
            <w:r w:rsidRPr="00467C2F">
              <w:t>Bevestigt het kabinet het totaalbeeld +€20,493 miljoen aan verplichtingen / –€36,360 miljoen aan uitgaven en wat zijn de hoofdoorzaken per artikel?</w:t>
            </w:r>
          </w:p>
          <w:p w:rsidRPr="00467C2F" w:rsidR="004C460D" w:rsidP="00812658" w:rsidRDefault="004C460D" w14:paraId="1C4E76EE" w14:textId="77777777">
            <w:pPr>
              <w:rPr>
                <w:b/>
                <w:bCs/>
              </w:rPr>
            </w:pPr>
            <w:r w:rsidRPr="00467C2F">
              <w:rPr>
                <w:b/>
                <w:bCs/>
              </w:rPr>
              <w:t>Antwoord:</w:t>
            </w:r>
          </w:p>
          <w:p w:rsidRPr="00467C2F" w:rsidR="004C460D" w:rsidP="00812658" w:rsidRDefault="004C460D" w14:paraId="0935423C" w14:textId="34CD51CC">
            <w:pPr>
              <w:rPr>
                <w:b/>
                <w:bCs/>
              </w:rPr>
            </w:pPr>
            <w:r w:rsidRPr="00467C2F">
              <w:rPr>
                <w:b/>
                <w:bCs/>
              </w:rPr>
              <w:t>Dat totaalbeeld is correct. De hoofdoorzaken zijn per artikel benoemd in de Memorie van Toelichting van de suppletoire begroting september BHO 2025 (Kamerstuk 36820-XVII, pp 6-13). Het verplichtingenbudget wordt verhoogd om de verplichtingen aan te kunnen gaan voor de geplande uitgaven voor de komende jaren die volgen uit de beleidsbrief Ontwikkelingshulp (Kamerstuk 36180-133, p. 20).</w:t>
            </w:r>
          </w:p>
          <w:p w:rsidRPr="00467C2F" w:rsidR="004C460D" w:rsidP="004C460D" w:rsidRDefault="004C460D" w14:paraId="2EC4715F" w14:textId="77777777"/>
        </w:tc>
        <w:tc>
          <w:tcPr>
            <w:tcW w:w="430" w:type="dxa"/>
          </w:tcPr>
          <w:p w:rsidRPr="00467C2F" w:rsidR="004C460D" w:rsidP="00812658" w:rsidRDefault="004C460D" w14:paraId="07100EAF" w14:textId="77777777">
            <w:pPr>
              <w:jc w:val="right"/>
            </w:pPr>
            <w:r w:rsidRPr="00467C2F">
              <w:t>3</w:t>
            </w:r>
          </w:p>
        </w:tc>
        <w:tc>
          <w:tcPr>
            <w:tcW w:w="567" w:type="dxa"/>
          </w:tcPr>
          <w:p w:rsidRPr="00467C2F" w:rsidR="004C460D" w:rsidP="00812658" w:rsidRDefault="004C460D" w14:paraId="0E0FF86A" w14:textId="77777777">
            <w:pPr>
              <w:jc w:val="right"/>
            </w:pPr>
            <w:r w:rsidRPr="00467C2F">
              <w:t xml:space="preserve">5 </w:t>
            </w:r>
          </w:p>
        </w:tc>
      </w:tr>
      <w:tr w:rsidRPr="00467C2F" w:rsidR="004C460D" w:rsidTr="00CA32BB" w14:paraId="6AFF8564" w14:textId="77777777">
        <w:tc>
          <w:tcPr>
            <w:tcW w:w="567" w:type="dxa"/>
          </w:tcPr>
          <w:p w:rsidRPr="00467C2F" w:rsidR="004C460D" w:rsidP="00812658" w:rsidRDefault="004C460D" w14:paraId="0F4BCE9C" w14:textId="77777777">
            <w:r w:rsidRPr="00467C2F">
              <w:t>19</w:t>
            </w:r>
          </w:p>
        </w:tc>
        <w:tc>
          <w:tcPr>
            <w:tcW w:w="7083" w:type="dxa"/>
          </w:tcPr>
          <w:p w:rsidRPr="00467C2F" w:rsidR="004C460D" w:rsidP="00812658" w:rsidRDefault="004C460D" w14:paraId="56E53852" w14:textId="77777777">
            <w:r w:rsidRPr="00467C2F">
              <w:t>Bevestigt het kabinet dat de naamswijzigingen van art. 1.2/1.3/4.2/4.3 louter rubricering zijn en géén beleidsuitbreiding?</w:t>
            </w:r>
          </w:p>
          <w:p w:rsidRPr="00467C2F" w:rsidR="004C460D" w:rsidP="00812658" w:rsidRDefault="004C460D" w14:paraId="1937EFA9" w14:textId="77777777">
            <w:pPr>
              <w:rPr>
                <w:b/>
                <w:bCs/>
              </w:rPr>
            </w:pPr>
            <w:r w:rsidRPr="00467C2F">
              <w:rPr>
                <w:b/>
                <w:bCs/>
              </w:rPr>
              <w:t>Antwoord:</w:t>
            </w:r>
          </w:p>
          <w:p w:rsidR="004C460D" w:rsidP="004C460D" w:rsidRDefault="004C460D" w14:paraId="78E13790" w14:textId="77777777">
            <w:pPr>
              <w:rPr>
                <w:b/>
                <w:bCs/>
              </w:rPr>
            </w:pPr>
            <w:r w:rsidRPr="00467C2F">
              <w:rPr>
                <w:b/>
                <w:bCs/>
              </w:rPr>
              <w:t xml:space="preserve">De namen van de artikelonderdelen zijn geactualiseerd om beter weer te geven wat de onderliggende beleidsinzet is. De activiteiten die de minister onderneemt onder </w:t>
            </w:r>
            <w:r w:rsidRPr="00467C2F">
              <w:rPr>
                <w:b/>
                <w:bCs/>
              </w:rPr>
              <w:lastRenderedPageBreak/>
              <w:t>deze artikelonderdelen worden zoals altijd weergegeven in de ontwerpbegroting van dat jaar, onder de onderdelen A (Algemene Doelstelling) en B (Rollen en Verantwoordelijkheden). In de ontwerpbegroting 2026 zijn de onderdelen A en B geactualiseerd n.a.v. de Beleidsbrief Ontwikkelingshulp (Kamerstuk 36180-133).</w:t>
            </w:r>
          </w:p>
          <w:p w:rsidRPr="00467C2F" w:rsidR="00500CDA" w:rsidP="004C460D" w:rsidRDefault="00500CDA" w14:paraId="6A41F60F" w14:textId="3065B9EE">
            <w:pPr>
              <w:rPr>
                <w:b/>
                <w:bCs/>
              </w:rPr>
            </w:pPr>
          </w:p>
        </w:tc>
        <w:tc>
          <w:tcPr>
            <w:tcW w:w="430" w:type="dxa"/>
          </w:tcPr>
          <w:p w:rsidRPr="00467C2F" w:rsidR="004C460D" w:rsidP="00812658" w:rsidRDefault="004C460D" w14:paraId="5B893753" w14:textId="77777777">
            <w:pPr>
              <w:jc w:val="right"/>
            </w:pPr>
            <w:r w:rsidRPr="00467C2F">
              <w:lastRenderedPageBreak/>
              <w:t>4</w:t>
            </w:r>
          </w:p>
        </w:tc>
        <w:tc>
          <w:tcPr>
            <w:tcW w:w="567" w:type="dxa"/>
          </w:tcPr>
          <w:p w:rsidRPr="00467C2F" w:rsidR="004C460D" w:rsidP="00812658" w:rsidRDefault="004C460D" w14:paraId="3A1C4E95" w14:textId="77777777">
            <w:pPr>
              <w:jc w:val="right"/>
            </w:pPr>
            <w:r w:rsidRPr="00467C2F">
              <w:t xml:space="preserve">5 </w:t>
            </w:r>
          </w:p>
        </w:tc>
      </w:tr>
      <w:tr w:rsidRPr="00467C2F" w:rsidR="004C460D" w:rsidTr="00CA32BB" w14:paraId="130385EC" w14:textId="77777777">
        <w:tc>
          <w:tcPr>
            <w:tcW w:w="567" w:type="dxa"/>
          </w:tcPr>
          <w:p w:rsidRPr="00467C2F" w:rsidR="004C460D" w:rsidP="00812658" w:rsidRDefault="004C460D" w14:paraId="67AD304E" w14:textId="77777777">
            <w:r w:rsidRPr="00467C2F">
              <w:t>20</w:t>
            </w:r>
          </w:p>
        </w:tc>
        <w:tc>
          <w:tcPr>
            <w:tcW w:w="7083" w:type="dxa"/>
          </w:tcPr>
          <w:p w:rsidRPr="00467C2F" w:rsidR="004C460D" w:rsidP="00812658" w:rsidRDefault="004C460D" w14:paraId="2EB6E4CB" w14:textId="77777777">
            <w:r w:rsidRPr="00467C2F">
              <w:t>Hoeveel van de ophoging van €19,2 miljoen bij artikel 1 wordt precies besteed aan handels- en economische programma’s via ambassades en op basis van welke criteria is deze verdeling gemaakt?</w:t>
            </w:r>
          </w:p>
          <w:p w:rsidRPr="00467C2F" w:rsidR="004C460D" w:rsidP="00812658" w:rsidRDefault="004C460D" w14:paraId="4E0B5746" w14:textId="7A22F166">
            <w:pPr>
              <w:rPr>
                <w:b/>
                <w:bCs/>
              </w:rPr>
            </w:pPr>
            <w:r w:rsidRPr="00467C2F">
              <w:rPr>
                <w:b/>
                <w:bCs/>
              </w:rPr>
              <w:t xml:space="preserve">Antwoord: </w:t>
            </w:r>
          </w:p>
          <w:p w:rsidRPr="00467C2F" w:rsidR="004C460D" w:rsidP="00812658" w:rsidRDefault="004C460D" w14:paraId="27E5AFD8" w14:textId="65D87998">
            <w:pPr>
              <w:rPr>
                <w:b/>
                <w:bCs/>
              </w:rPr>
            </w:pPr>
            <w:r w:rsidRPr="00467C2F">
              <w:rPr>
                <w:b/>
                <w:bCs/>
              </w:rPr>
              <w:t>De totale verhoging van het verplichtingenbudget zal worden besteed via ambassades. De bedragen worden toegekend op basis van aanvragen van ambassades die worden getoetst op beleidsrelevantie.</w:t>
            </w:r>
          </w:p>
          <w:p w:rsidRPr="00467C2F" w:rsidR="004C460D" w:rsidP="004C460D" w:rsidRDefault="004C460D" w14:paraId="7A231E96" w14:textId="77777777"/>
        </w:tc>
        <w:tc>
          <w:tcPr>
            <w:tcW w:w="430" w:type="dxa"/>
          </w:tcPr>
          <w:p w:rsidRPr="00467C2F" w:rsidR="004C460D" w:rsidP="00812658" w:rsidRDefault="004C460D" w14:paraId="703E3A11" w14:textId="77777777">
            <w:pPr>
              <w:jc w:val="right"/>
            </w:pPr>
            <w:r w:rsidRPr="00467C2F">
              <w:t>5</w:t>
            </w:r>
          </w:p>
        </w:tc>
        <w:tc>
          <w:tcPr>
            <w:tcW w:w="567" w:type="dxa"/>
          </w:tcPr>
          <w:p w:rsidRPr="00467C2F" w:rsidR="004C460D" w:rsidP="00812658" w:rsidRDefault="004C460D" w14:paraId="1E468907" w14:textId="77777777">
            <w:pPr>
              <w:jc w:val="right"/>
            </w:pPr>
            <w:r w:rsidRPr="00467C2F">
              <w:t xml:space="preserve"> </w:t>
            </w:r>
          </w:p>
        </w:tc>
      </w:tr>
      <w:tr w:rsidRPr="00467C2F" w:rsidR="004C460D" w:rsidTr="00CA32BB" w14:paraId="3FD3F789" w14:textId="77777777">
        <w:tc>
          <w:tcPr>
            <w:tcW w:w="567" w:type="dxa"/>
          </w:tcPr>
          <w:p w:rsidRPr="00467C2F" w:rsidR="004C460D" w:rsidP="00812658" w:rsidRDefault="004C460D" w14:paraId="093560F1" w14:textId="77777777">
            <w:r w:rsidRPr="00467C2F">
              <w:t>21</w:t>
            </w:r>
          </w:p>
        </w:tc>
        <w:tc>
          <w:tcPr>
            <w:tcW w:w="7083" w:type="dxa"/>
          </w:tcPr>
          <w:p w:rsidRPr="00467C2F" w:rsidR="004C460D" w:rsidP="00812658" w:rsidRDefault="004C460D" w14:paraId="545EFE75" w14:textId="77777777">
            <w:pPr>
              <w:rPr>
                <w:b/>
                <w:bCs/>
              </w:rPr>
            </w:pPr>
            <w:r w:rsidRPr="00467C2F">
              <w:t>Welke concrete programma’s vallen onder de ophoging van €25,8 miljoen voor beurzen en trainingen binnen artikel 1.3, en hoe wordt geborgd dat dit geld daadwerkelijk bijdraagt aan kennisoverdracht en verdienvermogen in ontwikkelingslanden?</w:t>
            </w:r>
            <w:r w:rsidRPr="00467C2F">
              <w:rPr>
                <w:b/>
                <w:bCs/>
              </w:rPr>
              <w:t xml:space="preserve"> </w:t>
            </w:r>
          </w:p>
          <w:p w:rsidRPr="00467C2F" w:rsidR="004C460D" w:rsidP="00812658" w:rsidRDefault="004C460D" w14:paraId="37EFEC57" w14:textId="3D2F2303">
            <w:pPr>
              <w:rPr>
                <w:b/>
                <w:bCs/>
              </w:rPr>
            </w:pPr>
            <w:r w:rsidRPr="00467C2F">
              <w:rPr>
                <w:b/>
                <w:bCs/>
              </w:rPr>
              <w:t>Antwoord:</w:t>
            </w:r>
          </w:p>
          <w:p w:rsidRPr="00467C2F" w:rsidR="005D47C7" w:rsidP="005D47C7" w:rsidRDefault="005D47C7" w14:paraId="4E6927FC" w14:textId="77777777">
            <w:pPr>
              <w:rPr>
                <w:b/>
                <w:bCs/>
                <w:lang w:eastAsia="en-US"/>
                <w14:ligatures w14:val="standardContextual"/>
              </w:rPr>
            </w:pPr>
            <w:r w:rsidRPr="00467C2F">
              <w:rPr>
                <w:b/>
                <w:bCs/>
                <w:lang w:eastAsia="en-US"/>
                <w14:ligatures w14:val="standardContextual"/>
              </w:rPr>
              <w:t>Het uitgavenbudget binnen artikel 1.3 wordt cumulatief verhoogd met in totaal EUR 25,8 miljoen voor 2025-2030 om in vijf combinatielanden (Egypte, Indonesië, Marokko, Nigeria en Zuid-Afrika) een trainingsinstrument in te zetten. Dit richt zich op capaciteitsversterking van onderwijsinstellingen zodat zij beter aansluiten bij de vraag van de private sector. Daarnaast worden hieruit opleidingsbeurzen en trainingen voor huidige en toekomstige medewerkers van bedrijven in prioritaire sectoren gefinancierd. Via dit trainingsinstrument wordt niet alleen de lokale arbeidsmarkt versterkt, maar krijgen ook Nederlandse bedrijven toegang tot beter gekwalificeerd personeel in voor Nederland relevante sectoren.</w:t>
            </w:r>
          </w:p>
          <w:p w:rsidRPr="00467C2F" w:rsidR="004C460D" w:rsidP="004C460D" w:rsidRDefault="004C460D" w14:paraId="5FD4A57C" w14:textId="7D80997A"/>
        </w:tc>
        <w:tc>
          <w:tcPr>
            <w:tcW w:w="430" w:type="dxa"/>
          </w:tcPr>
          <w:p w:rsidRPr="00467C2F" w:rsidR="004C460D" w:rsidP="00812658" w:rsidRDefault="004C460D" w14:paraId="7B630334" w14:textId="77777777">
            <w:pPr>
              <w:jc w:val="right"/>
            </w:pPr>
            <w:r w:rsidRPr="00467C2F">
              <w:t>6</w:t>
            </w:r>
          </w:p>
        </w:tc>
        <w:tc>
          <w:tcPr>
            <w:tcW w:w="567" w:type="dxa"/>
          </w:tcPr>
          <w:p w:rsidRPr="00467C2F" w:rsidR="004C460D" w:rsidP="00812658" w:rsidRDefault="004C460D" w14:paraId="207EE997" w14:textId="77777777">
            <w:pPr>
              <w:jc w:val="right"/>
            </w:pPr>
            <w:r w:rsidRPr="00467C2F">
              <w:t xml:space="preserve"> </w:t>
            </w:r>
          </w:p>
        </w:tc>
      </w:tr>
      <w:tr w:rsidRPr="00467C2F" w:rsidR="004C460D" w:rsidTr="00CA32BB" w14:paraId="5D526DD7" w14:textId="77777777">
        <w:tc>
          <w:tcPr>
            <w:tcW w:w="567" w:type="dxa"/>
          </w:tcPr>
          <w:p w:rsidRPr="00467C2F" w:rsidR="004C460D" w:rsidP="00812658" w:rsidRDefault="004C460D" w14:paraId="41CC06A8" w14:textId="77777777">
            <w:r w:rsidRPr="00467C2F">
              <w:t>22</w:t>
            </w:r>
          </w:p>
        </w:tc>
        <w:tc>
          <w:tcPr>
            <w:tcW w:w="7083" w:type="dxa"/>
          </w:tcPr>
          <w:p w:rsidRPr="00467C2F" w:rsidR="004C460D" w:rsidP="00812658" w:rsidRDefault="004C460D" w14:paraId="5CD326B9" w14:textId="77777777">
            <w:r w:rsidRPr="00467C2F">
              <w:t>Waaruit bestaat de +€3,57 miljoen RVO-bijdrage (art. 1.3) en wat zijn de overhead-/uitvoeringskosten per instrument?</w:t>
            </w:r>
          </w:p>
          <w:p w:rsidRPr="00467C2F" w:rsidR="004C460D" w:rsidP="00812658" w:rsidRDefault="004C460D" w14:paraId="34D04C2C" w14:textId="77777777">
            <w:pPr>
              <w:rPr>
                <w:b/>
                <w:bCs/>
              </w:rPr>
            </w:pPr>
            <w:r w:rsidRPr="00467C2F">
              <w:rPr>
                <w:b/>
                <w:bCs/>
              </w:rPr>
              <w:t>Antwoord:</w:t>
            </w:r>
          </w:p>
          <w:p w:rsidRPr="00467C2F" w:rsidR="004C460D" w:rsidP="00812658" w:rsidRDefault="004C460D" w14:paraId="19AEF9F9" w14:textId="5C5BC5EF">
            <w:pPr>
              <w:rPr>
                <w:b/>
                <w:bCs/>
              </w:rPr>
            </w:pPr>
            <w:r w:rsidRPr="00467C2F">
              <w:rPr>
                <w:b/>
                <w:bCs/>
              </w:rPr>
              <w:t>De +€3,57 miljoen betreft uitvoeringskosten R</w:t>
            </w:r>
            <w:r w:rsidRPr="00467C2F" w:rsidR="00AF3F96">
              <w:rPr>
                <w:b/>
                <w:bCs/>
              </w:rPr>
              <w:t>ijksdienst voor Ondernemend Nederland (R</w:t>
            </w:r>
            <w:r w:rsidRPr="00467C2F">
              <w:rPr>
                <w:b/>
                <w:bCs/>
              </w:rPr>
              <w:t>VO</w:t>
            </w:r>
            <w:r w:rsidRPr="00467C2F" w:rsidR="00AF3F96">
              <w:rPr>
                <w:b/>
                <w:bCs/>
              </w:rPr>
              <w:t>)</w:t>
            </w:r>
            <w:r w:rsidRPr="00467C2F">
              <w:rPr>
                <w:b/>
                <w:bCs/>
              </w:rPr>
              <w:t xml:space="preserve"> voor diverse programma’s. </w:t>
            </w:r>
          </w:p>
          <w:p w:rsidRPr="00467C2F" w:rsidR="004C460D" w:rsidP="00812658" w:rsidRDefault="004C460D" w14:paraId="15E46DB7" w14:textId="04846C58">
            <w:pPr>
              <w:rPr>
                <w:b/>
                <w:bCs/>
              </w:rPr>
            </w:pPr>
            <w:r w:rsidRPr="00467C2F">
              <w:rPr>
                <w:b/>
                <w:bCs/>
              </w:rPr>
              <w:t xml:space="preserve">De goedgekeurde offerte voor 2025 op artikel 1.3 is EUR 134 miljoen, waarvan EUR 35 miljoen uitvoeringskosten. De uitvoeringskosten worden op het instrument ‘bijdrage aan agentschappen’ geboekt. </w:t>
            </w:r>
          </w:p>
          <w:p w:rsidRPr="00467C2F" w:rsidR="00E61DB2" w:rsidP="00812658" w:rsidRDefault="00E61DB2" w14:paraId="6F86F063" w14:textId="77777777">
            <w:pPr>
              <w:rPr>
                <w:b/>
                <w:bCs/>
              </w:rPr>
            </w:pPr>
          </w:p>
          <w:tbl>
            <w:tblPr>
              <w:tblW w:w="7463" w:type="dxa"/>
              <w:tblCellMar>
                <w:left w:w="70" w:type="dxa"/>
                <w:right w:w="70" w:type="dxa"/>
              </w:tblCellMar>
              <w:tblLook w:val="04A0" w:firstRow="1" w:lastRow="0" w:firstColumn="1" w:lastColumn="0" w:noHBand="0" w:noVBand="1"/>
            </w:tblPr>
            <w:tblGrid>
              <w:gridCol w:w="4675"/>
              <w:gridCol w:w="2788"/>
            </w:tblGrid>
            <w:tr w:rsidRPr="00467C2F" w:rsidR="00E61DB2" w:rsidTr="00E61DB2" w14:paraId="5368E795" w14:textId="77777777">
              <w:trPr>
                <w:trHeight w:val="264"/>
              </w:trPr>
              <w:tc>
                <w:tcPr>
                  <w:tcW w:w="4675" w:type="dxa"/>
                  <w:tcBorders>
                    <w:top w:val="nil"/>
                    <w:left w:val="nil"/>
                    <w:bottom w:val="nil"/>
                    <w:right w:val="nil"/>
                  </w:tcBorders>
                  <w:shd w:val="clear" w:color="auto" w:fill="auto"/>
                  <w:noWrap/>
                  <w:vAlign w:val="center"/>
                  <w:hideMark/>
                </w:tcPr>
                <w:p w:rsidRPr="00467C2F" w:rsidR="00E61DB2" w:rsidP="00E61DB2" w:rsidRDefault="00E61DB2" w14:paraId="089F8BA7" w14:textId="77777777">
                  <w:pPr>
                    <w:spacing w:before="0" w:after="0"/>
                    <w:rPr>
                      <w:b/>
                      <w:bCs/>
                      <w:color w:val="000000"/>
                    </w:rPr>
                  </w:pPr>
                  <w:r w:rsidRPr="00467C2F">
                    <w:rPr>
                      <w:b/>
                      <w:bCs/>
                      <w:color w:val="000000"/>
                    </w:rPr>
                    <w:t>Marktontwikkeling en markttoegang subsidies</w:t>
                  </w:r>
                </w:p>
              </w:tc>
              <w:tc>
                <w:tcPr>
                  <w:tcW w:w="2788" w:type="dxa"/>
                  <w:tcBorders>
                    <w:top w:val="nil"/>
                    <w:left w:val="nil"/>
                    <w:bottom w:val="nil"/>
                    <w:right w:val="nil"/>
                  </w:tcBorders>
                  <w:shd w:val="clear" w:color="auto" w:fill="auto"/>
                  <w:noWrap/>
                  <w:vAlign w:val="bottom"/>
                  <w:hideMark/>
                </w:tcPr>
                <w:p w:rsidRPr="00467C2F" w:rsidR="00E61DB2" w:rsidP="00E61DB2" w:rsidRDefault="00E61DB2" w14:paraId="6BBD2CB4" w14:textId="77777777">
                  <w:pPr>
                    <w:spacing w:before="0" w:after="0"/>
                    <w:rPr>
                      <w:b/>
                      <w:bCs/>
                      <w:color w:val="000000"/>
                    </w:rPr>
                  </w:pPr>
                  <w:r w:rsidRPr="00467C2F">
                    <w:rPr>
                      <w:b/>
                      <w:bCs/>
                      <w:color w:val="000000"/>
                    </w:rPr>
                    <w:t>EUR 4 miljoen</w:t>
                  </w:r>
                </w:p>
              </w:tc>
            </w:tr>
            <w:tr w:rsidRPr="00467C2F" w:rsidR="00E61DB2" w:rsidTr="00E61DB2" w14:paraId="1AA231CE" w14:textId="77777777">
              <w:trPr>
                <w:trHeight w:val="264"/>
              </w:trPr>
              <w:tc>
                <w:tcPr>
                  <w:tcW w:w="4675" w:type="dxa"/>
                  <w:tcBorders>
                    <w:top w:val="nil"/>
                    <w:left w:val="nil"/>
                    <w:bottom w:val="nil"/>
                    <w:right w:val="nil"/>
                  </w:tcBorders>
                  <w:shd w:val="clear" w:color="auto" w:fill="auto"/>
                  <w:noWrap/>
                  <w:vAlign w:val="center"/>
                  <w:hideMark/>
                </w:tcPr>
                <w:p w:rsidRPr="00467C2F" w:rsidR="00E61DB2" w:rsidP="00E61DB2" w:rsidRDefault="00E61DB2" w14:paraId="7A891212" w14:textId="1CEB6F2C">
                  <w:pPr>
                    <w:spacing w:before="0" w:after="0"/>
                    <w:rPr>
                      <w:b/>
                      <w:bCs/>
                      <w:color w:val="000000"/>
                    </w:rPr>
                  </w:pPr>
                  <w:r w:rsidRPr="00467C2F">
                    <w:rPr>
                      <w:b/>
                      <w:bCs/>
                      <w:color w:val="000000"/>
                    </w:rPr>
                    <w:t>Marktontwikkeling en markttoegang bijdragen</w:t>
                  </w:r>
                </w:p>
              </w:tc>
              <w:tc>
                <w:tcPr>
                  <w:tcW w:w="2788" w:type="dxa"/>
                  <w:tcBorders>
                    <w:top w:val="nil"/>
                    <w:left w:val="nil"/>
                    <w:bottom w:val="nil"/>
                    <w:right w:val="nil"/>
                  </w:tcBorders>
                  <w:shd w:val="clear" w:color="auto" w:fill="auto"/>
                  <w:noWrap/>
                  <w:vAlign w:val="bottom"/>
                  <w:hideMark/>
                </w:tcPr>
                <w:p w:rsidRPr="00467C2F" w:rsidR="00E61DB2" w:rsidP="00E61DB2" w:rsidRDefault="00E61DB2" w14:paraId="77873FA9" w14:textId="77777777">
                  <w:pPr>
                    <w:spacing w:before="0" w:after="0"/>
                    <w:rPr>
                      <w:b/>
                      <w:bCs/>
                      <w:color w:val="000000"/>
                    </w:rPr>
                  </w:pPr>
                  <w:r w:rsidRPr="00467C2F">
                    <w:rPr>
                      <w:b/>
                      <w:bCs/>
                      <w:color w:val="000000"/>
                    </w:rPr>
                    <w:t>EUR 10 miljoen</w:t>
                  </w:r>
                </w:p>
              </w:tc>
            </w:tr>
            <w:tr w:rsidRPr="00467C2F" w:rsidR="00E61DB2" w:rsidTr="00E61DB2" w14:paraId="5D4D3180" w14:textId="77777777">
              <w:trPr>
                <w:trHeight w:val="264"/>
              </w:trPr>
              <w:tc>
                <w:tcPr>
                  <w:tcW w:w="4675" w:type="dxa"/>
                  <w:tcBorders>
                    <w:top w:val="nil"/>
                    <w:left w:val="nil"/>
                    <w:bottom w:val="nil"/>
                    <w:right w:val="nil"/>
                  </w:tcBorders>
                  <w:shd w:val="clear" w:color="auto" w:fill="auto"/>
                  <w:noWrap/>
                  <w:vAlign w:val="center"/>
                  <w:hideMark/>
                </w:tcPr>
                <w:p w:rsidRPr="00467C2F" w:rsidR="00E61DB2" w:rsidP="00E61DB2" w:rsidRDefault="00E61DB2" w14:paraId="5B5D659B" w14:textId="0F149B9E">
                  <w:pPr>
                    <w:spacing w:before="0" w:after="0"/>
                    <w:rPr>
                      <w:b/>
                      <w:bCs/>
                      <w:color w:val="000000"/>
                      <w:lang w:val="en-US"/>
                    </w:rPr>
                  </w:pPr>
                  <w:r w:rsidRPr="00467C2F">
                    <w:rPr>
                      <w:b/>
                      <w:bCs/>
                      <w:color w:val="000000"/>
                      <w:lang w:val="en-US"/>
                    </w:rPr>
                    <w:t>Economic governance and institutions subsidies</w:t>
                  </w:r>
                </w:p>
              </w:tc>
              <w:tc>
                <w:tcPr>
                  <w:tcW w:w="2788" w:type="dxa"/>
                  <w:tcBorders>
                    <w:top w:val="nil"/>
                    <w:left w:val="nil"/>
                    <w:bottom w:val="nil"/>
                    <w:right w:val="nil"/>
                  </w:tcBorders>
                  <w:shd w:val="clear" w:color="auto" w:fill="auto"/>
                  <w:noWrap/>
                  <w:vAlign w:val="bottom"/>
                  <w:hideMark/>
                </w:tcPr>
                <w:p w:rsidRPr="00467C2F" w:rsidR="00E61DB2" w:rsidP="00E61DB2" w:rsidRDefault="00E61DB2" w14:paraId="290FC6DF" w14:textId="77777777">
                  <w:pPr>
                    <w:spacing w:before="0" w:after="0"/>
                    <w:rPr>
                      <w:b/>
                      <w:bCs/>
                      <w:color w:val="000000"/>
                    </w:rPr>
                  </w:pPr>
                  <w:r w:rsidRPr="00467C2F">
                    <w:rPr>
                      <w:b/>
                      <w:bCs/>
                      <w:color w:val="000000"/>
                    </w:rPr>
                    <w:t>EUR 4 miljoen</w:t>
                  </w:r>
                </w:p>
              </w:tc>
            </w:tr>
            <w:tr w:rsidRPr="00467C2F" w:rsidR="00E61DB2" w:rsidTr="00E61DB2" w14:paraId="5EB9E648" w14:textId="77777777">
              <w:trPr>
                <w:trHeight w:val="264"/>
              </w:trPr>
              <w:tc>
                <w:tcPr>
                  <w:tcW w:w="4675" w:type="dxa"/>
                  <w:tcBorders>
                    <w:top w:val="nil"/>
                    <w:left w:val="nil"/>
                    <w:bottom w:val="nil"/>
                    <w:right w:val="nil"/>
                  </w:tcBorders>
                  <w:shd w:val="clear" w:color="auto" w:fill="auto"/>
                  <w:noWrap/>
                  <w:vAlign w:val="center"/>
                  <w:hideMark/>
                </w:tcPr>
                <w:p w:rsidRPr="00467C2F" w:rsidR="00E61DB2" w:rsidP="00E61DB2" w:rsidRDefault="00E61DB2" w14:paraId="7570E931" w14:textId="77777777">
                  <w:pPr>
                    <w:spacing w:before="0" w:after="0"/>
                    <w:rPr>
                      <w:b/>
                      <w:bCs/>
                      <w:color w:val="000000"/>
                      <w:lang w:val="en-US"/>
                    </w:rPr>
                  </w:pPr>
                  <w:r w:rsidRPr="00467C2F">
                    <w:rPr>
                      <w:b/>
                      <w:bCs/>
                      <w:color w:val="000000"/>
                      <w:lang w:val="en-US"/>
                    </w:rPr>
                    <w:t xml:space="preserve">Economic governance and institutions </w:t>
                  </w:r>
                  <w:proofErr w:type="spellStart"/>
                  <w:r w:rsidRPr="00467C2F">
                    <w:rPr>
                      <w:b/>
                      <w:bCs/>
                      <w:color w:val="000000"/>
                      <w:lang w:val="en-US"/>
                    </w:rPr>
                    <w:t>bijdragen</w:t>
                  </w:r>
                  <w:proofErr w:type="spellEnd"/>
                </w:p>
              </w:tc>
              <w:tc>
                <w:tcPr>
                  <w:tcW w:w="2788" w:type="dxa"/>
                  <w:tcBorders>
                    <w:top w:val="nil"/>
                    <w:left w:val="nil"/>
                    <w:bottom w:val="nil"/>
                    <w:right w:val="nil"/>
                  </w:tcBorders>
                  <w:shd w:val="clear" w:color="auto" w:fill="auto"/>
                  <w:noWrap/>
                  <w:vAlign w:val="bottom"/>
                  <w:hideMark/>
                </w:tcPr>
                <w:p w:rsidRPr="00467C2F" w:rsidR="00E61DB2" w:rsidP="00E61DB2" w:rsidRDefault="00E61DB2" w14:paraId="07AEFA02" w14:textId="77777777">
                  <w:pPr>
                    <w:spacing w:before="0" w:after="0"/>
                    <w:rPr>
                      <w:b/>
                      <w:bCs/>
                      <w:color w:val="000000"/>
                    </w:rPr>
                  </w:pPr>
                  <w:r w:rsidRPr="00467C2F">
                    <w:rPr>
                      <w:b/>
                      <w:bCs/>
                      <w:color w:val="000000"/>
                    </w:rPr>
                    <w:t>EUR 11 miljoen</w:t>
                  </w:r>
                </w:p>
              </w:tc>
            </w:tr>
            <w:tr w:rsidRPr="00467C2F" w:rsidR="00E61DB2" w:rsidTr="00E61DB2" w14:paraId="00C6ECF6" w14:textId="77777777">
              <w:trPr>
                <w:trHeight w:val="264"/>
              </w:trPr>
              <w:tc>
                <w:tcPr>
                  <w:tcW w:w="4675" w:type="dxa"/>
                  <w:tcBorders>
                    <w:top w:val="nil"/>
                    <w:left w:val="nil"/>
                    <w:bottom w:val="nil"/>
                    <w:right w:val="nil"/>
                  </w:tcBorders>
                  <w:shd w:val="clear" w:color="auto" w:fill="auto"/>
                  <w:noWrap/>
                  <w:vAlign w:val="center"/>
                  <w:hideMark/>
                </w:tcPr>
                <w:p w:rsidRPr="00467C2F" w:rsidR="00E61DB2" w:rsidP="00E61DB2" w:rsidRDefault="00E61DB2" w14:paraId="1CC443E8" w14:textId="77777777">
                  <w:pPr>
                    <w:spacing w:before="0" w:after="0"/>
                    <w:rPr>
                      <w:b/>
                      <w:bCs/>
                      <w:color w:val="000000"/>
                    </w:rPr>
                  </w:pPr>
                  <w:r w:rsidRPr="00467C2F">
                    <w:rPr>
                      <w:b/>
                      <w:bCs/>
                      <w:color w:val="000000"/>
                    </w:rPr>
                    <w:t>Duurzame productie en handel subsidies</w:t>
                  </w:r>
                </w:p>
              </w:tc>
              <w:tc>
                <w:tcPr>
                  <w:tcW w:w="2788" w:type="dxa"/>
                  <w:tcBorders>
                    <w:top w:val="nil"/>
                    <w:left w:val="nil"/>
                    <w:bottom w:val="nil"/>
                    <w:right w:val="nil"/>
                  </w:tcBorders>
                  <w:shd w:val="clear" w:color="auto" w:fill="auto"/>
                  <w:noWrap/>
                  <w:vAlign w:val="bottom"/>
                  <w:hideMark/>
                </w:tcPr>
                <w:p w:rsidRPr="00467C2F" w:rsidR="00E61DB2" w:rsidP="00E61DB2" w:rsidRDefault="00E61DB2" w14:paraId="306DD667" w14:textId="77777777">
                  <w:pPr>
                    <w:spacing w:before="0" w:after="0"/>
                    <w:rPr>
                      <w:b/>
                      <w:bCs/>
                      <w:color w:val="000000"/>
                    </w:rPr>
                  </w:pPr>
                  <w:r w:rsidRPr="00467C2F">
                    <w:rPr>
                      <w:b/>
                      <w:bCs/>
                      <w:color w:val="000000"/>
                    </w:rPr>
                    <w:t>EUR 6 miljoen</w:t>
                  </w:r>
                </w:p>
              </w:tc>
            </w:tr>
          </w:tbl>
          <w:p w:rsidRPr="00467C2F" w:rsidR="004C460D" w:rsidP="00E61DB2" w:rsidRDefault="004C460D" w14:paraId="4B28243C" w14:textId="77777777"/>
        </w:tc>
        <w:tc>
          <w:tcPr>
            <w:tcW w:w="430" w:type="dxa"/>
          </w:tcPr>
          <w:p w:rsidRPr="00467C2F" w:rsidR="004C460D" w:rsidP="00812658" w:rsidRDefault="004C460D" w14:paraId="33BFDF3D" w14:textId="77777777">
            <w:pPr>
              <w:jc w:val="right"/>
            </w:pPr>
            <w:r w:rsidRPr="00467C2F">
              <w:t>6</w:t>
            </w:r>
          </w:p>
        </w:tc>
        <w:tc>
          <w:tcPr>
            <w:tcW w:w="567" w:type="dxa"/>
          </w:tcPr>
          <w:p w:rsidRPr="00467C2F" w:rsidR="004C460D" w:rsidP="00812658" w:rsidRDefault="004C460D" w14:paraId="62E3EEF1" w14:textId="77777777">
            <w:pPr>
              <w:jc w:val="right"/>
            </w:pPr>
            <w:r w:rsidRPr="00467C2F">
              <w:t xml:space="preserve">7 </w:t>
            </w:r>
          </w:p>
        </w:tc>
      </w:tr>
      <w:tr w:rsidRPr="00467C2F" w:rsidR="004C460D" w:rsidTr="00CA32BB" w14:paraId="293457CF" w14:textId="77777777">
        <w:tc>
          <w:tcPr>
            <w:tcW w:w="567" w:type="dxa"/>
          </w:tcPr>
          <w:p w:rsidRPr="00467C2F" w:rsidR="004C460D" w:rsidP="00812658" w:rsidRDefault="004C460D" w14:paraId="3E4CA639" w14:textId="77777777">
            <w:r w:rsidRPr="00467C2F">
              <w:t>23</w:t>
            </w:r>
          </w:p>
        </w:tc>
        <w:tc>
          <w:tcPr>
            <w:tcW w:w="7083" w:type="dxa"/>
          </w:tcPr>
          <w:p w:rsidRPr="00467C2F" w:rsidR="004C460D" w:rsidP="00812658" w:rsidRDefault="004C460D" w14:paraId="2CE5412F" w14:textId="77777777">
            <w:r w:rsidRPr="00467C2F">
              <w:t>Waarom wordt binnen art. 1.3 het uitgavenbudget meerjarig verhoogd (beurzen &amp; trainingen; €25,8 miljoen 2025–2030; +€0,76 miljoen kas 2025) en wat is de meerwaarde voor Nederland?</w:t>
            </w:r>
          </w:p>
          <w:p w:rsidRPr="00467C2F" w:rsidR="004C460D" w:rsidP="00812658" w:rsidRDefault="004C460D" w14:paraId="3F8F73CF" w14:textId="77777777">
            <w:pPr>
              <w:rPr>
                <w:b/>
                <w:bCs/>
              </w:rPr>
            </w:pPr>
            <w:r w:rsidRPr="00467C2F">
              <w:rPr>
                <w:b/>
                <w:bCs/>
              </w:rPr>
              <w:t>Antwoord:</w:t>
            </w:r>
          </w:p>
          <w:p w:rsidRPr="00467C2F" w:rsidR="004C460D" w:rsidP="00812658" w:rsidRDefault="004C460D" w14:paraId="7D5A9494" w14:textId="465C8F43">
            <w:pPr>
              <w:rPr>
                <w:b/>
                <w:bCs/>
              </w:rPr>
            </w:pPr>
            <w:r w:rsidRPr="00467C2F">
              <w:rPr>
                <w:b/>
                <w:bCs/>
              </w:rPr>
              <w:t>Zie antwoord op vraag 21.</w:t>
            </w:r>
          </w:p>
          <w:p w:rsidRPr="00467C2F" w:rsidR="004C460D" w:rsidP="004C460D" w:rsidRDefault="004C460D" w14:paraId="1D91BFBC" w14:textId="77777777"/>
        </w:tc>
        <w:tc>
          <w:tcPr>
            <w:tcW w:w="430" w:type="dxa"/>
          </w:tcPr>
          <w:p w:rsidRPr="00467C2F" w:rsidR="004C460D" w:rsidP="00812658" w:rsidRDefault="004C460D" w14:paraId="60E7E58D" w14:textId="77777777">
            <w:pPr>
              <w:jc w:val="right"/>
            </w:pPr>
            <w:r w:rsidRPr="00467C2F">
              <w:t>7</w:t>
            </w:r>
          </w:p>
        </w:tc>
        <w:tc>
          <w:tcPr>
            <w:tcW w:w="567" w:type="dxa"/>
          </w:tcPr>
          <w:p w:rsidRPr="00467C2F" w:rsidR="004C460D" w:rsidP="00812658" w:rsidRDefault="004C460D" w14:paraId="3B5E3C19" w14:textId="77777777">
            <w:pPr>
              <w:jc w:val="right"/>
            </w:pPr>
            <w:r w:rsidRPr="00467C2F">
              <w:t xml:space="preserve">7 </w:t>
            </w:r>
          </w:p>
        </w:tc>
      </w:tr>
      <w:tr w:rsidRPr="00467C2F" w:rsidR="004C460D" w:rsidTr="00CA32BB" w14:paraId="1F5D4844" w14:textId="77777777">
        <w:tc>
          <w:tcPr>
            <w:tcW w:w="567" w:type="dxa"/>
          </w:tcPr>
          <w:p w:rsidRPr="00467C2F" w:rsidR="004C460D" w:rsidP="00812658" w:rsidRDefault="004C460D" w14:paraId="58197A09" w14:textId="77777777">
            <w:r w:rsidRPr="00467C2F">
              <w:t>24</w:t>
            </w:r>
          </w:p>
        </w:tc>
        <w:tc>
          <w:tcPr>
            <w:tcW w:w="7083" w:type="dxa"/>
          </w:tcPr>
          <w:p w:rsidRPr="00467C2F" w:rsidR="004C460D" w:rsidP="00812658" w:rsidRDefault="004C460D" w14:paraId="6C762A6B" w14:textId="77777777">
            <w:r w:rsidRPr="00467C2F">
              <w:t xml:space="preserve">Kunt u per instrument (DTIF, DGGF, </w:t>
            </w:r>
            <w:proofErr w:type="spellStart"/>
            <w:r w:rsidRPr="00467C2F">
              <w:t>Invest</w:t>
            </w:r>
            <w:proofErr w:type="spellEnd"/>
            <w:r w:rsidRPr="00467C2F">
              <w:t xml:space="preserve"> International) de 2025-bedragen en de resultaten in Nederland (investeringen/banen in NL) geven?</w:t>
            </w:r>
          </w:p>
          <w:p w:rsidRPr="00467C2F" w:rsidR="004C460D" w:rsidP="00812658" w:rsidRDefault="004C460D" w14:paraId="4C883279" w14:textId="77777777">
            <w:pPr>
              <w:rPr>
                <w:b/>
                <w:bCs/>
              </w:rPr>
            </w:pPr>
            <w:r w:rsidRPr="00467C2F">
              <w:rPr>
                <w:b/>
                <w:bCs/>
              </w:rPr>
              <w:t>Antwoord:</w:t>
            </w:r>
          </w:p>
          <w:p w:rsidRPr="00467C2F" w:rsidR="004C460D" w:rsidP="006E70B8" w:rsidRDefault="004C460D" w14:paraId="2C23243D" w14:textId="067F935F">
            <w:pPr>
              <w:rPr>
                <w:b/>
                <w:bCs/>
                <w:lang w:eastAsia="en-US"/>
              </w:rPr>
            </w:pPr>
            <w:r w:rsidRPr="00467C2F">
              <w:rPr>
                <w:b/>
                <w:bCs/>
                <w:lang w:eastAsia="en-US"/>
              </w:rPr>
              <w:t xml:space="preserve">Aangezien 2025 nog doorloopt en er nog geen cijfers bekend zijn, kan pas in kwartaal 2 van 2026 definitief gerapporteerd worden over de tot en met 2025 behaalde bedragen en resultaten in Nederland. Deze bedragen en resultaten </w:t>
            </w:r>
            <w:r w:rsidRPr="00467C2F">
              <w:rPr>
                <w:b/>
                <w:bCs/>
                <w:lang w:eastAsia="en-US"/>
              </w:rPr>
              <w:lastRenderedPageBreak/>
              <w:t xml:space="preserve">worden jaarlijks gegenereerd op basis van een voor </w:t>
            </w:r>
            <w:proofErr w:type="spellStart"/>
            <w:r w:rsidRPr="00467C2F">
              <w:rPr>
                <w:b/>
                <w:bCs/>
                <w:lang w:eastAsia="en-US"/>
              </w:rPr>
              <w:t>Invest</w:t>
            </w:r>
            <w:proofErr w:type="spellEnd"/>
            <w:r w:rsidRPr="00467C2F">
              <w:rPr>
                <w:b/>
                <w:bCs/>
                <w:lang w:eastAsia="en-US"/>
              </w:rPr>
              <w:t xml:space="preserve"> International ontwikkeld economisch model. Dit model wordt gevoed met data afkomstig van de verschillende bedrijven en projecten waar </w:t>
            </w:r>
            <w:proofErr w:type="spellStart"/>
            <w:r w:rsidRPr="00467C2F">
              <w:rPr>
                <w:b/>
                <w:bCs/>
                <w:lang w:eastAsia="en-US"/>
              </w:rPr>
              <w:t>Invest</w:t>
            </w:r>
            <w:proofErr w:type="spellEnd"/>
            <w:r w:rsidRPr="00467C2F">
              <w:rPr>
                <w:b/>
                <w:bCs/>
                <w:lang w:eastAsia="en-US"/>
              </w:rPr>
              <w:t xml:space="preserve"> International in geïnvesteerd heeft. Op basis van dit model, zijn er wel uitspraken te doen tot en met 2024. Het Dutch </w:t>
            </w:r>
            <w:proofErr w:type="spellStart"/>
            <w:r w:rsidRPr="00467C2F">
              <w:rPr>
                <w:b/>
                <w:bCs/>
                <w:lang w:eastAsia="en-US"/>
              </w:rPr>
              <w:t>Good</w:t>
            </w:r>
            <w:proofErr w:type="spellEnd"/>
            <w:r w:rsidRPr="00467C2F">
              <w:rPr>
                <w:b/>
                <w:bCs/>
                <w:lang w:eastAsia="en-US"/>
              </w:rPr>
              <w:t xml:space="preserve"> </w:t>
            </w:r>
            <w:proofErr w:type="spellStart"/>
            <w:r w:rsidRPr="00467C2F">
              <w:rPr>
                <w:b/>
                <w:bCs/>
                <w:lang w:eastAsia="en-US"/>
              </w:rPr>
              <w:t>Growth</w:t>
            </w:r>
            <w:proofErr w:type="spellEnd"/>
            <w:r w:rsidRPr="00467C2F">
              <w:rPr>
                <w:b/>
                <w:bCs/>
                <w:lang w:eastAsia="en-US"/>
              </w:rPr>
              <w:t xml:space="preserve"> Fund (DGGF) leverde tot en met 2024 een toegevoegde waarde van € 77,9 miljoen voor de Nederlandse economie en ondersteunde circa 989 fte’s in Nederland. Het Dutch Trade </w:t>
            </w:r>
            <w:proofErr w:type="spellStart"/>
            <w:r w:rsidRPr="00467C2F">
              <w:rPr>
                <w:b/>
                <w:bCs/>
                <w:lang w:eastAsia="en-US"/>
              </w:rPr>
              <w:t>and</w:t>
            </w:r>
            <w:proofErr w:type="spellEnd"/>
            <w:r w:rsidRPr="00467C2F">
              <w:rPr>
                <w:b/>
                <w:bCs/>
                <w:lang w:eastAsia="en-US"/>
              </w:rPr>
              <w:t xml:space="preserve"> Investment Fund (DTIF) leverde tot en met 2024 een toegevoegde waarde op voor de Nederlandse economie van € 49,3 miljoen en ondersteunde daarbij 428 fte’s in Nederland. In totaal voegde </w:t>
            </w:r>
            <w:proofErr w:type="spellStart"/>
            <w:r w:rsidRPr="00467C2F">
              <w:rPr>
                <w:b/>
                <w:bCs/>
                <w:lang w:eastAsia="en-US"/>
              </w:rPr>
              <w:t>Invest</w:t>
            </w:r>
            <w:proofErr w:type="spellEnd"/>
            <w:r w:rsidRPr="00467C2F">
              <w:rPr>
                <w:b/>
                <w:bCs/>
                <w:lang w:eastAsia="en-US"/>
              </w:rPr>
              <w:t xml:space="preserve"> International tot en met 2024 ongeveer € 470 miljoen toe aan de Nederlandse economie en ondersteunde daarbij bijna 4200 banen in Nederland.</w:t>
            </w:r>
            <w:r w:rsidRPr="00467C2F" w:rsidR="00A236BB">
              <w:rPr>
                <w:b/>
                <w:bCs/>
                <w:lang w:eastAsia="en-US"/>
              </w:rPr>
              <w:t xml:space="preserve"> Naast de economische effecten voor Nederland, richt </w:t>
            </w:r>
            <w:proofErr w:type="spellStart"/>
            <w:r w:rsidRPr="00467C2F" w:rsidR="00A236BB">
              <w:rPr>
                <w:b/>
                <w:bCs/>
                <w:lang w:eastAsia="en-US"/>
              </w:rPr>
              <w:t>Invest</w:t>
            </w:r>
            <w:proofErr w:type="spellEnd"/>
            <w:r w:rsidRPr="00467C2F" w:rsidR="00A236BB">
              <w:rPr>
                <w:b/>
                <w:bCs/>
                <w:lang w:eastAsia="en-US"/>
              </w:rPr>
              <w:t xml:space="preserve"> International zich via de zogenaamde dubbele doelstelling ook op het ondersteunen van banen in ontwikkelingslanden en opkomende markten. Tot en met 2024 waren dit er in totaal bijna 123.000 </w:t>
            </w:r>
            <w:proofErr w:type="spellStart"/>
            <w:r w:rsidRPr="00467C2F" w:rsidR="00A236BB">
              <w:rPr>
                <w:b/>
                <w:bCs/>
                <w:lang w:eastAsia="en-US"/>
              </w:rPr>
              <w:t>FTE’s</w:t>
            </w:r>
            <w:proofErr w:type="spellEnd"/>
            <w:r w:rsidRPr="00467C2F" w:rsidR="00A236BB">
              <w:rPr>
                <w:b/>
                <w:bCs/>
                <w:lang w:eastAsia="en-US"/>
              </w:rPr>
              <w:t xml:space="preserve">, waarvan 73.000 </w:t>
            </w:r>
            <w:proofErr w:type="spellStart"/>
            <w:r w:rsidRPr="00467C2F" w:rsidR="00A236BB">
              <w:rPr>
                <w:b/>
                <w:bCs/>
                <w:lang w:eastAsia="en-US"/>
              </w:rPr>
              <w:t>FTE’s</w:t>
            </w:r>
            <w:proofErr w:type="spellEnd"/>
            <w:r w:rsidRPr="00467C2F" w:rsidR="00A236BB">
              <w:rPr>
                <w:b/>
                <w:bCs/>
                <w:lang w:eastAsia="en-US"/>
              </w:rPr>
              <w:t xml:space="preserve"> door DGGF en ruim 5100 </w:t>
            </w:r>
            <w:proofErr w:type="spellStart"/>
            <w:r w:rsidRPr="00467C2F" w:rsidR="00A236BB">
              <w:rPr>
                <w:b/>
                <w:bCs/>
                <w:lang w:eastAsia="en-US"/>
              </w:rPr>
              <w:t>FTE’s</w:t>
            </w:r>
            <w:proofErr w:type="spellEnd"/>
            <w:r w:rsidRPr="00467C2F" w:rsidR="00A236BB">
              <w:rPr>
                <w:b/>
                <w:bCs/>
                <w:lang w:eastAsia="en-US"/>
              </w:rPr>
              <w:t xml:space="preserve"> door DTIF.  </w:t>
            </w:r>
          </w:p>
          <w:p w:rsidRPr="00467C2F" w:rsidR="004C460D" w:rsidP="004C460D" w:rsidRDefault="004C460D" w14:paraId="646BA34E" w14:textId="77777777">
            <w:pPr>
              <w:rPr>
                <w:b/>
                <w:bCs/>
              </w:rPr>
            </w:pPr>
          </w:p>
        </w:tc>
        <w:tc>
          <w:tcPr>
            <w:tcW w:w="430" w:type="dxa"/>
          </w:tcPr>
          <w:p w:rsidRPr="00467C2F" w:rsidR="004C460D" w:rsidP="00812658" w:rsidRDefault="004C460D" w14:paraId="04426DCD" w14:textId="77777777">
            <w:pPr>
              <w:jc w:val="right"/>
            </w:pPr>
            <w:r w:rsidRPr="00467C2F">
              <w:lastRenderedPageBreak/>
              <w:t>7</w:t>
            </w:r>
          </w:p>
        </w:tc>
        <w:tc>
          <w:tcPr>
            <w:tcW w:w="567" w:type="dxa"/>
          </w:tcPr>
          <w:p w:rsidRPr="00467C2F" w:rsidR="004C460D" w:rsidP="00812658" w:rsidRDefault="004C460D" w14:paraId="037AF6DE" w14:textId="77777777">
            <w:pPr>
              <w:jc w:val="right"/>
            </w:pPr>
            <w:r w:rsidRPr="00467C2F">
              <w:t xml:space="preserve">11 </w:t>
            </w:r>
          </w:p>
        </w:tc>
      </w:tr>
      <w:tr w:rsidRPr="00467C2F" w:rsidR="004C460D" w:rsidTr="00CA32BB" w14:paraId="5E915489" w14:textId="77777777">
        <w:tc>
          <w:tcPr>
            <w:tcW w:w="567" w:type="dxa"/>
          </w:tcPr>
          <w:p w:rsidRPr="00467C2F" w:rsidR="004C460D" w:rsidP="00812658" w:rsidRDefault="004C460D" w14:paraId="58AA1339" w14:textId="77777777">
            <w:r w:rsidRPr="00467C2F">
              <w:t>25</w:t>
            </w:r>
          </w:p>
        </w:tc>
        <w:tc>
          <w:tcPr>
            <w:tcW w:w="7083" w:type="dxa"/>
          </w:tcPr>
          <w:p w:rsidRPr="00467C2F" w:rsidR="004C460D" w:rsidP="00812658" w:rsidRDefault="004C460D" w14:paraId="47FCA99E" w14:textId="534BF125">
            <w:bookmarkStart w:name="_Hlk209511376" w:id="3"/>
            <w:r w:rsidRPr="00467C2F">
              <w:t>Waarom is voor de €25 miljoen “onderwijs → beurzen &amp; trainingen” dezelfde route via art. 5.4 gekozen (3.4 → 5.4 → 1.3) en wie zijn de beoogde ontvangers?</w:t>
            </w:r>
          </w:p>
          <w:p w:rsidRPr="00467C2F" w:rsidR="004C460D" w:rsidP="00812658" w:rsidRDefault="004C460D" w14:paraId="300E744C" w14:textId="77777777">
            <w:pPr>
              <w:rPr>
                <w:b/>
                <w:bCs/>
              </w:rPr>
            </w:pPr>
            <w:r w:rsidRPr="00467C2F">
              <w:rPr>
                <w:b/>
                <w:bCs/>
              </w:rPr>
              <w:t>Antwoord:</w:t>
            </w:r>
          </w:p>
          <w:p w:rsidRPr="00467C2F" w:rsidR="004C460D" w:rsidP="00812658" w:rsidRDefault="004C460D" w14:paraId="144060CB" w14:textId="4DAAE3AE">
            <w:pPr>
              <w:rPr>
                <w:b/>
                <w:bCs/>
                <w:lang w:eastAsia="en-US"/>
                <w14:ligatures w14:val="standardContextual"/>
              </w:rPr>
            </w:pPr>
            <w:r w:rsidRPr="00467C2F">
              <w:rPr>
                <w:b/>
                <w:bCs/>
                <w:lang w:eastAsia="en-US"/>
                <w14:ligatures w14:val="standardContextual"/>
              </w:rPr>
              <w:t xml:space="preserve">Het budget wordt uitgegeven in de jaren 2025-2030, in plaats van in 2025. Om dit kasritme aan te passen vindt een verrekening plaats met artikel 5.4, zodat er netto geen effect is op de totale jaarlijkse uitgaven. </w:t>
            </w:r>
            <w:r w:rsidRPr="00467C2F">
              <w:rPr>
                <w:b/>
                <w:bCs/>
              </w:rPr>
              <w:t xml:space="preserve">Zie voor de beoogde ontvangers het antwoord op vraag 21. </w:t>
            </w:r>
          </w:p>
          <w:bookmarkEnd w:id="3"/>
          <w:p w:rsidRPr="00467C2F" w:rsidR="004C460D" w:rsidP="004C460D" w:rsidRDefault="004C460D" w14:paraId="0FB0463B" w14:textId="77777777"/>
        </w:tc>
        <w:tc>
          <w:tcPr>
            <w:tcW w:w="430" w:type="dxa"/>
          </w:tcPr>
          <w:p w:rsidRPr="00467C2F" w:rsidR="004C460D" w:rsidP="00812658" w:rsidRDefault="004C460D" w14:paraId="52F2DB8F" w14:textId="77777777">
            <w:pPr>
              <w:jc w:val="right"/>
            </w:pPr>
            <w:r w:rsidRPr="00467C2F">
              <w:t>8</w:t>
            </w:r>
          </w:p>
        </w:tc>
        <w:tc>
          <w:tcPr>
            <w:tcW w:w="567" w:type="dxa"/>
          </w:tcPr>
          <w:p w:rsidRPr="00467C2F" w:rsidR="004C460D" w:rsidP="00812658" w:rsidRDefault="004C460D" w14:paraId="49DDD716" w14:textId="77777777">
            <w:pPr>
              <w:jc w:val="right"/>
            </w:pPr>
            <w:r w:rsidRPr="00467C2F">
              <w:t xml:space="preserve">11 </w:t>
            </w:r>
          </w:p>
        </w:tc>
      </w:tr>
      <w:tr w:rsidRPr="00467C2F" w:rsidR="004C460D" w:rsidTr="00CA32BB" w14:paraId="49AF9569" w14:textId="77777777">
        <w:tc>
          <w:tcPr>
            <w:tcW w:w="567" w:type="dxa"/>
          </w:tcPr>
          <w:p w:rsidRPr="00467C2F" w:rsidR="004C460D" w:rsidP="00812658" w:rsidRDefault="004C460D" w14:paraId="0864FB0B" w14:textId="77777777">
            <w:r w:rsidRPr="00467C2F">
              <w:t>26</w:t>
            </w:r>
          </w:p>
        </w:tc>
        <w:tc>
          <w:tcPr>
            <w:tcW w:w="7083" w:type="dxa"/>
          </w:tcPr>
          <w:p w:rsidRPr="00467C2F" w:rsidR="004C460D" w:rsidP="00812658" w:rsidRDefault="004C460D" w14:paraId="74BDFD55" w14:textId="77777777">
            <w:r w:rsidRPr="00467C2F">
              <w:t>Welke klimaatprogramma’s en multilaterale klimaatfondsen (o.a. DFCD/UNEP) worden in 2025 exact gefinancierd (bedrag per fonds) en wat is de meerwaarde voor Nederland?</w:t>
            </w:r>
          </w:p>
          <w:p w:rsidRPr="00467C2F" w:rsidR="004C460D" w:rsidP="00812658" w:rsidRDefault="004C460D" w14:paraId="4BAF6B7C" w14:textId="77777777">
            <w:pPr>
              <w:rPr>
                <w:b/>
                <w:bCs/>
              </w:rPr>
            </w:pPr>
            <w:r w:rsidRPr="00467C2F">
              <w:rPr>
                <w:b/>
                <w:bCs/>
              </w:rPr>
              <w:t>Antwoord:</w:t>
            </w:r>
          </w:p>
          <w:p w:rsidRPr="00467C2F" w:rsidR="004C460D" w:rsidP="001E0A91" w:rsidRDefault="004C460D" w14:paraId="6BDCEC21" w14:textId="7FCD7F13">
            <w:pPr>
              <w:rPr>
                <w:b/>
                <w:bCs/>
              </w:rPr>
            </w:pPr>
            <w:r w:rsidRPr="00467C2F">
              <w:rPr>
                <w:b/>
                <w:bCs/>
              </w:rPr>
              <w:t xml:space="preserve">Zie onderstaand de bijdragen van Nederland aan de multilaterale klimaatfondsen in 2025 (in miljoenen EUR). </w:t>
            </w:r>
          </w:p>
          <w:p w:rsidRPr="00467C2F" w:rsidR="004C460D" w:rsidP="001E0A91" w:rsidRDefault="004C460D" w14:paraId="14CF9227" w14:textId="77777777">
            <w:pPr>
              <w:rPr>
                <w:b/>
                <w:bCs/>
              </w:rPr>
            </w:pPr>
          </w:p>
          <w:tbl>
            <w:tblPr>
              <w:tblW w:w="0" w:type="auto"/>
              <w:tblLayout w:type="fixed"/>
              <w:tblCellMar>
                <w:left w:w="0" w:type="dxa"/>
                <w:right w:w="0" w:type="dxa"/>
              </w:tblCellMar>
              <w:tblLook w:val="04A0" w:firstRow="1" w:lastRow="0" w:firstColumn="1" w:lastColumn="0" w:noHBand="0" w:noVBand="1"/>
            </w:tblPr>
            <w:tblGrid>
              <w:gridCol w:w="4630"/>
              <w:gridCol w:w="2251"/>
            </w:tblGrid>
            <w:tr w:rsidRPr="00467C2F" w:rsidR="004C460D" w:rsidTr="00E61DB2" w14:paraId="79D23E44" w14:textId="77777777">
              <w:trPr>
                <w:trHeight w:val="367"/>
              </w:trPr>
              <w:tc>
                <w:tcPr>
                  <w:tcW w:w="46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7A26A4ED" w14:textId="77777777">
                  <w:pPr>
                    <w:rPr>
                      <w:lang w:val="en-US"/>
                    </w:rPr>
                  </w:pPr>
                  <w:r w:rsidRPr="00467C2F">
                    <w:rPr>
                      <w:lang w:val="en-US"/>
                    </w:rPr>
                    <w:t xml:space="preserve">Dutch Fund for Climate and Development </w:t>
                  </w:r>
                </w:p>
              </w:tc>
              <w:tc>
                <w:tcPr>
                  <w:tcW w:w="22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3792123B" w14:textId="77777777">
                  <w:pPr>
                    <w:rPr>
                      <w:lang w:val="en-US"/>
                    </w:rPr>
                  </w:pPr>
                  <w:r w:rsidRPr="00467C2F">
                    <w:rPr>
                      <w:lang w:val="en-US"/>
                    </w:rPr>
                    <w:t>10,000</w:t>
                  </w:r>
                </w:p>
              </w:tc>
            </w:tr>
            <w:tr w:rsidRPr="00467C2F" w:rsidR="004C460D" w:rsidTr="00E61DB2" w14:paraId="1C3B5BD2" w14:textId="77777777">
              <w:trPr>
                <w:trHeight w:val="59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11ABB8EF" w14:textId="77777777">
                  <w:pPr>
                    <w:rPr>
                      <w:lang w:val="en-US"/>
                    </w:rPr>
                  </w:pPr>
                  <w:r w:rsidRPr="00467C2F">
                    <w:rPr>
                      <w:lang w:val="en-US"/>
                    </w:rPr>
                    <w:t>Green Environment Facility Least Development Countries Fund</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03E2509D" w14:textId="5D9644F0">
                  <w:pPr>
                    <w:rPr>
                      <w:lang w:val="en-US"/>
                    </w:rPr>
                  </w:pPr>
                  <w:r w:rsidRPr="00467C2F">
                    <w:rPr>
                      <w:lang w:val="en-US"/>
                    </w:rPr>
                    <w:t xml:space="preserve">  4,028</w:t>
                  </w:r>
                </w:p>
              </w:tc>
            </w:tr>
            <w:tr w:rsidRPr="00467C2F" w:rsidR="004C460D" w:rsidTr="00E61DB2" w14:paraId="3D616700" w14:textId="77777777">
              <w:trPr>
                <w:trHeight w:val="352"/>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2C3E5764" w14:textId="77777777">
                  <w:pPr>
                    <w:rPr>
                      <w:lang w:val="en-US"/>
                    </w:rPr>
                  </w:pPr>
                  <w:r w:rsidRPr="00467C2F">
                    <w:rPr>
                      <w:lang w:val="en-US"/>
                    </w:rPr>
                    <w:t>Climate Investment Funds</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6EAB5178" w14:textId="77777777">
                  <w:pPr>
                    <w:rPr>
                      <w:lang w:val="en-US"/>
                    </w:rPr>
                  </w:pPr>
                  <w:r w:rsidRPr="00467C2F">
                    <w:rPr>
                      <w:lang w:val="en-US"/>
                    </w:rPr>
                    <w:t>27,984</w:t>
                  </w:r>
                </w:p>
              </w:tc>
            </w:tr>
            <w:tr w:rsidRPr="00467C2F" w:rsidR="004C460D" w:rsidTr="00E61DB2" w14:paraId="32368C9C"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5CB92EF5" w14:textId="77777777">
                  <w:pPr>
                    <w:rPr>
                      <w:lang w:val="en-US"/>
                    </w:rPr>
                  </w:pPr>
                  <w:r w:rsidRPr="00467C2F">
                    <w:rPr>
                      <w:lang w:val="en-US"/>
                    </w:rPr>
                    <w:t>Global Environment Facility</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474B638A" w14:textId="77777777">
                  <w:pPr>
                    <w:rPr>
                      <w:lang w:val="en-US"/>
                    </w:rPr>
                  </w:pPr>
                  <w:r w:rsidRPr="00467C2F">
                    <w:rPr>
                      <w:lang w:val="en-US"/>
                    </w:rPr>
                    <w:t>31,000</w:t>
                  </w:r>
                </w:p>
              </w:tc>
            </w:tr>
            <w:tr w:rsidRPr="00467C2F" w:rsidR="004C460D" w:rsidTr="00E61DB2" w14:paraId="0FEC4372"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71BD1097" w14:textId="77777777">
                  <w:pPr>
                    <w:rPr>
                      <w:lang w:val="en-US"/>
                    </w:rPr>
                  </w:pPr>
                  <w:proofErr w:type="spellStart"/>
                  <w:r w:rsidRPr="00467C2F">
                    <w:t>Africa</w:t>
                  </w:r>
                  <w:proofErr w:type="spellEnd"/>
                  <w:r w:rsidRPr="00467C2F">
                    <w:t xml:space="preserve"> Adaptation Acceleration Program</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7D325B7A" w14:textId="77777777">
                  <w:pPr>
                    <w:rPr>
                      <w:lang w:val="en-US"/>
                    </w:rPr>
                  </w:pPr>
                  <w:r w:rsidRPr="00467C2F">
                    <w:rPr>
                      <w:lang w:val="en-US"/>
                    </w:rPr>
                    <w:t>30,000</w:t>
                  </w:r>
                </w:p>
              </w:tc>
            </w:tr>
            <w:tr w:rsidRPr="00467C2F" w:rsidR="004C460D" w:rsidTr="00E61DB2" w14:paraId="300014EB" w14:textId="77777777">
              <w:trPr>
                <w:trHeight w:val="352"/>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75E42415" w14:textId="77777777">
                  <w:pPr>
                    <w:rPr>
                      <w:lang w:val="en-US"/>
                    </w:rPr>
                  </w:pPr>
                  <w:r w:rsidRPr="00467C2F">
                    <w:rPr>
                      <w:lang w:val="en-US"/>
                    </w:rPr>
                    <w:t>Africa Disaster Risk Financing Program </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4C493842" w14:textId="7792458E">
                  <w:r w:rsidRPr="00467C2F">
                    <w:rPr>
                      <w:lang w:val="en-US"/>
                    </w:rPr>
                    <w:t xml:space="preserve">  </w:t>
                  </w:r>
                  <w:r w:rsidRPr="00467C2F">
                    <w:t>5,851</w:t>
                  </w:r>
                </w:p>
              </w:tc>
            </w:tr>
            <w:tr w:rsidRPr="00467C2F" w:rsidR="004C460D" w:rsidTr="00E61DB2" w14:paraId="76E82E3F"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0E2F4627" w14:textId="77777777">
                  <w:r w:rsidRPr="00467C2F">
                    <w:t>UN Environment Program*</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467C2F" w:rsidR="004C460D" w:rsidP="001E0A91" w:rsidRDefault="004C460D" w14:paraId="46A30449" w14:textId="7B5A69D8">
                  <w:r w:rsidRPr="00467C2F">
                    <w:t xml:space="preserve">  8,642</w:t>
                  </w:r>
                </w:p>
              </w:tc>
            </w:tr>
          </w:tbl>
          <w:p w:rsidRPr="00467C2F" w:rsidR="004C460D" w:rsidP="001E0A91" w:rsidRDefault="004C460D" w14:paraId="5DB880B0" w14:textId="0966F4E0">
            <w:pPr>
              <w:rPr>
                <w:b/>
                <w:bCs/>
              </w:rPr>
            </w:pPr>
            <w:r w:rsidRPr="00467C2F">
              <w:rPr>
                <w:b/>
                <w:bCs/>
              </w:rPr>
              <w:t xml:space="preserve">De bijdrage aan UNEP* gaat naar de VN-instelling, dit betreft geen klimaatfonds. </w:t>
            </w:r>
          </w:p>
          <w:p w:rsidRPr="00467C2F" w:rsidR="004C460D" w:rsidP="001E0A91" w:rsidRDefault="004C460D" w14:paraId="1A74E5F0" w14:textId="77777777">
            <w:pPr>
              <w:rPr>
                <w:b/>
                <w:bCs/>
              </w:rPr>
            </w:pPr>
          </w:p>
          <w:p w:rsidRPr="00467C2F" w:rsidR="004C460D" w:rsidP="001E0A91" w:rsidRDefault="004C460D" w14:paraId="0A2DD7AD" w14:textId="77777777">
            <w:pPr>
              <w:rPr>
                <w:b/>
                <w:bCs/>
              </w:rPr>
            </w:pPr>
            <w:r w:rsidRPr="00467C2F">
              <w:rPr>
                <w:b/>
                <w:bCs/>
              </w:rPr>
              <w:t xml:space="preserve">Via de bovengenoemde fondsen geeft Nederland invulling aan de internationale afspraken rondom de ondersteuning aan ontwikkelingslanden voor de implementatie van hun klimaatbeleid. Zo draagt Nederland bij aan de vooraanstaande multilaterale klimaatfondsen zoals het </w:t>
            </w:r>
            <w:r w:rsidRPr="00467C2F">
              <w:rPr>
                <w:b/>
                <w:bCs/>
                <w:i/>
                <w:iCs/>
              </w:rPr>
              <w:t xml:space="preserve">Green </w:t>
            </w:r>
            <w:proofErr w:type="spellStart"/>
            <w:r w:rsidRPr="00467C2F">
              <w:rPr>
                <w:b/>
                <w:bCs/>
                <w:i/>
                <w:iCs/>
              </w:rPr>
              <w:t>Climate</w:t>
            </w:r>
            <w:proofErr w:type="spellEnd"/>
            <w:r w:rsidRPr="00467C2F">
              <w:rPr>
                <w:b/>
                <w:bCs/>
                <w:i/>
                <w:iCs/>
              </w:rPr>
              <w:t xml:space="preserve"> Fund</w:t>
            </w:r>
            <w:r w:rsidRPr="00467C2F">
              <w:rPr>
                <w:b/>
                <w:bCs/>
              </w:rPr>
              <w:t xml:space="preserve"> en de </w:t>
            </w:r>
            <w:r w:rsidRPr="00467C2F">
              <w:rPr>
                <w:b/>
                <w:bCs/>
                <w:i/>
                <w:iCs/>
              </w:rPr>
              <w:t>Global Environment Facility</w:t>
            </w:r>
            <w:r w:rsidRPr="00467C2F">
              <w:rPr>
                <w:b/>
                <w:bCs/>
              </w:rPr>
              <w:t xml:space="preserve">. Deze fondsen zijn opgericht in het kader van een mondiaal verdrag en ondersteunen het klimaatbeleid in alle ontwikkelingslanden. De fondsen vormen een hefboom voor de implementatie van de Nederlandse beleidsprioriteiten. </w:t>
            </w:r>
          </w:p>
          <w:p w:rsidRPr="00467C2F" w:rsidR="004C460D" w:rsidP="001E0A91" w:rsidRDefault="004C460D" w14:paraId="1BB7C55E" w14:textId="7E4DAB50">
            <w:pPr>
              <w:rPr>
                <w:b/>
                <w:bCs/>
              </w:rPr>
            </w:pPr>
          </w:p>
          <w:p w:rsidRPr="00467C2F" w:rsidR="004C460D" w:rsidP="001E0A91" w:rsidRDefault="004C460D" w14:paraId="741B5F7E" w14:textId="2B1583BD">
            <w:pPr>
              <w:rPr>
                <w:b/>
                <w:bCs/>
              </w:rPr>
            </w:pPr>
            <w:r w:rsidRPr="00467C2F">
              <w:rPr>
                <w:b/>
                <w:bCs/>
              </w:rPr>
              <w:lastRenderedPageBreak/>
              <w:t xml:space="preserve">Aanvullend draagt Nederland bij aan verschillende thematische of regionale fondsen zoals het </w:t>
            </w:r>
            <w:r w:rsidRPr="00467C2F">
              <w:rPr>
                <w:b/>
                <w:bCs/>
                <w:i/>
                <w:iCs/>
              </w:rPr>
              <w:t xml:space="preserve">Dutch Fund </w:t>
            </w:r>
            <w:proofErr w:type="spellStart"/>
            <w:r w:rsidRPr="00467C2F">
              <w:rPr>
                <w:b/>
                <w:bCs/>
                <w:i/>
                <w:iCs/>
              </w:rPr>
              <w:t>for</w:t>
            </w:r>
            <w:proofErr w:type="spellEnd"/>
            <w:r w:rsidRPr="00467C2F">
              <w:rPr>
                <w:b/>
                <w:bCs/>
                <w:i/>
                <w:iCs/>
              </w:rPr>
              <w:t xml:space="preserve"> </w:t>
            </w:r>
            <w:proofErr w:type="spellStart"/>
            <w:r w:rsidRPr="00467C2F">
              <w:rPr>
                <w:b/>
                <w:bCs/>
                <w:i/>
                <w:iCs/>
              </w:rPr>
              <w:t>Climate</w:t>
            </w:r>
            <w:proofErr w:type="spellEnd"/>
            <w:r w:rsidRPr="00467C2F">
              <w:rPr>
                <w:b/>
                <w:bCs/>
                <w:i/>
                <w:iCs/>
              </w:rPr>
              <w:t xml:space="preserve"> </w:t>
            </w:r>
            <w:proofErr w:type="spellStart"/>
            <w:r w:rsidRPr="00467C2F">
              <w:rPr>
                <w:b/>
                <w:bCs/>
                <w:i/>
                <w:iCs/>
              </w:rPr>
              <w:t>and</w:t>
            </w:r>
            <w:proofErr w:type="spellEnd"/>
            <w:r w:rsidRPr="00467C2F">
              <w:rPr>
                <w:b/>
                <w:bCs/>
                <w:i/>
                <w:iCs/>
              </w:rPr>
              <w:t xml:space="preserve"> Development </w:t>
            </w:r>
            <w:r w:rsidRPr="00467C2F">
              <w:rPr>
                <w:b/>
                <w:bCs/>
              </w:rPr>
              <w:t>(DFCD)</w:t>
            </w:r>
            <w:r w:rsidRPr="00467C2F">
              <w:rPr>
                <w:b/>
                <w:bCs/>
                <w:i/>
                <w:iCs/>
              </w:rPr>
              <w:t xml:space="preserve">, </w:t>
            </w:r>
            <w:r w:rsidRPr="00467C2F">
              <w:rPr>
                <w:b/>
                <w:bCs/>
              </w:rPr>
              <w:t xml:space="preserve">het </w:t>
            </w:r>
            <w:proofErr w:type="spellStart"/>
            <w:r w:rsidRPr="00467C2F">
              <w:rPr>
                <w:b/>
                <w:bCs/>
                <w:i/>
                <w:iCs/>
              </w:rPr>
              <w:t>Africa</w:t>
            </w:r>
            <w:proofErr w:type="spellEnd"/>
            <w:r w:rsidRPr="00467C2F">
              <w:rPr>
                <w:b/>
                <w:bCs/>
                <w:i/>
                <w:iCs/>
              </w:rPr>
              <w:t xml:space="preserve"> Adaptation Acceleration Program </w:t>
            </w:r>
            <w:r w:rsidRPr="00467C2F">
              <w:rPr>
                <w:b/>
                <w:bCs/>
              </w:rPr>
              <w:t xml:space="preserve">(AAAP), de </w:t>
            </w:r>
            <w:proofErr w:type="spellStart"/>
            <w:r w:rsidRPr="00467C2F">
              <w:rPr>
                <w:b/>
                <w:bCs/>
                <w:i/>
                <w:iCs/>
              </w:rPr>
              <w:t>Climate</w:t>
            </w:r>
            <w:proofErr w:type="spellEnd"/>
            <w:r w:rsidRPr="00467C2F">
              <w:rPr>
                <w:b/>
                <w:bCs/>
                <w:i/>
                <w:iCs/>
              </w:rPr>
              <w:t xml:space="preserve"> Investment Funds </w:t>
            </w:r>
            <w:r w:rsidRPr="00467C2F">
              <w:rPr>
                <w:b/>
                <w:bCs/>
              </w:rPr>
              <w:t>(</w:t>
            </w:r>
            <w:proofErr w:type="spellStart"/>
            <w:r w:rsidRPr="00467C2F">
              <w:rPr>
                <w:b/>
                <w:bCs/>
              </w:rPr>
              <w:t>CIFs</w:t>
            </w:r>
            <w:proofErr w:type="spellEnd"/>
            <w:r w:rsidRPr="00467C2F">
              <w:rPr>
                <w:b/>
                <w:bCs/>
              </w:rPr>
              <w:t xml:space="preserve">) en het </w:t>
            </w:r>
            <w:proofErr w:type="spellStart"/>
            <w:r w:rsidRPr="00467C2F">
              <w:rPr>
                <w:b/>
                <w:bCs/>
                <w:i/>
                <w:iCs/>
              </w:rPr>
              <w:t>Africa</w:t>
            </w:r>
            <w:proofErr w:type="spellEnd"/>
            <w:r w:rsidRPr="00467C2F">
              <w:rPr>
                <w:b/>
                <w:bCs/>
                <w:i/>
                <w:iCs/>
              </w:rPr>
              <w:t xml:space="preserve"> Disaster Risk </w:t>
            </w:r>
            <w:proofErr w:type="spellStart"/>
            <w:r w:rsidRPr="00467C2F">
              <w:rPr>
                <w:b/>
                <w:bCs/>
                <w:i/>
                <w:iCs/>
              </w:rPr>
              <w:t>Financing</w:t>
            </w:r>
            <w:proofErr w:type="spellEnd"/>
            <w:r w:rsidRPr="00467C2F">
              <w:rPr>
                <w:b/>
                <w:bCs/>
                <w:i/>
                <w:iCs/>
              </w:rPr>
              <w:t xml:space="preserve"> Program</w:t>
            </w:r>
            <w:r w:rsidRPr="00467C2F">
              <w:rPr>
                <w:b/>
                <w:bCs/>
              </w:rPr>
              <w:t> (</w:t>
            </w:r>
            <w:proofErr w:type="spellStart"/>
            <w:r w:rsidRPr="00467C2F">
              <w:rPr>
                <w:b/>
                <w:bCs/>
              </w:rPr>
              <w:t>ADRiFi</w:t>
            </w:r>
            <w:proofErr w:type="spellEnd"/>
            <w:r w:rsidRPr="00467C2F">
              <w:rPr>
                <w:b/>
                <w:bCs/>
              </w:rPr>
              <w:t xml:space="preserve">). Hiermee geven we invulling aan specifiekere beleidsdoelstellingen zoals het mobiliseren van private financiering voor adaptatie. Bij alle fondsen wordt gebruikgemaakt van de expertise en financiële slagkracht van multilaterale ontwikkelingsbanken en er is daarnaast meer ruimte voor aansluiting bij het Nederlandse beleid (in het geval van DFCD) of een gerichtere focus op Afrikaanse landen (AAAP). </w:t>
            </w:r>
          </w:p>
          <w:p w:rsidRPr="00467C2F" w:rsidR="004C460D" w:rsidP="00812658" w:rsidRDefault="004C460D" w14:paraId="23BB5C46" w14:textId="04B21EF7"/>
          <w:p w:rsidRPr="00467C2F" w:rsidR="004C460D" w:rsidP="00DD7C8E" w:rsidRDefault="004C460D" w14:paraId="07E86C48" w14:textId="3B6A70D1">
            <w:pPr>
              <w:rPr>
                <w:b/>
                <w:bCs/>
              </w:rPr>
            </w:pPr>
            <w:r w:rsidRPr="00467C2F">
              <w:rPr>
                <w:b/>
                <w:bCs/>
              </w:rPr>
              <w:t>Voor een overzicht van alle Nederlandse bijdragen aan klimaatrelevante programma’s verwijs ik naar het openbare dashboard (</w:t>
            </w:r>
            <w:hyperlink w:history="1" r:id="rId12">
              <w:r w:rsidRPr="00467C2F">
                <w:rPr>
                  <w:rStyle w:val="Hyperlink"/>
                  <w:b/>
                  <w:bCs/>
                </w:rPr>
                <w:t>https://public.tableau.com/views/ClimateFinanceNL/Summary</w:t>
              </w:r>
            </w:hyperlink>
            <w:r w:rsidRPr="00467C2F">
              <w:rPr>
                <w:b/>
                <w:bCs/>
              </w:rPr>
              <w:t xml:space="preserve">). </w:t>
            </w:r>
          </w:p>
          <w:p w:rsidRPr="00467C2F" w:rsidR="004C460D" w:rsidP="00812658" w:rsidRDefault="004C460D" w14:paraId="24FF7E5C" w14:textId="4C362659"/>
        </w:tc>
        <w:tc>
          <w:tcPr>
            <w:tcW w:w="430" w:type="dxa"/>
          </w:tcPr>
          <w:p w:rsidRPr="00467C2F" w:rsidR="004C460D" w:rsidP="00812658" w:rsidRDefault="004C460D" w14:paraId="125D31A4" w14:textId="77777777">
            <w:pPr>
              <w:jc w:val="right"/>
            </w:pPr>
            <w:r w:rsidRPr="00467C2F">
              <w:lastRenderedPageBreak/>
              <w:t>9</w:t>
            </w:r>
          </w:p>
        </w:tc>
        <w:tc>
          <w:tcPr>
            <w:tcW w:w="567" w:type="dxa"/>
          </w:tcPr>
          <w:p w:rsidRPr="00467C2F" w:rsidR="004C460D" w:rsidP="00812658" w:rsidRDefault="004C460D" w14:paraId="1C4622BE" w14:textId="77777777">
            <w:pPr>
              <w:jc w:val="right"/>
            </w:pPr>
            <w:r w:rsidRPr="00467C2F">
              <w:t xml:space="preserve">11 </w:t>
            </w:r>
          </w:p>
        </w:tc>
      </w:tr>
      <w:tr w:rsidRPr="00467C2F" w:rsidR="004C460D" w:rsidTr="00CA32BB" w14:paraId="08E0897C" w14:textId="77777777">
        <w:tc>
          <w:tcPr>
            <w:tcW w:w="567" w:type="dxa"/>
          </w:tcPr>
          <w:p w:rsidRPr="00467C2F" w:rsidR="004C460D" w:rsidP="00812658" w:rsidRDefault="004C460D" w14:paraId="7003B46F" w14:textId="77777777">
            <w:r w:rsidRPr="00467C2F">
              <w:t>27</w:t>
            </w:r>
          </w:p>
        </w:tc>
        <w:tc>
          <w:tcPr>
            <w:tcW w:w="7083" w:type="dxa"/>
          </w:tcPr>
          <w:p w:rsidRPr="00467C2F" w:rsidR="004C460D" w:rsidP="00812658" w:rsidRDefault="004C460D" w14:paraId="2D043FF7" w14:textId="77777777">
            <w:bookmarkStart w:name="_Hlk209798566" w:id="4"/>
            <w:r w:rsidRPr="00467C2F">
              <w:t>Hoeveel middelen zijn er in 2025 precies gereserveerd voor de overgang naar het nieuwe subsidiekader Focus voor samenwerking met maatschappelijke organisaties en hoe worden deze middelen verdeeld over internationale en lokale partners?</w:t>
            </w:r>
          </w:p>
          <w:p w:rsidRPr="00467C2F" w:rsidR="004C460D" w:rsidP="00812658" w:rsidRDefault="004C460D" w14:paraId="02E53113" w14:textId="77777777">
            <w:pPr>
              <w:rPr>
                <w:b/>
                <w:bCs/>
              </w:rPr>
            </w:pPr>
            <w:r w:rsidRPr="00467C2F">
              <w:rPr>
                <w:b/>
                <w:bCs/>
              </w:rPr>
              <w:t>Antwoord:</w:t>
            </w:r>
          </w:p>
          <w:p w:rsidRPr="00467C2F" w:rsidR="004C460D" w:rsidP="00467298" w:rsidRDefault="004C460D" w14:paraId="1C19A339" w14:textId="67695A23">
            <w:pPr>
              <w:rPr>
                <w:b/>
                <w:bCs/>
              </w:rPr>
            </w:pPr>
            <w:r w:rsidRPr="00467C2F">
              <w:rPr>
                <w:b/>
                <w:bCs/>
              </w:rPr>
              <w:t>Er zijn geen middelen gereserveerd voor een dergelijke overgang.</w:t>
            </w:r>
            <w:r w:rsidRPr="00467C2F" w:rsidR="00467298">
              <w:rPr>
                <w:b/>
                <w:bCs/>
              </w:rPr>
              <w:t xml:space="preserve"> Het is ook niet gezegd welke organisaties opnieuw subsidie zullen ontvangen uit het nieuwe kader.</w:t>
            </w:r>
            <w:r w:rsidRPr="00467C2F">
              <w:rPr>
                <w:b/>
                <w:bCs/>
              </w:rPr>
              <w:t xml:space="preserve"> </w:t>
            </w:r>
            <w:r w:rsidRPr="00467C2F" w:rsidR="00467298">
              <w:rPr>
                <w:b/>
                <w:bCs/>
              </w:rPr>
              <w:t xml:space="preserve">Zoals ook gedeeld tijdens het commissiedebat inzake Humanitaire hulp d.d. </w:t>
            </w:r>
            <w:r w:rsidRPr="00467C2F" w:rsidR="00683A73">
              <w:rPr>
                <w:b/>
                <w:bCs/>
              </w:rPr>
              <w:t xml:space="preserve">25 september </w:t>
            </w:r>
            <w:r w:rsidRPr="00467C2F" w:rsidR="00467298">
              <w:rPr>
                <w:b/>
                <w:bCs/>
              </w:rPr>
              <w:t xml:space="preserve">is het </w:t>
            </w:r>
            <w:proofErr w:type="spellStart"/>
            <w:r w:rsidRPr="00467C2F" w:rsidR="00467298">
              <w:rPr>
                <w:b/>
                <w:bCs/>
              </w:rPr>
              <w:t>doorfinancieren</w:t>
            </w:r>
            <w:proofErr w:type="spellEnd"/>
            <w:r w:rsidRPr="00467C2F" w:rsidR="00467298">
              <w:rPr>
                <w:b/>
                <w:bCs/>
              </w:rPr>
              <w:t xml:space="preserve"> van organisaties in afwachting van het nieuwe beleidskader</w:t>
            </w:r>
            <w:r w:rsidRPr="00467C2F" w:rsidR="00061946">
              <w:rPr>
                <w:b/>
                <w:bCs/>
              </w:rPr>
              <w:t xml:space="preserve"> </w:t>
            </w:r>
            <w:r w:rsidRPr="00467C2F" w:rsidR="00467298">
              <w:rPr>
                <w:b/>
                <w:bCs/>
              </w:rPr>
              <w:t>juridisch zeer complex</w:t>
            </w:r>
            <w:r w:rsidRPr="00467C2F" w:rsidR="00061946">
              <w:rPr>
                <w:b/>
                <w:bCs/>
              </w:rPr>
              <w:t>. Het is bovendien financieel onhaalbaar</w:t>
            </w:r>
            <w:r w:rsidRPr="00467C2F" w:rsidR="00467298">
              <w:rPr>
                <w:b/>
                <w:bCs/>
              </w:rPr>
              <w:t xml:space="preserve">, want </w:t>
            </w:r>
            <w:r w:rsidRPr="00467C2F" w:rsidR="00061946">
              <w:rPr>
                <w:b/>
                <w:bCs/>
              </w:rPr>
              <w:t>de dekking ontbreekt.</w:t>
            </w:r>
            <w:r w:rsidRPr="00467C2F" w:rsidR="00E24ACC">
              <w:rPr>
                <w:b/>
                <w:bCs/>
              </w:rPr>
              <w:t xml:space="preserve"> </w:t>
            </w:r>
            <w:r w:rsidRPr="00467C2F" w:rsidR="00467298">
              <w:rPr>
                <w:b/>
                <w:bCs/>
              </w:rPr>
              <w:t>Zie ook het antwoord op vraag 28.</w:t>
            </w:r>
          </w:p>
          <w:bookmarkEnd w:id="4"/>
          <w:p w:rsidRPr="00467C2F" w:rsidR="004C460D" w:rsidP="004C460D" w:rsidRDefault="004C460D" w14:paraId="592DF79D" w14:textId="77777777"/>
        </w:tc>
        <w:tc>
          <w:tcPr>
            <w:tcW w:w="430" w:type="dxa"/>
          </w:tcPr>
          <w:p w:rsidRPr="00467C2F" w:rsidR="004C460D" w:rsidP="00812658" w:rsidRDefault="004C460D" w14:paraId="1EC607A1" w14:textId="77777777">
            <w:pPr>
              <w:jc w:val="right"/>
            </w:pPr>
            <w:r w:rsidRPr="00467C2F">
              <w:t>11</w:t>
            </w:r>
          </w:p>
        </w:tc>
        <w:tc>
          <w:tcPr>
            <w:tcW w:w="567" w:type="dxa"/>
          </w:tcPr>
          <w:p w:rsidRPr="00467C2F" w:rsidR="004C460D" w:rsidP="00812658" w:rsidRDefault="004C460D" w14:paraId="2E1F7BE3" w14:textId="77777777">
            <w:pPr>
              <w:jc w:val="right"/>
            </w:pPr>
            <w:r w:rsidRPr="00467C2F">
              <w:t xml:space="preserve"> </w:t>
            </w:r>
          </w:p>
        </w:tc>
      </w:tr>
      <w:tr w:rsidRPr="00467C2F" w:rsidR="004C460D" w:rsidTr="00CA32BB" w14:paraId="08F3ECFD" w14:textId="77777777">
        <w:tc>
          <w:tcPr>
            <w:tcW w:w="567" w:type="dxa"/>
          </w:tcPr>
          <w:p w:rsidRPr="00467C2F" w:rsidR="004C460D" w:rsidP="00812658" w:rsidRDefault="004C460D" w14:paraId="2907219B" w14:textId="77777777">
            <w:r w:rsidRPr="00467C2F">
              <w:t>28</w:t>
            </w:r>
          </w:p>
        </w:tc>
        <w:tc>
          <w:tcPr>
            <w:tcW w:w="7083" w:type="dxa"/>
          </w:tcPr>
          <w:p w:rsidRPr="00467C2F" w:rsidR="004C460D" w:rsidP="00812658" w:rsidRDefault="004C460D" w14:paraId="3D21EF6B" w14:textId="77777777">
            <w:r w:rsidRPr="00467C2F">
              <w:t>Klopt het dat er middelen beschikbaar zijn voor het versterken van het maatschappelijk middenveld?. Klopt het dat, blijkens de brief van 19 september, de meeste organisaties onder het FOCUS-kader deze middelen pas toegekend krijgen in Q2, dus uiterlijk 30 juni? Klopt het dat dit feitelijk een financieel gat van 3 tot 6 maanden betekent vanaf januari 2026? Wat zijn de gevolgen voor organisaties vanaf januari in 2026, bijvoorbeeld inkrimpen of zelf omvallen, en stopzetten van projecten?</w:t>
            </w:r>
          </w:p>
          <w:p w:rsidRPr="00467C2F" w:rsidR="004C460D" w:rsidP="00812658" w:rsidRDefault="004C460D" w14:paraId="2EA88426" w14:textId="77777777">
            <w:pPr>
              <w:rPr>
                <w:b/>
                <w:bCs/>
              </w:rPr>
            </w:pPr>
            <w:r w:rsidRPr="00467C2F">
              <w:rPr>
                <w:b/>
                <w:bCs/>
              </w:rPr>
              <w:t>Antwoord:</w:t>
            </w:r>
          </w:p>
          <w:p w:rsidRPr="00467C2F" w:rsidR="00467298" w:rsidP="00467298" w:rsidRDefault="00467298" w14:paraId="547A4E01" w14:textId="77777777">
            <w:pPr>
              <w:rPr>
                <w:b/>
                <w:bCs/>
              </w:rPr>
            </w:pPr>
            <w:r w:rsidRPr="00467C2F">
              <w:rPr>
                <w:b/>
                <w:bCs/>
              </w:rPr>
              <w:t>Subsidies die uit de BHO-begroting verleend worden voor het implementeren van activiteiten zijn niet bedoeld om organisaties overeind te houden. De verantwoordelijkheid voor het voortbestaan van organisaties ligt bij die organisaties zelf, dit is niet de taak van de overheid.</w:t>
            </w:r>
          </w:p>
          <w:p w:rsidRPr="00467C2F" w:rsidR="004C460D" w:rsidP="00812658" w:rsidRDefault="004C460D" w14:paraId="62F39733" w14:textId="42C906B5">
            <w:pPr>
              <w:rPr>
                <w:b/>
                <w:bCs/>
              </w:rPr>
            </w:pPr>
            <w:r w:rsidRPr="00467C2F">
              <w:rPr>
                <w:b/>
                <w:bCs/>
              </w:rPr>
              <w:t>Ook in de periode 2026-2030 zijn er middelen beschikbaar voor de versterking van, met name lokale, maatschappelijke organisaties. In totaal is dat 600 miljoen euro. De instrumenten onder het nieuwe beleidskader Focus worden trapsgewijs geïmplementeerd in de helft van 2026. De beoogde toekenning van middelen aan maatschappelijke organisaties valt inderdaad hoofdzakelijk in het tweede kwartaal van 2026.</w:t>
            </w:r>
          </w:p>
          <w:p w:rsidRPr="00467C2F" w:rsidR="004C460D" w:rsidP="00812658" w:rsidRDefault="004C460D" w14:paraId="1654A4F5" w14:textId="0C0BDE35">
            <w:pPr>
              <w:rPr>
                <w:b/>
                <w:bCs/>
              </w:rPr>
            </w:pPr>
            <w:r w:rsidRPr="00467C2F">
              <w:rPr>
                <w:b/>
                <w:bCs/>
              </w:rPr>
              <w:t>Het aflopen van het subsidietijdvak onder het huidige beleidskader Versterking Maatschappelijk Middenveld op 31 december 2025 was vanaf de gunning in 2021 bekend. Ook is dit in een brief van 11 november 2024, ruim dertien maanden voor het einde van het tijdvak, specifiek bij huidige subsidieontvangers onder de aandacht gebracht. De met deze subsidies gesteunde projecten worden geacht op 31 december 2025 afgerond te zijn, ze worden niet voortijdig stopgezet.</w:t>
            </w:r>
          </w:p>
          <w:p w:rsidRPr="00467C2F" w:rsidR="004C460D" w:rsidP="00467298" w:rsidRDefault="004C460D" w14:paraId="11A0FCB2" w14:textId="77777777"/>
        </w:tc>
        <w:tc>
          <w:tcPr>
            <w:tcW w:w="430" w:type="dxa"/>
          </w:tcPr>
          <w:p w:rsidRPr="00467C2F" w:rsidR="004C460D" w:rsidP="00812658" w:rsidRDefault="004C460D" w14:paraId="07372590" w14:textId="77777777">
            <w:pPr>
              <w:jc w:val="right"/>
            </w:pPr>
            <w:r w:rsidRPr="00467C2F">
              <w:t>14</w:t>
            </w:r>
          </w:p>
        </w:tc>
        <w:tc>
          <w:tcPr>
            <w:tcW w:w="567" w:type="dxa"/>
          </w:tcPr>
          <w:p w:rsidRPr="00467C2F" w:rsidR="004C460D" w:rsidP="00812658" w:rsidRDefault="004C460D" w14:paraId="69A8B9FC" w14:textId="77777777">
            <w:pPr>
              <w:jc w:val="right"/>
            </w:pPr>
            <w:r w:rsidRPr="00467C2F">
              <w:t xml:space="preserve"> </w:t>
            </w:r>
          </w:p>
        </w:tc>
      </w:tr>
      <w:tr w:rsidRPr="00467C2F" w:rsidR="004C460D" w:rsidTr="00CA32BB" w14:paraId="05C87AD3" w14:textId="77777777">
        <w:tc>
          <w:tcPr>
            <w:tcW w:w="567" w:type="dxa"/>
          </w:tcPr>
          <w:p w:rsidRPr="00467C2F" w:rsidR="004C460D" w:rsidP="00812658" w:rsidRDefault="004C460D" w14:paraId="10D763BB" w14:textId="77777777">
            <w:r w:rsidRPr="00467C2F">
              <w:t>29</w:t>
            </w:r>
          </w:p>
        </w:tc>
        <w:tc>
          <w:tcPr>
            <w:tcW w:w="7083" w:type="dxa"/>
          </w:tcPr>
          <w:p w:rsidRPr="00467C2F" w:rsidR="004C460D" w:rsidP="00812658" w:rsidRDefault="004C460D" w14:paraId="20E2AABA" w14:textId="77777777">
            <w:r w:rsidRPr="00467C2F">
              <w:t>Kunt u voor de organisaties die werken aan de thema's genoemd in uw brief van 19 september noemen welke ontwikkelingsprojecten moeten worden stopgezet, nu zij pas in Q1 of Q2 van 2026 duidelijkheid krijgen over financiering?</w:t>
            </w:r>
          </w:p>
          <w:p w:rsidRPr="00467C2F" w:rsidR="004C460D" w:rsidP="00812658" w:rsidRDefault="004C460D" w14:paraId="59D0B3D8" w14:textId="77777777">
            <w:pPr>
              <w:rPr>
                <w:b/>
                <w:bCs/>
              </w:rPr>
            </w:pPr>
            <w:r w:rsidRPr="00467C2F">
              <w:rPr>
                <w:b/>
                <w:bCs/>
              </w:rPr>
              <w:t>Antwoord:</w:t>
            </w:r>
          </w:p>
          <w:p w:rsidRPr="00467C2F" w:rsidR="004C460D" w:rsidP="00812658" w:rsidRDefault="004C460D" w14:paraId="36903CD7" w14:textId="2AE649D2">
            <w:pPr>
              <w:rPr>
                <w:b/>
                <w:bCs/>
              </w:rPr>
            </w:pPr>
            <w:r w:rsidRPr="00467C2F">
              <w:rPr>
                <w:b/>
                <w:bCs/>
              </w:rPr>
              <w:t>Zie antwoord op vraag 28.</w:t>
            </w:r>
          </w:p>
          <w:p w:rsidRPr="00467C2F" w:rsidR="004C460D" w:rsidP="004C460D" w:rsidRDefault="004C460D" w14:paraId="3219AACA" w14:textId="77777777"/>
        </w:tc>
        <w:tc>
          <w:tcPr>
            <w:tcW w:w="430" w:type="dxa"/>
          </w:tcPr>
          <w:p w:rsidRPr="00467C2F" w:rsidR="004C460D" w:rsidP="00812658" w:rsidRDefault="004C460D" w14:paraId="7FF38E83" w14:textId="77777777">
            <w:pPr>
              <w:jc w:val="right"/>
            </w:pPr>
            <w:r w:rsidRPr="00467C2F">
              <w:t>14</w:t>
            </w:r>
          </w:p>
        </w:tc>
        <w:tc>
          <w:tcPr>
            <w:tcW w:w="567" w:type="dxa"/>
          </w:tcPr>
          <w:p w:rsidRPr="00467C2F" w:rsidR="004C460D" w:rsidP="00812658" w:rsidRDefault="004C460D" w14:paraId="3DAF3672" w14:textId="77777777">
            <w:pPr>
              <w:jc w:val="right"/>
            </w:pPr>
            <w:r w:rsidRPr="00467C2F">
              <w:t xml:space="preserve"> </w:t>
            </w:r>
          </w:p>
        </w:tc>
      </w:tr>
      <w:tr w:rsidRPr="00467C2F" w:rsidR="004C460D" w:rsidTr="00CA32BB" w14:paraId="1B540D8B" w14:textId="77777777">
        <w:tc>
          <w:tcPr>
            <w:tcW w:w="567" w:type="dxa"/>
          </w:tcPr>
          <w:p w:rsidRPr="00467C2F" w:rsidR="004C460D" w:rsidP="00812658" w:rsidRDefault="004C460D" w14:paraId="771CA819" w14:textId="77777777">
            <w:r w:rsidRPr="00467C2F">
              <w:lastRenderedPageBreak/>
              <w:t>30</w:t>
            </w:r>
          </w:p>
        </w:tc>
        <w:tc>
          <w:tcPr>
            <w:tcW w:w="7083" w:type="dxa"/>
          </w:tcPr>
          <w:p w:rsidRPr="00467C2F" w:rsidR="004C460D" w:rsidP="00812658" w:rsidRDefault="004C460D" w14:paraId="4C2BD5E3" w14:textId="77777777">
            <w:r w:rsidRPr="00467C2F">
              <w:t xml:space="preserve">Welke </w:t>
            </w:r>
            <w:proofErr w:type="spellStart"/>
            <w:r w:rsidRPr="00467C2F">
              <w:t>NGO’s</w:t>
            </w:r>
            <w:proofErr w:type="spellEnd"/>
            <w:r w:rsidRPr="00467C2F">
              <w:t xml:space="preserve"> ontvangen in 2025 middelen uit art. 3.3 Maatschappelijk middenveld en met welke bedragen/activiteiten?</w:t>
            </w:r>
          </w:p>
          <w:p w:rsidRPr="00467C2F" w:rsidR="004C460D" w:rsidP="00812658" w:rsidRDefault="004C460D" w14:paraId="0059DE25" w14:textId="77777777">
            <w:pPr>
              <w:rPr>
                <w:b/>
                <w:bCs/>
              </w:rPr>
            </w:pPr>
            <w:r w:rsidRPr="00467C2F">
              <w:rPr>
                <w:b/>
                <w:bCs/>
              </w:rPr>
              <w:t>Antwoord:</w:t>
            </w:r>
          </w:p>
          <w:p w:rsidRPr="00467C2F" w:rsidR="004C460D" w:rsidP="00812658" w:rsidRDefault="004C460D" w14:paraId="57B567D0" w14:textId="51A49AF1">
            <w:pPr>
              <w:rPr>
                <w:b/>
                <w:bCs/>
              </w:rPr>
            </w:pPr>
            <w:r w:rsidRPr="00467C2F">
              <w:rPr>
                <w:b/>
                <w:bCs/>
              </w:rPr>
              <w:t xml:space="preserve">In 2025 zijn vanuit </w:t>
            </w:r>
            <w:proofErr w:type="spellStart"/>
            <w:r w:rsidRPr="00467C2F">
              <w:rPr>
                <w:b/>
                <w:bCs/>
              </w:rPr>
              <w:t>subartikel</w:t>
            </w:r>
            <w:proofErr w:type="spellEnd"/>
            <w:r w:rsidRPr="00467C2F">
              <w:rPr>
                <w:b/>
                <w:bCs/>
              </w:rPr>
              <w:t xml:space="preserve"> 3.3. middelen beschikbaar voor:</w:t>
            </w:r>
          </w:p>
          <w:p w:rsidRPr="00467C2F" w:rsidR="004C460D" w:rsidP="00421FAE" w:rsidRDefault="004C460D" w14:paraId="4F199C28" w14:textId="7A5720E4">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 xml:space="preserve">de 22 penvoerders van de Power of </w:t>
            </w:r>
            <w:proofErr w:type="spellStart"/>
            <w:r w:rsidRPr="00467C2F">
              <w:rPr>
                <w:rFonts w:ascii="Times New Roman" w:hAnsi="Times New Roman" w:cs="Times New Roman"/>
                <w:b/>
                <w:bCs/>
                <w:sz w:val="20"/>
                <w:szCs w:val="20"/>
              </w:rPr>
              <w:t>Voices</w:t>
            </w:r>
            <w:proofErr w:type="spellEnd"/>
            <w:r w:rsidRPr="00467C2F">
              <w:rPr>
                <w:rFonts w:ascii="Times New Roman" w:hAnsi="Times New Roman" w:cs="Times New Roman"/>
                <w:b/>
                <w:bCs/>
                <w:sz w:val="20"/>
                <w:szCs w:val="20"/>
              </w:rPr>
              <w:t>-partnerschappen onder het beleidskader Versterking Maatschappelijk Middenveld</w:t>
            </w:r>
          </w:p>
          <w:p w:rsidRPr="00467C2F" w:rsidR="004C460D" w:rsidP="00AE0AC7" w:rsidRDefault="004C460D" w14:paraId="619BBD2F" w14:textId="260FF5AB">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 xml:space="preserve">Hivos, voor het programma Digital </w:t>
            </w:r>
            <w:proofErr w:type="spellStart"/>
            <w:r w:rsidRPr="00467C2F">
              <w:rPr>
                <w:rFonts w:ascii="Times New Roman" w:hAnsi="Times New Roman" w:cs="Times New Roman"/>
                <w:b/>
                <w:bCs/>
                <w:sz w:val="20"/>
                <w:szCs w:val="20"/>
              </w:rPr>
              <w:t>Defenders</w:t>
            </w:r>
            <w:proofErr w:type="spellEnd"/>
            <w:r w:rsidRPr="00467C2F">
              <w:rPr>
                <w:rFonts w:ascii="Times New Roman" w:hAnsi="Times New Roman" w:cs="Times New Roman"/>
                <w:b/>
                <w:bCs/>
                <w:sz w:val="20"/>
                <w:szCs w:val="20"/>
              </w:rPr>
              <w:t xml:space="preserve"> Partnership</w:t>
            </w:r>
          </w:p>
          <w:p w:rsidRPr="00467C2F" w:rsidR="004C460D" w:rsidP="00AE0AC7" w:rsidRDefault="004C460D" w14:paraId="600FA77D" w14:textId="10FA0EBE">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Hivos en Oxfam voor het Voice-programma</w:t>
            </w:r>
          </w:p>
          <w:p w:rsidRPr="00467C2F" w:rsidR="004C460D" w:rsidP="00AE0AC7" w:rsidRDefault="004C460D" w14:paraId="3253A6FF" w14:textId="2D5895A0">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CIVICUS, een instellingssubsidie</w:t>
            </w:r>
          </w:p>
          <w:p w:rsidRPr="00467C2F" w:rsidR="004C460D" w:rsidP="00AE0AC7" w:rsidRDefault="004C460D" w14:paraId="43324712" w14:textId="726D035C">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ICNL, een instellingssubsidie</w:t>
            </w:r>
          </w:p>
          <w:p w:rsidRPr="00467C2F" w:rsidR="004C460D" w:rsidP="00AE0AC7" w:rsidRDefault="004C460D" w14:paraId="3F2B43E9" w14:textId="218B2A2B">
            <w:pPr>
              <w:pStyle w:val="ListParagraph"/>
              <w:numPr>
                <w:ilvl w:val="0"/>
                <w:numId w:val="4"/>
              </w:numPr>
              <w:rPr>
                <w:rFonts w:ascii="Times New Roman" w:hAnsi="Times New Roman" w:cs="Times New Roman"/>
                <w:b/>
                <w:bCs/>
                <w:sz w:val="20"/>
                <w:szCs w:val="20"/>
                <w:lang w:val="en-US"/>
              </w:rPr>
            </w:pPr>
            <w:proofErr w:type="spellStart"/>
            <w:r w:rsidRPr="00467C2F">
              <w:rPr>
                <w:rFonts w:ascii="Times New Roman" w:hAnsi="Times New Roman" w:cs="Times New Roman"/>
                <w:b/>
                <w:bCs/>
                <w:sz w:val="20"/>
                <w:szCs w:val="20"/>
                <w:lang w:val="en-US"/>
              </w:rPr>
              <w:t>Partos</w:t>
            </w:r>
            <w:proofErr w:type="spellEnd"/>
            <w:r w:rsidRPr="00467C2F">
              <w:rPr>
                <w:rFonts w:ascii="Times New Roman" w:hAnsi="Times New Roman" w:cs="Times New Roman"/>
                <w:b/>
                <w:bCs/>
                <w:sz w:val="20"/>
                <w:szCs w:val="20"/>
                <w:lang w:val="en-US"/>
              </w:rPr>
              <w:t xml:space="preserve">, </w:t>
            </w:r>
            <w:proofErr w:type="spellStart"/>
            <w:r w:rsidRPr="00467C2F">
              <w:rPr>
                <w:rFonts w:ascii="Times New Roman" w:hAnsi="Times New Roman" w:cs="Times New Roman"/>
                <w:b/>
                <w:bCs/>
                <w:sz w:val="20"/>
                <w:szCs w:val="20"/>
                <w:lang w:val="en-US"/>
              </w:rPr>
              <w:t>voor</w:t>
            </w:r>
            <w:proofErr w:type="spellEnd"/>
            <w:r w:rsidRPr="00467C2F">
              <w:rPr>
                <w:rFonts w:ascii="Times New Roman" w:hAnsi="Times New Roman" w:cs="Times New Roman"/>
                <w:b/>
                <w:bCs/>
                <w:sz w:val="20"/>
                <w:szCs w:val="20"/>
                <w:lang w:val="en-US"/>
              </w:rPr>
              <w:t xml:space="preserve"> het Learning and Innovation </w:t>
            </w:r>
            <w:proofErr w:type="spellStart"/>
            <w:r w:rsidRPr="00467C2F">
              <w:rPr>
                <w:rFonts w:ascii="Times New Roman" w:hAnsi="Times New Roman" w:cs="Times New Roman"/>
                <w:b/>
                <w:bCs/>
                <w:sz w:val="20"/>
                <w:szCs w:val="20"/>
                <w:lang w:val="en-US"/>
              </w:rPr>
              <w:t>Programme</w:t>
            </w:r>
            <w:proofErr w:type="spellEnd"/>
          </w:p>
          <w:p w:rsidRPr="00467C2F" w:rsidR="004C460D" w:rsidP="00C11037" w:rsidRDefault="004C460D" w14:paraId="16B054A8" w14:textId="45401689">
            <w:pPr>
              <w:pStyle w:val="ListParagraph"/>
              <w:numPr>
                <w:ilvl w:val="0"/>
                <w:numId w:val="4"/>
              </w:numPr>
              <w:rPr>
                <w:rFonts w:ascii="Times New Roman" w:hAnsi="Times New Roman" w:cs="Times New Roman"/>
                <w:b/>
                <w:bCs/>
                <w:sz w:val="20"/>
                <w:szCs w:val="20"/>
              </w:rPr>
            </w:pPr>
            <w:r w:rsidRPr="00467C2F">
              <w:rPr>
                <w:rFonts w:ascii="Times New Roman" w:hAnsi="Times New Roman" w:cs="Times New Roman"/>
                <w:b/>
                <w:bCs/>
                <w:sz w:val="20"/>
                <w:szCs w:val="20"/>
              </w:rPr>
              <w:t>Een groot aantal lokale maatschappelijke organisaties via</w:t>
            </w:r>
            <w:r w:rsidRPr="00467C2F">
              <w:rPr>
                <w:b/>
                <w:bCs/>
              </w:rPr>
              <w:t xml:space="preserve"> </w:t>
            </w:r>
            <w:r w:rsidRPr="00467C2F">
              <w:rPr>
                <w:rFonts w:ascii="Times New Roman" w:hAnsi="Times New Roman" w:cs="Times New Roman"/>
                <w:b/>
                <w:bCs/>
                <w:sz w:val="20"/>
                <w:szCs w:val="20"/>
              </w:rPr>
              <w:t xml:space="preserve">het </w:t>
            </w:r>
            <w:proofErr w:type="spellStart"/>
            <w:r w:rsidRPr="00467C2F">
              <w:rPr>
                <w:rFonts w:ascii="Times New Roman" w:hAnsi="Times New Roman" w:cs="Times New Roman"/>
                <w:b/>
                <w:bCs/>
                <w:sz w:val="20"/>
                <w:szCs w:val="20"/>
              </w:rPr>
              <w:t>Civic</w:t>
            </w:r>
            <w:proofErr w:type="spellEnd"/>
            <w:r w:rsidRPr="00467C2F">
              <w:rPr>
                <w:rFonts w:ascii="Times New Roman" w:hAnsi="Times New Roman" w:cs="Times New Roman"/>
                <w:b/>
                <w:bCs/>
                <w:sz w:val="20"/>
                <w:szCs w:val="20"/>
              </w:rPr>
              <w:t xml:space="preserve"> Space Fund</w:t>
            </w:r>
          </w:p>
          <w:p w:rsidRPr="00467C2F" w:rsidR="004C460D" w:rsidP="00C11037" w:rsidRDefault="004C460D" w14:paraId="62B98327" w14:textId="56B80C6C">
            <w:pPr>
              <w:rPr>
                <w:b/>
                <w:bCs/>
              </w:rPr>
            </w:pPr>
            <w:r w:rsidRPr="00467C2F">
              <w:rPr>
                <w:b/>
                <w:bCs/>
              </w:rPr>
              <w:t xml:space="preserve">Alle uitgaven op het gebied van het Maatschappelijk Middenveld die in het jaar 2025 worden gedaan, zullen in het voorjaar van 2026 worden gepubliceerd. U kunt deze dan raadplegen op </w:t>
            </w:r>
            <w:hyperlink w:history="1" r:id="rId13">
              <w:r w:rsidRPr="00467C2F">
                <w:rPr>
                  <w:rStyle w:val="Hyperlink"/>
                  <w:b/>
                  <w:bCs/>
                </w:rPr>
                <w:t>www.nlontwikkelingshulp.nl</w:t>
              </w:r>
            </w:hyperlink>
            <w:r w:rsidRPr="00467C2F">
              <w:rPr>
                <w:b/>
                <w:bCs/>
              </w:rPr>
              <w:t xml:space="preserve"> onder het kopje ‘Begroting’.</w:t>
            </w:r>
          </w:p>
          <w:p w:rsidRPr="00467C2F" w:rsidR="004C460D" w:rsidP="004C460D" w:rsidRDefault="004C460D" w14:paraId="2169B0CF" w14:textId="77777777">
            <w:pPr>
              <w:rPr>
                <w:b/>
                <w:bCs/>
              </w:rPr>
            </w:pPr>
          </w:p>
        </w:tc>
        <w:tc>
          <w:tcPr>
            <w:tcW w:w="430" w:type="dxa"/>
          </w:tcPr>
          <w:p w:rsidRPr="00467C2F" w:rsidR="004C460D" w:rsidP="00812658" w:rsidRDefault="004C460D" w14:paraId="0BF8B2DE" w14:textId="77777777">
            <w:pPr>
              <w:jc w:val="right"/>
            </w:pPr>
            <w:r w:rsidRPr="00467C2F">
              <w:t>14</w:t>
            </w:r>
          </w:p>
        </w:tc>
        <w:tc>
          <w:tcPr>
            <w:tcW w:w="567" w:type="dxa"/>
          </w:tcPr>
          <w:p w:rsidRPr="00467C2F" w:rsidR="004C460D" w:rsidP="00812658" w:rsidRDefault="004C460D" w14:paraId="5EF2953C" w14:textId="77777777">
            <w:pPr>
              <w:jc w:val="right"/>
            </w:pPr>
            <w:r w:rsidRPr="00467C2F">
              <w:t xml:space="preserve">14 </w:t>
            </w:r>
          </w:p>
        </w:tc>
      </w:tr>
      <w:tr w:rsidRPr="00467C2F" w:rsidR="004C460D" w:rsidTr="00CA32BB" w14:paraId="03C827B2" w14:textId="77777777">
        <w:tc>
          <w:tcPr>
            <w:tcW w:w="567" w:type="dxa"/>
          </w:tcPr>
          <w:p w:rsidRPr="00467C2F" w:rsidR="004C460D" w:rsidP="00812658" w:rsidRDefault="004C460D" w14:paraId="029852CF" w14:textId="77777777">
            <w:r w:rsidRPr="00467C2F">
              <w:t>31</w:t>
            </w:r>
          </w:p>
        </w:tc>
        <w:tc>
          <w:tcPr>
            <w:tcW w:w="7083" w:type="dxa"/>
          </w:tcPr>
          <w:p w:rsidRPr="00467C2F" w:rsidR="004C460D" w:rsidP="00812658" w:rsidRDefault="004C460D" w14:paraId="2EEC2B36" w14:textId="77777777">
            <w:r w:rsidRPr="00467C2F">
              <w:t>Waarom wordt €10 miljoen overgeheveld naar UNICEF voor Gaza-waterinfrastructuur in plaats van binnenlandse prioriteiten?</w:t>
            </w:r>
          </w:p>
          <w:p w:rsidRPr="00467C2F" w:rsidR="004C460D" w:rsidP="00812658" w:rsidRDefault="004C460D" w14:paraId="3769F819" w14:textId="77777777">
            <w:pPr>
              <w:rPr>
                <w:b/>
                <w:bCs/>
              </w:rPr>
            </w:pPr>
            <w:r w:rsidRPr="00467C2F">
              <w:rPr>
                <w:b/>
                <w:bCs/>
              </w:rPr>
              <w:t>Antwoord:</w:t>
            </w:r>
          </w:p>
          <w:p w:rsidRPr="00467C2F" w:rsidR="004C460D" w:rsidP="00FB4648" w:rsidRDefault="004C460D" w14:paraId="2632A8CC" w14:textId="250F022E">
            <w:pPr>
              <w:rPr>
                <w:b/>
                <w:bCs/>
              </w:rPr>
            </w:pPr>
            <w:r w:rsidRPr="00467C2F">
              <w:rPr>
                <w:b/>
                <w:bCs/>
              </w:rPr>
              <w:t>Dit betreft een invulling van de eerder aangekondigde reservering van middelen voor wederopbouw van Gaza. In de Voorjaarsnota van 2024 was een eerste bedrag van 20 miljoen euro gereserveerd voor herstel en wederopbouw in de Gazastrook. De humanitaire situatie in de Gazastrook kenmerkt zich door urgente noden, niet alleen op de korte termijn maar ook op de lange termijn. Het waterprogramma van UNICEF richt zich op het herstel van de watervoorziening voor een substantieel deel van de bevolking.</w:t>
            </w:r>
            <w:r w:rsidRPr="00467C2F" w:rsidR="00CF2C94">
              <w:t xml:space="preserve"> </w:t>
            </w:r>
            <w:r w:rsidRPr="00467C2F" w:rsidR="00CF2C94">
              <w:rPr>
                <w:b/>
                <w:bCs/>
              </w:rPr>
              <w:t>Structurele toegang tot basisvoorzieningen is ook voor de langere termijn een essentieel element in het bewerkstelligen van regionale stabiliteit en is daarmee tevens een Nederlands (</w:t>
            </w:r>
            <w:proofErr w:type="spellStart"/>
            <w:r w:rsidRPr="00467C2F" w:rsidR="00CF2C94">
              <w:rPr>
                <w:b/>
                <w:bCs/>
              </w:rPr>
              <w:t>veiligheids</w:t>
            </w:r>
            <w:proofErr w:type="spellEnd"/>
            <w:r w:rsidRPr="00467C2F" w:rsidR="00CF2C94">
              <w:rPr>
                <w:b/>
                <w:bCs/>
              </w:rPr>
              <w:t>)belang.</w:t>
            </w:r>
          </w:p>
          <w:p w:rsidRPr="00467C2F" w:rsidR="004C460D" w:rsidP="004C460D" w:rsidRDefault="004C460D" w14:paraId="28AD835A" w14:textId="77777777"/>
        </w:tc>
        <w:tc>
          <w:tcPr>
            <w:tcW w:w="430" w:type="dxa"/>
          </w:tcPr>
          <w:p w:rsidRPr="00467C2F" w:rsidR="004C460D" w:rsidP="00812658" w:rsidRDefault="004C460D" w14:paraId="2016AFBA" w14:textId="77777777">
            <w:pPr>
              <w:jc w:val="right"/>
            </w:pPr>
            <w:r w:rsidRPr="00467C2F">
              <w:t>11</w:t>
            </w:r>
          </w:p>
        </w:tc>
        <w:tc>
          <w:tcPr>
            <w:tcW w:w="567" w:type="dxa"/>
          </w:tcPr>
          <w:p w:rsidRPr="00467C2F" w:rsidR="004C460D" w:rsidP="00812658" w:rsidRDefault="004C460D" w14:paraId="21603B1A" w14:textId="77777777">
            <w:pPr>
              <w:jc w:val="right"/>
            </w:pPr>
            <w:r w:rsidRPr="00467C2F">
              <w:t xml:space="preserve">11 </w:t>
            </w:r>
          </w:p>
        </w:tc>
      </w:tr>
      <w:tr w:rsidRPr="00467C2F" w:rsidR="004C460D" w:rsidTr="00CA32BB" w14:paraId="18C5CFC9" w14:textId="77777777">
        <w:tc>
          <w:tcPr>
            <w:tcW w:w="567" w:type="dxa"/>
          </w:tcPr>
          <w:p w:rsidRPr="00467C2F" w:rsidR="004C460D" w:rsidP="00812658" w:rsidRDefault="004C460D" w14:paraId="30A78393" w14:textId="77777777">
            <w:r w:rsidRPr="00467C2F">
              <w:t>32</w:t>
            </w:r>
          </w:p>
        </w:tc>
        <w:tc>
          <w:tcPr>
            <w:tcW w:w="7083" w:type="dxa"/>
          </w:tcPr>
          <w:p w:rsidRPr="00467C2F" w:rsidR="004C460D" w:rsidP="00812658" w:rsidRDefault="004C460D" w14:paraId="631FD20D" w14:textId="77777777">
            <w:r w:rsidRPr="00467C2F">
              <w:t xml:space="preserve">Kunt u bevestigen dat €10 miljoen is verschoven van art. 4.3 naar art. 2.2 (Gaza/UNICEF) en wat zijn grondslag, risico’s en </w:t>
            </w:r>
            <w:proofErr w:type="spellStart"/>
            <w:r w:rsidRPr="00467C2F">
              <w:t>exitcriteria</w:t>
            </w:r>
            <w:proofErr w:type="spellEnd"/>
            <w:r w:rsidRPr="00467C2F">
              <w:t>?</w:t>
            </w:r>
          </w:p>
          <w:p w:rsidRPr="00467C2F" w:rsidR="004C460D" w:rsidP="00812658" w:rsidRDefault="004C460D" w14:paraId="71C18399" w14:textId="77777777">
            <w:pPr>
              <w:rPr>
                <w:b/>
                <w:bCs/>
              </w:rPr>
            </w:pPr>
            <w:r w:rsidRPr="00467C2F">
              <w:rPr>
                <w:b/>
                <w:bCs/>
              </w:rPr>
              <w:t>Antwoord:</w:t>
            </w:r>
          </w:p>
          <w:p w:rsidRPr="00467C2F" w:rsidR="004C460D" w:rsidP="00CC0D4C" w:rsidRDefault="004C460D" w14:paraId="7B190091" w14:textId="77777777">
            <w:pPr>
              <w:rPr>
                <w:b/>
                <w:bCs/>
              </w:rPr>
            </w:pPr>
            <w:r w:rsidRPr="00467C2F">
              <w:rPr>
                <w:b/>
                <w:bCs/>
              </w:rPr>
              <w:t>In het voorjaar is EUR 10 miljoen van de gereserveerde middelen (20 miljoen) voor wederopbouw Gaza overgeheveld (van artikel 4.3 Veiligheid en stabiliteit naar artikel 2.2 Water) voor een bijdrage via UNICEF voor het herstel van de waterinfrastructuur in de Gazastrook.</w:t>
            </w:r>
          </w:p>
          <w:p w:rsidRPr="00467C2F" w:rsidR="004C460D" w:rsidP="004C460D" w:rsidRDefault="004C460D" w14:paraId="256F62D0" w14:textId="77777777"/>
        </w:tc>
        <w:tc>
          <w:tcPr>
            <w:tcW w:w="430" w:type="dxa"/>
          </w:tcPr>
          <w:p w:rsidRPr="00467C2F" w:rsidR="004C460D" w:rsidP="00812658" w:rsidRDefault="004C460D" w14:paraId="3FB76ED3" w14:textId="77777777">
            <w:pPr>
              <w:jc w:val="right"/>
            </w:pPr>
            <w:r w:rsidRPr="00467C2F">
              <w:t>11</w:t>
            </w:r>
          </w:p>
        </w:tc>
        <w:tc>
          <w:tcPr>
            <w:tcW w:w="567" w:type="dxa"/>
          </w:tcPr>
          <w:p w:rsidRPr="00467C2F" w:rsidR="004C460D" w:rsidP="00812658" w:rsidRDefault="004C460D" w14:paraId="7B236AD1" w14:textId="77777777">
            <w:pPr>
              <w:jc w:val="right"/>
            </w:pPr>
            <w:r w:rsidRPr="00467C2F">
              <w:t xml:space="preserve">11 </w:t>
            </w:r>
          </w:p>
        </w:tc>
      </w:tr>
      <w:tr w:rsidRPr="00467C2F" w:rsidR="004C460D" w:rsidTr="00CA32BB" w14:paraId="3A5D0928" w14:textId="77777777">
        <w:tc>
          <w:tcPr>
            <w:tcW w:w="567" w:type="dxa"/>
          </w:tcPr>
          <w:p w:rsidRPr="00467C2F" w:rsidR="004C460D" w:rsidP="00812658" w:rsidRDefault="004C460D" w14:paraId="77C10F3C" w14:textId="77777777">
            <w:r w:rsidRPr="00467C2F">
              <w:t>33</w:t>
            </w:r>
          </w:p>
        </w:tc>
        <w:tc>
          <w:tcPr>
            <w:tcW w:w="7083" w:type="dxa"/>
          </w:tcPr>
          <w:p w:rsidRPr="00467C2F" w:rsidR="004C460D" w:rsidP="00812658" w:rsidRDefault="004C460D" w14:paraId="1A54ACD2" w14:textId="77777777">
            <w:r w:rsidRPr="00467C2F">
              <w:t>Waarom wordt er €10 miljoen overgeheveld van artikel 4.3 (Veiligheid en stabiliteit) naar artikel 2.2 (Water) voor de wederopbouw van Gaza en wat betekent dit voor lopende stabiliteits- en rechtsstaatprogramma’s?</w:t>
            </w:r>
          </w:p>
          <w:p w:rsidRPr="00467C2F" w:rsidR="004C460D" w:rsidP="00812658" w:rsidRDefault="004C460D" w14:paraId="1EDFEF3B" w14:textId="77777777">
            <w:pPr>
              <w:rPr>
                <w:b/>
                <w:bCs/>
              </w:rPr>
            </w:pPr>
            <w:r w:rsidRPr="00467C2F">
              <w:rPr>
                <w:b/>
                <w:bCs/>
              </w:rPr>
              <w:t>Antwoord:</w:t>
            </w:r>
          </w:p>
          <w:p w:rsidRPr="00467C2F" w:rsidR="004C460D" w:rsidP="00CC0D4C" w:rsidRDefault="004C460D" w14:paraId="352243FE" w14:textId="2C04B347">
            <w:pPr>
              <w:rPr>
                <w:b/>
                <w:bCs/>
              </w:rPr>
            </w:pPr>
            <w:r w:rsidRPr="00467C2F">
              <w:rPr>
                <w:b/>
                <w:bCs/>
              </w:rPr>
              <w:t xml:space="preserve">Er is geen effect voor lopende stabiliteits- en rechtstaatprogramma’s. In de </w:t>
            </w:r>
            <w:r w:rsidRPr="00467C2F" w:rsidR="00AF3F96">
              <w:rPr>
                <w:b/>
                <w:bCs/>
              </w:rPr>
              <w:t>Eerste</w:t>
            </w:r>
            <w:r w:rsidRPr="00467C2F">
              <w:rPr>
                <w:b/>
                <w:bCs/>
              </w:rPr>
              <w:t xml:space="preserve"> suppletoire begroting werd het uitgavenbudget voor 2025 op artikel 4.3 Veiligheid en Rechtstaatontwikkeling verhoogd met EUR 20 miljoen. Dit betrof een overheveling van EUR 20 miljoen vanuit artikel 1.3 ten behoeve van wederopbouw voor o.a. Gaza. Van deze 20 miljoen wordt nu een bedrag van EUR 10 miljoen doorgezet naar artikel 2.2 omdat dit thematisch de juiste verantwoordingsgrondslag betreft voor de geplande wederopbouwinzet.</w:t>
            </w:r>
          </w:p>
          <w:p w:rsidRPr="00467C2F" w:rsidR="004C460D" w:rsidP="004C460D" w:rsidRDefault="004C460D" w14:paraId="447259FF" w14:textId="77777777"/>
        </w:tc>
        <w:tc>
          <w:tcPr>
            <w:tcW w:w="430" w:type="dxa"/>
          </w:tcPr>
          <w:p w:rsidRPr="00467C2F" w:rsidR="004C460D" w:rsidP="00812658" w:rsidRDefault="004C460D" w14:paraId="21AB4971" w14:textId="77777777">
            <w:pPr>
              <w:jc w:val="right"/>
            </w:pPr>
            <w:r w:rsidRPr="00467C2F">
              <w:t>14</w:t>
            </w:r>
          </w:p>
        </w:tc>
        <w:tc>
          <w:tcPr>
            <w:tcW w:w="567" w:type="dxa"/>
          </w:tcPr>
          <w:p w:rsidRPr="00467C2F" w:rsidR="004C460D" w:rsidP="00812658" w:rsidRDefault="004C460D" w14:paraId="432D4280" w14:textId="77777777">
            <w:pPr>
              <w:jc w:val="right"/>
            </w:pPr>
            <w:r w:rsidRPr="00467C2F">
              <w:t xml:space="preserve"> </w:t>
            </w:r>
          </w:p>
        </w:tc>
      </w:tr>
      <w:tr w:rsidRPr="00467C2F" w:rsidR="004C460D" w:rsidTr="00CA32BB" w14:paraId="2AA8AAB1" w14:textId="77777777">
        <w:tc>
          <w:tcPr>
            <w:tcW w:w="567" w:type="dxa"/>
          </w:tcPr>
          <w:p w:rsidRPr="00467C2F" w:rsidR="004C460D" w:rsidP="00812658" w:rsidRDefault="004C460D" w14:paraId="1E352983" w14:textId="77777777">
            <w:r w:rsidRPr="00467C2F">
              <w:t>34</w:t>
            </w:r>
          </w:p>
        </w:tc>
        <w:tc>
          <w:tcPr>
            <w:tcW w:w="7083" w:type="dxa"/>
          </w:tcPr>
          <w:p w:rsidRPr="00467C2F" w:rsidR="004C460D" w:rsidP="00812658" w:rsidRDefault="004C460D" w14:paraId="69B492B3" w14:textId="77777777">
            <w:r w:rsidRPr="00467C2F">
              <w:t>In hoeverre worden de middelen uit artikel 3 (Sociale vooruitgang) en artikel 4 (Vrede en veiligheid) ingezet voor capaciteitsopbouw van lokale organisaties en welk percentage van de totale middelen gaat in 2025 daadwerkelijk via lokale organisaties naar de uitvoering in partnerlanden?</w:t>
            </w:r>
          </w:p>
          <w:p w:rsidRPr="00467C2F" w:rsidR="004C460D" w:rsidP="00812658" w:rsidRDefault="004C460D" w14:paraId="63A08FC2" w14:textId="77777777">
            <w:pPr>
              <w:rPr>
                <w:b/>
                <w:bCs/>
              </w:rPr>
            </w:pPr>
            <w:r w:rsidRPr="00467C2F">
              <w:rPr>
                <w:b/>
                <w:bCs/>
              </w:rPr>
              <w:lastRenderedPageBreak/>
              <w:t>Antwoord:</w:t>
            </w:r>
          </w:p>
          <w:p w:rsidRPr="00467C2F" w:rsidR="004C460D" w:rsidP="00181415" w:rsidRDefault="004C460D" w14:paraId="774AF2FF" w14:textId="77777777">
            <w:pPr>
              <w:rPr>
                <w:b/>
                <w:bCs/>
              </w:rPr>
            </w:pPr>
            <w:r w:rsidRPr="00467C2F">
              <w:rPr>
                <w:b/>
                <w:bCs/>
              </w:rPr>
              <w:t xml:space="preserve">Voor artikel 4 kan onderscheid worden gemaakt in middelen voor Humanitaire hulp (4.1), Opvang en bescherming in de regio en migratiesamenwerking (4.2) en Veiligheid en Rechtstaatontwikkeling (4.3). </w:t>
            </w:r>
          </w:p>
          <w:p w:rsidRPr="00467C2F" w:rsidR="004C460D" w:rsidP="00181415" w:rsidRDefault="004C460D" w14:paraId="11590904" w14:textId="3CA060CF">
            <w:pPr>
              <w:rPr>
                <w:b/>
                <w:bCs/>
              </w:rPr>
            </w:pPr>
            <w:r w:rsidRPr="00467C2F">
              <w:rPr>
                <w:b/>
                <w:bCs/>
              </w:rPr>
              <w:t>Voor Humanitaire hulp gaat (uiteraard) het grootste deel van de middelen naar directe ondersteuning van mensen in nood. Dit verloopt deels via lokale partners. De cijfers voor 2025 en 2024 zijn nog niet bekend, maar in 2023 betrof dit ca 40% van het budget voor acute humanitaire hulp. Ook van de bijdragen die beschikbaar worden gesteld aan meer langdurige crisis, wordt ca 40% (EURO 35 miljoen) doorgezet naar lokale partners. Van deze middelen blijft ca 11% bij deze organisaties zelf, en wordt dit ingezet voor eigen vaste lasten en capaciteitsversterking.  </w:t>
            </w:r>
          </w:p>
          <w:p w:rsidRPr="00467C2F" w:rsidR="004C460D" w:rsidP="00181415" w:rsidRDefault="004C460D" w14:paraId="1FBB92FB" w14:textId="2C51EC6B">
            <w:pPr>
              <w:rPr>
                <w:b/>
                <w:bCs/>
              </w:rPr>
            </w:pPr>
            <w:r w:rsidRPr="00467C2F">
              <w:rPr>
                <w:b/>
                <w:bCs/>
              </w:rPr>
              <w:t xml:space="preserve">Vanuit beleidsartikel 4.2 gaat in 2025 ca 14 miljoen naar de capaciteitsopbouw van lokale organisaties, via een specifiek subsidiekader gericht op lokalisering. Dit komt neer op 5% van het totaalbudget voor 2025. Binnen de bijdragen aan multilaterale organisaties gaat ook een (klein) deel naar lokale organisaties. </w:t>
            </w:r>
          </w:p>
          <w:p w:rsidRPr="00467C2F" w:rsidR="004C460D" w:rsidP="00181415" w:rsidRDefault="004C460D" w14:paraId="7A026752" w14:textId="4ED06AF9">
            <w:pPr>
              <w:rPr>
                <w:b/>
                <w:bCs/>
              </w:rPr>
            </w:pPr>
            <w:r w:rsidRPr="00467C2F">
              <w:rPr>
                <w:b/>
                <w:bCs/>
              </w:rPr>
              <w:t>Van de middelen die worden besteed aan veiligheid en stabiliteit, ging in 2024 ca 18 miljoen (ca 10%) direct naar lokale organisaties. Van de overige middelen, wordt eveneens een substantieel deel besteed aan directe ondersteuning van lokale partners (‘</w:t>
            </w:r>
            <w:proofErr w:type="spellStart"/>
            <w:r w:rsidRPr="00467C2F">
              <w:rPr>
                <w:b/>
                <w:bCs/>
              </w:rPr>
              <w:t>subgranting</w:t>
            </w:r>
            <w:proofErr w:type="spellEnd"/>
            <w:r w:rsidRPr="00467C2F">
              <w:rPr>
                <w:b/>
                <w:bCs/>
              </w:rPr>
              <w:t xml:space="preserve">’) of aan activiteiten die capaciteitsversterking van lokale organisaties tot doel hebben. Deze percentages zijn momenteel (nog) niet beschikbaar. We zullen dit echter wel op termijn analyseren; lokalisering is immers een belangrijke doelstelling binnen alle activiteiten gericht op veiligheid en stabiliteit en we willen hier ook op sturen. Hierbij is realisme wel geboden: omdat veel activiteiten in fragiele of instabiele </w:t>
            </w:r>
            <w:proofErr w:type="spellStart"/>
            <w:r w:rsidRPr="00467C2F">
              <w:rPr>
                <w:b/>
                <w:bCs/>
              </w:rPr>
              <w:t>settings</w:t>
            </w:r>
            <w:proofErr w:type="spellEnd"/>
            <w:r w:rsidRPr="00467C2F">
              <w:rPr>
                <w:b/>
                <w:bCs/>
              </w:rPr>
              <w:t xml:space="preserve"> plaats vinden, is directe financiering niet altijd mogelijk of wenselijk.</w:t>
            </w:r>
          </w:p>
          <w:p w:rsidRPr="00467C2F" w:rsidR="004C460D" w:rsidP="00812658" w:rsidRDefault="004C460D" w14:paraId="21B7E144" w14:textId="77777777"/>
          <w:p w:rsidRPr="00467C2F" w:rsidR="004C460D" w:rsidP="004C460D" w:rsidRDefault="004C460D" w14:paraId="18C7B421" w14:textId="77777777">
            <w:pPr>
              <w:rPr>
                <w:b/>
                <w:bCs/>
              </w:rPr>
            </w:pPr>
            <w:r w:rsidRPr="00467C2F">
              <w:rPr>
                <w:b/>
                <w:bCs/>
              </w:rPr>
              <w:t>Onder artikel 3 Sociale vooruitgang valt het beleidskader Versterking Maatschappelijk Middenveld, dat zich specifiek richt op capaciteitsversterking van met name lokale maatschappelijke organisaties. Het kader heeft een omvang van gemiddeld zo’n 275 miljoen euro per jaar (EUR 1,4 miljard voor een periode van 5 jaar). Dit beslaat in 2025 ongeveer 41% van het totale budget op artikel 3.</w:t>
            </w:r>
          </w:p>
          <w:p w:rsidRPr="00467C2F" w:rsidR="00CA32BB" w:rsidP="004C460D" w:rsidRDefault="00CA32BB" w14:paraId="7886423B" w14:textId="0DFB3998">
            <w:pPr>
              <w:rPr>
                <w:b/>
                <w:bCs/>
              </w:rPr>
            </w:pPr>
          </w:p>
        </w:tc>
        <w:tc>
          <w:tcPr>
            <w:tcW w:w="430" w:type="dxa"/>
          </w:tcPr>
          <w:p w:rsidRPr="00467C2F" w:rsidR="004C460D" w:rsidP="00812658" w:rsidRDefault="004C460D" w14:paraId="2BC0C761" w14:textId="77777777">
            <w:pPr>
              <w:jc w:val="right"/>
            </w:pPr>
            <w:r w:rsidRPr="00467C2F">
              <w:lastRenderedPageBreak/>
              <w:t>14</w:t>
            </w:r>
          </w:p>
        </w:tc>
        <w:tc>
          <w:tcPr>
            <w:tcW w:w="567" w:type="dxa"/>
          </w:tcPr>
          <w:p w:rsidRPr="00467C2F" w:rsidR="004C460D" w:rsidP="00812658" w:rsidRDefault="004C460D" w14:paraId="1DADABE8" w14:textId="77777777">
            <w:pPr>
              <w:jc w:val="right"/>
            </w:pPr>
            <w:r w:rsidRPr="00467C2F">
              <w:t xml:space="preserve"> </w:t>
            </w:r>
          </w:p>
        </w:tc>
      </w:tr>
      <w:tr w:rsidRPr="00467C2F" w:rsidR="004C460D" w:rsidTr="00CA32BB" w14:paraId="1F210A47" w14:textId="77777777">
        <w:tc>
          <w:tcPr>
            <w:tcW w:w="567" w:type="dxa"/>
          </w:tcPr>
          <w:p w:rsidRPr="00467C2F" w:rsidR="004C460D" w:rsidP="00812658" w:rsidRDefault="004C460D" w14:paraId="23A8FFC0" w14:textId="77777777">
            <w:r w:rsidRPr="00467C2F">
              <w:t>35</w:t>
            </w:r>
          </w:p>
        </w:tc>
        <w:tc>
          <w:tcPr>
            <w:tcW w:w="7083" w:type="dxa"/>
          </w:tcPr>
          <w:p w:rsidRPr="00467C2F" w:rsidR="004C460D" w:rsidP="00812658" w:rsidRDefault="004C460D" w14:paraId="56BF0574" w14:textId="77777777">
            <w:bookmarkStart w:name="_Hlk209618111" w:id="5"/>
            <w:r w:rsidRPr="00467C2F">
              <w:t>Waarom stijgt de subsidie “Vrouwenrechten” met €0,5 miljoen en welke resultaatindicatoren gelden?</w:t>
            </w:r>
          </w:p>
          <w:p w:rsidRPr="00467C2F" w:rsidR="004C460D" w:rsidP="00812658" w:rsidRDefault="004C460D" w14:paraId="49F6FF1A" w14:textId="77777777">
            <w:pPr>
              <w:rPr>
                <w:b/>
                <w:bCs/>
              </w:rPr>
            </w:pPr>
            <w:r w:rsidRPr="00467C2F">
              <w:rPr>
                <w:b/>
                <w:bCs/>
              </w:rPr>
              <w:t>Antwoord:</w:t>
            </w:r>
          </w:p>
          <w:p w:rsidRPr="00467C2F" w:rsidR="004C460D" w:rsidP="00812658" w:rsidRDefault="004C460D" w14:paraId="7597FF49" w14:textId="4E16CC0A">
            <w:pPr>
              <w:rPr>
                <w:b/>
                <w:bCs/>
              </w:rPr>
            </w:pPr>
            <w:r w:rsidRPr="00467C2F">
              <w:rPr>
                <w:b/>
                <w:bCs/>
              </w:rPr>
              <w:t>Er worden geen middelen toegevoegd aan 3.2. Er is slechts een</w:t>
            </w:r>
            <w:r w:rsidRPr="00467C2F" w:rsidR="00901934">
              <w:rPr>
                <w:b/>
                <w:bCs/>
              </w:rPr>
              <w:t xml:space="preserve"> technische</w:t>
            </w:r>
            <w:r w:rsidRPr="00467C2F">
              <w:rPr>
                <w:b/>
                <w:bCs/>
              </w:rPr>
              <w:t xml:space="preserve"> verschuiving van EUR 500.000 van bijdrages naar subsidies. Hiervoor gelden dezelfde resultaatindicatoren als voor de rest van het thema Vrouwenrechten en gendergelijkheid, namelijk Aantal keren dat maatschappelijke organisaties erin slagen ruimte te creëren voor maatschappelijke eisen en posities op het gebied van vrouwenrechten en gendergelijkheid en Aantal maatschappelijke organisaties met versterkte capaciteit voor de bevordering van vrouwenrechten en gendergelijkheid.</w:t>
            </w:r>
          </w:p>
          <w:bookmarkEnd w:id="5"/>
          <w:p w:rsidRPr="00467C2F" w:rsidR="004C460D" w:rsidP="004C460D" w:rsidRDefault="004C460D" w14:paraId="25682C1D" w14:textId="77777777"/>
        </w:tc>
        <w:tc>
          <w:tcPr>
            <w:tcW w:w="430" w:type="dxa"/>
          </w:tcPr>
          <w:p w:rsidRPr="00467C2F" w:rsidR="004C460D" w:rsidP="00812658" w:rsidRDefault="004C460D" w14:paraId="14FF393D" w14:textId="77777777">
            <w:pPr>
              <w:jc w:val="right"/>
            </w:pPr>
            <w:r w:rsidRPr="00467C2F">
              <w:t>14</w:t>
            </w:r>
          </w:p>
        </w:tc>
        <w:tc>
          <w:tcPr>
            <w:tcW w:w="567" w:type="dxa"/>
          </w:tcPr>
          <w:p w:rsidRPr="00467C2F" w:rsidR="004C460D" w:rsidP="00812658" w:rsidRDefault="004C460D" w14:paraId="1E4383B9" w14:textId="77777777">
            <w:pPr>
              <w:jc w:val="right"/>
            </w:pPr>
            <w:r w:rsidRPr="00467C2F">
              <w:t xml:space="preserve">14 </w:t>
            </w:r>
          </w:p>
        </w:tc>
      </w:tr>
      <w:tr w:rsidRPr="00467C2F" w:rsidR="004C460D" w:rsidTr="00CA32BB" w14:paraId="3617A1EE" w14:textId="77777777">
        <w:tc>
          <w:tcPr>
            <w:tcW w:w="567" w:type="dxa"/>
          </w:tcPr>
          <w:p w:rsidRPr="00467C2F" w:rsidR="004C460D" w:rsidP="00812658" w:rsidRDefault="004C460D" w14:paraId="519416DD" w14:textId="77777777">
            <w:r w:rsidRPr="00467C2F">
              <w:t>36</w:t>
            </w:r>
          </w:p>
        </w:tc>
        <w:tc>
          <w:tcPr>
            <w:tcW w:w="7083" w:type="dxa"/>
          </w:tcPr>
          <w:p w:rsidRPr="00467C2F" w:rsidR="004C460D" w:rsidP="00812658" w:rsidRDefault="004C460D" w14:paraId="37C1FF44" w14:textId="77777777">
            <w:r w:rsidRPr="00467C2F">
              <w:t>Kunt u alle 2025-uitgaven voor SRGR (incl. UNFPA) per instrument specificeren en de prioriteit t.o.v. koopkracht Nederland motiveren?</w:t>
            </w:r>
          </w:p>
          <w:p w:rsidRPr="00467C2F" w:rsidR="004C460D" w:rsidP="00812658" w:rsidRDefault="004C460D" w14:paraId="44122B2B" w14:textId="1A5403B3">
            <w:pPr>
              <w:rPr>
                <w:b/>
                <w:bCs/>
              </w:rPr>
            </w:pPr>
            <w:r w:rsidRPr="00467C2F">
              <w:rPr>
                <w:b/>
                <w:bCs/>
              </w:rPr>
              <w:t>Antwoord:</w:t>
            </w:r>
          </w:p>
          <w:p w:rsidRPr="00467C2F" w:rsidR="004C460D" w:rsidP="00A56950" w:rsidRDefault="004C460D" w14:paraId="464519FE" w14:textId="77777777">
            <w:pPr>
              <w:rPr>
                <w:b/>
                <w:bCs/>
              </w:rPr>
            </w:pPr>
            <w:r w:rsidRPr="00467C2F">
              <w:rPr>
                <w:b/>
                <w:bCs/>
              </w:rPr>
              <w:t xml:space="preserve">Alle uitgaven op het gebied van SRGR die in het jaar 2025 worden gedaan, zullen in het voorjaar van 2026 worden gepubliceerd. U kunt deze dan raadplegen op </w:t>
            </w:r>
            <w:hyperlink w:history="1" r:id="rId14">
              <w:r w:rsidRPr="00467C2F">
                <w:rPr>
                  <w:rStyle w:val="Hyperlink"/>
                  <w:b/>
                  <w:bCs/>
                </w:rPr>
                <w:t>www.nlontwikkelingshulp.nl</w:t>
              </w:r>
            </w:hyperlink>
            <w:r w:rsidRPr="00467C2F">
              <w:rPr>
                <w:b/>
                <w:bCs/>
              </w:rPr>
              <w:t xml:space="preserve"> onder het kopje ‘Begroting’.</w:t>
            </w:r>
          </w:p>
          <w:p w:rsidRPr="00467C2F" w:rsidR="004C460D" w:rsidP="004C460D" w:rsidRDefault="004C460D" w14:paraId="393E0AA8" w14:textId="77777777"/>
        </w:tc>
        <w:tc>
          <w:tcPr>
            <w:tcW w:w="430" w:type="dxa"/>
          </w:tcPr>
          <w:p w:rsidRPr="00467C2F" w:rsidR="004C460D" w:rsidP="00812658" w:rsidRDefault="004C460D" w14:paraId="4F6DC20A" w14:textId="77777777">
            <w:pPr>
              <w:jc w:val="right"/>
            </w:pPr>
            <w:r w:rsidRPr="00467C2F">
              <w:t>14</w:t>
            </w:r>
          </w:p>
        </w:tc>
        <w:tc>
          <w:tcPr>
            <w:tcW w:w="567" w:type="dxa"/>
          </w:tcPr>
          <w:p w:rsidRPr="00467C2F" w:rsidR="004C460D" w:rsidP="00812658" w:rsidRDefault="004C460D" w14:paraId="40B9E1C9" w14:textId="77777777">
            <w:pPr>
              <w:jc w:val="right"/>
            </w:pPr>
            <w:r w:rsidRPr="00467C2F">
              <w:t xml:space="preserve">14 </w:t>
            </w:r>
          </w:p>
        </w:tc>
      </w:tr>
      <w:tr w:rsidRPr="00467C2F" w:rsidR="004C460D" w:rsidTr="00CA32BB" w14:paraId="1FA2E1A6" w14:textId="77777777">
        <w:tc>
          <w:tcPr>
            <w:tcW w:w="567" w:type="dxa"/>
          </w:tcPr>
          <w:p w:rsidRPr="00467C2F" w:rsidR="004C460D" w:rsidP="00812658" w:rsidRDefault="004C460D" w14:paraId="43ABECFF" w14:textId="77777777">
            <w:r w:rsidRPr="00467C2F">
              <w:t>37</w:t>
            </w:r>
          </w:p>
        </w:tc>
        <w:tc>
          <w:tcPr>
            <w:tcW w:w="7083" w:type="dxa"/>
          </w:tcPr>
          <w:p w:rsidRPr="00467C2F" w:rsidR="004C460D" w:rsidP="00812658" w:rsidRDefault="004C460D" w14:paraId="5B002DC1" w14:textId="77777777">
            <w:r w:rsidRPr="00467C2F">
              <w:t>Hoeveel middelen worden er in totaal in 2025 en in de jaren daarna besteed aan humanitaire hulp via UNRWA, en hoe beoordeelt het kabinet de risico’s van dit kanaal in het licht van de beperkingen die Israël oplegt aan de organisatie?</w:t>
            </w:r>
          </w:p>
          <w:p w:rsidRPr="00467C2F" w:rsidR="004C460D" w:rsidP="00812658" w:rsidRDefault="004C460D" w14:paraId="7AC8C694" w14:textId="77777777">
            <w:pPr>
              <w:rPr>
                <w:b/>
                <w:bCs/>
              </w:rPr>
            </w:pPr>
            <w:r w:rsidRPr="00467C2F">
              <w:rPr>
                <w:b/>
                <w:bCs/>
              </w:rPr>
              <w:lastRenderedPageBreak/>
              <w:t>Antwoord:</w:t>
            </w:r>
          </w:p>
          <w:p w:rsidRPr="00467C2F" w:rsidR="004C460D" w:rsidP="007E7F93" w:rsidRDefault="004C460D" w14:paraId="2FC09C46" w14:textId="77777777">
            <w:pPr>
              <w:rPr>
                <w:b/>
                <w:bCs/>
              </w:rPr>
            </w:pPr>
            <w:r w:rsidRPr="00467C2F">
              <w:rPr>
                <w:b/>
                <w:bCs/>
              </w:rPr>
              <w:t>De volgende middelen zijn voor UNRWA begroot:</w:t>
            </w:r>
          </w:p>
          <w:p w:rsidRPr="00467C2F" w:rsidR="00E61DB2" w:rsidP="007E7F93" w:rsidRDefault="00E61DB2" w14:paraId="13F2ABB7" w14:textId="77777777">
            <w:pPr>
              <w:rPr>
                <w:b/>
                <w:bCs/>
              </w:rPr>
            </w:pPr>
          </w:p>
          <w:tbl>
            <w:tblPr>
              <w:tblW w:w="7443" w:type="dxa"/>
              <w:tblCellMar>
                <w:left w:w="70" w:type="dxa"/>
                <w:right w:w="70" w:type="dxa"/>
              </w:tblCellMar>
              <w:tblLook w:val="04A0" w:firstRow="1" w:lastRow="0" w:firstColumn="1" w:lastColumn="0" w:noHBand="0" w:noVBand="1"/>
            </w:tblPr>
            <w:tblGrid>
              <w:gridCol w:w="1131"/>
              <w:gridCol w:w="6312"/>
            </w:tblGrid>
            <w:tr w:rsidRPr="00467C2F" w:rsidR="00E61DB2" w:rsidTr="00E61DB2" w14:paraId="46E468E9"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0079DF37" w14:textId="77777777">
                  <w:pPr>
                    <w:spacing w:before="0" w:after="0"/>
                    <w:rPr>
                      <w:b/>
                      <w:bCs/>
                      <w:color w:val="000000"/>
                    </w:rPr>
                  </w:pPr>
                  <w:r w:rsidRPr="00467C2F">
                    <w:rPr>
                      <w:b/>
                      <w:bCs/>
                      <w:color w:val="000000"/>
                    </w:rPr>
                    <w:t>2025</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5E74EE3C" w14:textId="77777777">
                  <w:pPr>
                    <w:spacing w:before="0" w:after="0"/>
                    <w:rPr>
                      <w:b/>
                      <w:bCs/>
                      <w:color w:val="000000"/>
                    </w:rPr>
                  </w:pPr>
                  <w:r w:rsidRPr="00467C2F">
                    <w:rPr>
                      <w:b/>
                      <w:bCs/>
                      <w:color w:val="000000"/>
                    </w:rPr>
                    <w:t>EUR 15.000.000 (is betaald)</w:t>
                  </w:r>
                </w:p>
              </w:tc>
            </w:tr>
            <w:tr w:rsidRPr="00467C2F" w:rsidR="00E61DB2" w:rsidTr="00E61DB2" w14:paraId="4F3A6ADD"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43999447" w14:textId="77777777">
                  <w:pPr>
                    <w:spacing w:before="0" w:after="0"/>
                    <w:rPr>
                      <w:b/>
                      <w:bCs/>
                      <w:color w:val="000000"/>
                    </w:rPr>
                  </w:pPr>
                  <w:r w:rsidRPr="00467C2F">
                    <w:rPr>
                      <w:b/>
                      <w:bCs/>
                      <w:color w:val="000000"/>
                    </w:rPr>
                    <w:t>2026</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75DA3544" w14:textId="77777777">
                  <w:pPr>
                    <w:spacing w:before="0" w:after="0"/>
                    <w:rPr>
                      <w:b/>
                      <w:bCs/>
                      <w:color w:val="000000"/>
                    </w:rPr>
                  </w:pPr>
                  <w:r w:rsidRPr="00467C2F">
                    <w:rPr>
                      <w:b/>
                      <w:bCs/>
                      <w:color w:val="000000"/>
                    </w:rPr>
                    <w:t>EUR 11.000.000</w:t>
                  </w:r>
                </w:p>
              </w:tc>
            </w:tr>
            <w:tr w:rsidRPr="00467C2F" w:rsidR="00E61DB2" w:rsidTr="00E61DB2" w14:paraId="05C7ABF7"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0F226F30" w14:textId="77777777">
                  <w:pPr>
                    <w:spacing w:before="0" w:after="0"/>
                    <w:rPr>
                      <w:b/>
                      <w:bCs/>
                      <w:color w:val="000000"/>
                    </w:rPr>
                  </w:pPr>
                  <w:r w:rsidRPr="00467C2F">
                    <w:rPr>
                      <w:b/>
                      <w:bCs/>
                      <w:color w:val="000000"/>
                    </w:rPr>
                    <w:t>2027</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3710422E" w14:textId="77777777">
                  <w:pPr>
                    <w:spacing w:before="0" w:after="0"/>
                    <w:rPr>
                      <w:b/>
                      <w:bCs/>
                      <w:color w:val="000000"/>
                    </w:rPr>
                  </w:pPr>
                  <w:r w:rsidRPr="00467C2F">
                    <w:rPr>
                      <w:b/>
                      <w:bCs/>
                      <w:color w:val="000000"/>
                    </w:rPr>
                    <w:t>EUR   7.000.000</w:t>
                  </w:r>
                </w:p>
              </w:tc>
            </w:tr>
            <w:tr w:rsidRPr="00467C2F" w:rsidR="00E61DB2" w:rsidTr="00E61DB2" w14:paraId="09645C4B"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581CE09F" w14:textId="77777777">
                  <w:pPr>
                    <w:spacing w:before="0" w:after="0"/>
                    <w:rPr>
                      <w:b/>
                      <w:bCs/>
                      <w:color w:val="000000"/>
                    </w:rPr>
                  </w:pPr>
                  <w:r w:rsidRPr="00467C2F">
                    <w:rPr>
                      <w:b/>
                      <w:bCs/>
                      <w:color w:val="000000"/>
                    </w:rPr>
                    <w:t>2028</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66E20EF3" w14:textId="77777777">
                  <w:pPr>
                    <w:spacing w:before="0" w:after="0"/>
                    <w:rPr>
                      <w:b/>
                      <w:bCs/>
                      <w:color w:val="000000"/>
                    </w:rPr>
                  </w:pPr>
                  <w:r w:rsidRPr="00467C2F">
                    <w:rPr>
                      <w:b/>
                      <w:bCs/>
                      <w:color w:val="000000"/>
                    </w:rPr>
                    <w:t>EUR   3.000.000</w:t>
                  </w:r>
                </w:p>
              </w:tc>
            </w:tr>
            <w:tr w:rsidRPr="00467C2F" w:rsidR="00E61DB2" w:rsidTr="00E61DB2" w14:paraId="79E98410"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6A355ED1" w14:textId="77777777">
                  <w:pPr>
                    <w:spacing w:before="0" w:after="0"/>
                    <w:rPr>
                      <w:b/>
                      <w:bCs/>
                      <w:color w:val="000000"/>
                    </w:rPr>
                  </w:pPr>
                  <w:r w:rsidRPr="00467C2F">
                    <w:rPr>
                      <w:b/>
                      <w:bCs/>
                      <w:color w:val="000000"/>
                    </w:rPr>
                    <w:t>2029</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1C837343" w14:textId="77777777">
                  <w:pPr>
                    <w:spacing w:before="0" w:after="0"/>
                    <w:rPr>
                      <w:b/>
                      <w:bCs/>
                      <w:color w:val="000000"/>
                    </w:rPr>
                  </w:pPr>
                  <w:r w:rsidRPr="00467C2F">
                    <w:rPr>
                      <w:b/>
                      <w:bCs/>
                      <w:color w:val="000000"/>
                    </w:rPr>
                    <w:t>EUR   1.000.000</w:t>
                  </w:r>
                </w:p>
              </w:tc>
            </w:tr>
            <w:tr w:rsidRPr="00467C2F" w:rsidR="00E61DB2" w:rsidTr="00E61DB2" w14:paraId="4AC7F9A7"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0E7C58E5" w14:textId="77777777">
                  <w:pPr>
                    <w:spacing w:before="0" w:after="0"/>
                    <w:rPr>
                      <w:b/>
                      <w:bCs/>
                      <w:color w:val="000000"/>
                    </w:rPr>
                  </w:pPr>
                  <w:r w:rsidRPr="00467C2F">
                    <w:rPr>
                      <w:b/>
                      <w:bCs/>
                      <w:color w:val="000000"/>
                    </w:rPr>
                    <w:t>2030</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536AFF10" w14:textId="77777777">
                  <w:pPr>
                    <w:spacing w:before="0" w:after="0"/>
                    <w:rPr>
                      <w:b/>
                      <w:bCs/>
                      <w:color w:val="000000"/>
                    </w:rPr>
                  </w:pPr>
                  <w:r w:rsidRPr="00467C2F">
                    <w:rPr>
                      <w:b/>
                      <w:bCs/>
                      <w:color w:val="000000"/>
                    </w:rPr>
                    <w:t>EUR   1.000.000</w:t>
                  </w:r>
                </w:p>
              </w:tc>
            </w:tr>
            <w:tr w:rsidRPr="00467C2F" w:rsidR="00E61DB2" w:rsidTr="00E61DB2" w14:paraId="0D504F1D" w14:textId="77777777">
              <w:trPr>
                <w:trHeight w:val="264"/>
              </w:trPr>
              <w:tc>
                <w:tcPr>
                  <w:tcW w:w="1131" w:type="dxa"/>
                  <w:tcBorders>
                    <w:top w:val="nil"/>
                    <w:left w:val="nil"/>
                    <w:bottom w:val="nil"/>
                    <w:right w:val="nil"/>
                  </w:tcBorders>
                  <w:shd w:val="clear" w:color="auto" w:fill="auto"/>
                  <w:noWrap/>
                  <w:vAlign w:val="bottom"/>
                  <w:hideMark/>
                </w:tcPr>
                <w:p w:rsidRPr="00467C2F" w:rsidR="00E61DB2" w:rsidP="00E61DB2" w:rsidRDefault="00E61DB2" w14:paraId="74C16AA2" w14:textId="77777777">
                  <w:pPr>
                    <w:spacing w:before="0" w:after="0"/>
                    <w:rPr>
                      <w:b/>
                      <w:bCs/>
                      <w:color w:val="000000"/>
                    </w:rPr>
                  </w:pPr>
                  <w:r w:rsidRPr="00467C2F">
                    <w:rPr>
                      <w:b/>
                      <w:bCs/>
                      <w:color w:val="000000"/>
                    </w:rPr>
                    <w:t>2031</w:t>
                  </w:r>
                </w:p>
              </w:tc>
              <w:tc>
                <w:tcPr>
                  <w:tcW w:w="6312" w:type="dxa"/>
                  <w:tcBorders>
                    <w:top w:val="nil"/>
                    <w:left w:val="nil"/>
                    <w:bottom w:val="nil"/>
                    <w:right w:val="nil"/>
                  </w:tcBorders>
                  <w:shd w:val="clear" w:color="auto" w:fill="auto"/>
                  <w:noWrap/>
                  <w:vAlign w:val="center"/>
                  <w:hideMark/>
                </w:tcPr>
                <w:p w:rsidRPr="00467C2F" w:rsidR="00E61DB2" w:rsidP="00E61DB2" w:rsidRDefault="00E61DB2" w14:paraId="3B24C96E" w14:textId="77777777">
                  <w:pPr>
                    <w:spacing w:before="0" w:after="0"/>
                    <w:rPr>
                      <w:b/>
                      <w:bCs/>
                      <w:color w:val="000000"/>
                    </w:rPr>
                  </w:pPr>
                  <w:r w:rsidRPr="00467C2F">
                    <w:rPr>
                      <w:b/>
                      <w:bCs/>
                      <w:color w:val="000000"/>
                    </w:rPr>
                    <w:t>EUR   1.000.000</w:t>
                  </w:r>
                </w:p>
              </w:tc>
            </w:tr>
          </w:tbl>
          <w:p w:rsidRPr="00467C2F" w:rsidR="00E61DB2" w:rsidP="007E7F93" w:rsidRDefault="00E61DB2" w14:paraId="52C75E74" w14:textId="77777777">
            <w:pPr>
              <w:rPr>
                <w:b/>
                <w:bCs/>
              </w:rPr>
            </w:pPr>
          </w:p>
          <w:p w:rsidRPr="00467C2F" w:rsidR="004C460D" w:rsidP="00B63908" w:rsidRDefault="004C460D" w14:paraId="05104C4A" w14:textId="77777777">
            <w:pPr>
              <w:rPr>
                <w:b/>
                <w:bCs/>
              </w:rPr>
            </w:pPr>
            <w:r w:rsidRPr="00467C2F">
              <w:rPr>
                <w:b/>
                <w:bCs/>
              </w:rPr>
              <w:t xml:space="preserve">Aan UNRWA wordt in 2025 15 miljoen EUR besteed. Hierna zal de bijdrage aan UNRWA afgebouwd worden volgens het aangenomen amendement (36 600 XVII, nr. 50). </w:t>
            </w:r>
          </w:p>
          <w:p w:rsidRPr="00467C2F" w:rsidR="004C460D" w:rsidP="001D3C76" w:rsidRDefault="004C460D" w14:paraId="44AEA6FB" w14:textId="34359D37">
            <w:pPr>
              <w:rPr>
                <w:b/>
                <w:bCs/>
              </w:rPr>
            </w:pPr>
            <w:r w:rsidRPr="00467C2F">
              <w:rPr>
                <w:b/>
                <w:bCs/>
              </w:rPr>
              <w:t xml:space="preserve">UNRWA opereert ook in Jordanië, Libanon en Syrië. De beperkingen van Israël zijn alleen van toepassing op de bezette Palestijnse Gebieden waartoe Israël ook Oost Jerusalem rekent. UNRWA blijft zich ook in deze gebieden inzetten middels nationale staf ter plaatse en de daar nog aanwezige infrastructuur van UNRWA, zoals gezondheidscentra en scholen. De risico’s zijn tot op heden beperkt. </w:t>
            </w:r>
          </w:p>
          <w:p w:rsidRPr="00467C2F" w:rsidR="004C460D" w:rsidP="004C460D" w:rsidRDefault="004C460D" w14:paraId="35AFBBB1" w14:textId="77777777"/>
        </w:tc>
        <w:tc>
          <w:tcPr>
            <w:tcW w:w="430" w:type="dxa"/>
          </w:tcPr>
          <w:p w:rsidRPr="00467C2F" w:rsidR="004C460D" w:rsidP="00812658" w:rsidRDefault="004C460D" w14:paraId="3A3B8328" w14:textId="77777777">
            <w:pPr>
              <w:jc w:val="right"/>
            </w:pPr>
            <w:r w:rsidRPr="00467C2F">
              <w:lastRenderedPageBreak/>
              <w:t>16</w:t>
            </w:r>
          </w:p>
        </w:tc>
        <w:tc>
          <w:tcPr>
            <w:tcW w:w="567" w:type="dxa"/>
          </w:tcPr>
          <w:p w:rsidRPr="00467C2F" w:rsidR="004C460D" w:rsidP="00812658" w:rsidRDefault="004C460D" w14:paraId="18235C91" w14:textId="77777777">
            <w:pPr>
              <w:jc w:val="right"/>
            </w:pPr>
            <w:r w:rsidRPr="00467C2F">
              <w:t xml:space="preserve"> </w:t>
            </w:r>
          </w:p>
        </w:tc>
      </w:tr>
      <w:tr w:rsidRPr="00467C2F" w:rsidR="004C460D" w:rsidTr="00CA32BB" w14:paraId="141151A7" w14:textId="77777777">
        <w:tc>
          <w:tcPr>
            <w:tcW w:w="567" w:type="dxa"/>
          </w:tcPr>
          <w:p w:rsidRPr="00467C2F" w:rsidR="004C460D" w:rsidP="00812658" w:rsidRDefault="004C460D" w14:paraId="46B74EE8" w14:textId="77777777">
            <w:r w:rsidRPr="00467C2F">
              <w:t>38</w:t>
            </w:r>
          </w:p>
        </w:tc>
        <w:tc>
          <w:tcPr>
            <w:tcW w:w="7083" w:type="dxa"/>
          </w:tcPr>
          <w:p w:rsidRPr="00467C2F" w:rsidR="004C460D" w:rsidP="00812658" w:rsidRDefault="004C460D" w14:paraId="2E3E5932" w14:textId="77777777">
            <w:r w:rsidRPr="00467C2F">
              <w:t>Kunt u de mutaties onder art. 4.3 Veiligheid &amp; stabiliteit toelichten (o.a. –€10 miljoen Legitieme stabiliteit en correctie amendement Hirsch c.s.)?</w:t>
            </w:r>
          </w:p>
          <w:p w:rsidRPr="00467C2F" w:rsidR="004C460D" w:rsidP="00812658" w:rsidRDefault="004C460D" w14:paraId="456A3DF0" w14:textId="77777777">
            <w:pPr>
              <w:rPr>
                <w:b/>
                <w:bCs/>
              </w:rPr>
            </w:pPr>
            <w:r w:rsidRPr="00467C2F">
              <w:rPr>
                <w:b/>
                <w:bCs/>
              </w:rPr>
              <w:t>Antwoord:</w:t>
            </w:r>
          </w:p>
          <w:p w:rsidRPr="00467C2F" w:rsidR="004C460D" w:rsidP="00DB1B46" w:rsidRDefault="004C460D" w14:paraId="723EB4BF" w14:textId="77777777">
            <w:pPr>
              <w:rPr>
                <w:b/>
                <w:bCs/>
              </w:rPr>
            </w:pPr>
            <w:r w:rsidRPr="00467C2F">
              <w:rPr>
                <w:b/>
                <w:bCs/>
              </w:rPr>
              <w:t>De verlaging van EUR 10 miljoen op Legitieme stabiliteit betreft de overheveling naar artikel 2.2 water ten behoeve van wederopbouw Gaza.</w:t>
            </w:r>
          </w:p>
          <w:p w:rsidRPr="00467C2F" w:rsidR="004C460D" w:rsidP="00DB1B46" w:rsidRDefault="004C460D" w14:paraId="6AA8F9B2" w14:textId="77777777">
            <w:pPr>
              <w:rPr>
                <w:b/>
                <w:bCs/>
              </w:rPr>
            </w:pPr>
            <w:r w:rsidRPr="00467C2F">
              <w:rPr>
                <w:b/>
                <w:bCs/>
              </w:rPr>
              <w:t xml:space="preserve">Dit betreft ook de totale verlaging van het art 4.3. </w:t>
            </w:r>
          </w:p>
          <w:p w:rsidRPr="00467C2F" w:rsidR="004C460D" w:rsidP="00DB1B46" w:rsidRDefault="004C460D" w14:paraId="0A58A8A0" w14:textId="6C5D238E">
            <w:pPr>
              <w:rPr>
                <w:b/>
                <w:bCs/>
              </w:rPr>
            </w:pPr>
            <w:r w:rsidRPr="00467C2F">
              <w:rPr>
                <w:b/>
                <w:bCs/>
              </w:rPr>
              <w:t>Voor de dekking van amendement Hirsch c.s. zijn de verplichtingen voor 2025 op artikel 4.3 bij Eerste suppletoire begroting met EUR 20 miljoen verlaagd. Door deze verlaging bedroeg het verplichtingenbudget voor de bijdrage aan (</w:t>
            </w:r>
            <w:proofErr w:type="spellStart"/>
            <w:r w:rsidRPr="00467C2F">
              <w:rPr>
                <w:b/>
                <w:bCs/>
              </w:rPr>
              <w:t>inter</w:t>
            </w:r>
            <w:proofErr w:type="spellEnd"/>
            <w:r w:rsidRPr="00467C2F">
              <w:rPr>
                <w:b/>
                <w:bCs/>
              </w:rPr>
              <w:t>)nationale organisatie voor legitieme stabiliteit EUR 5 miljoen negatief. Het verplichtingenbudget in 2025 wordt daarom opwaarts bijgesteld met EUR 5 miljoen.</w:t>
            </w:r>
          </w:p>
          <w:p w:rsidRPr="00467C2F" w:rsidR="004C460D" w:rsidP="00DB1B46" w:rsidRDefault="004C460D" w14:paraId="6F801AAC" w14:textId="77777777">
            <w:r w:rsidRPr="00467C2F">
              <w:rPr>
                <w:b/>
                <w:bCs/>
              </w:rPr>
              <w:t>Overige mutaties zijn kleinere (meer technische) overhevelingen tussen instrumenten</w:t>
            </w:r>
            <w:r w:rsidRPr="00467C2F">
              <w:t>.</w:t>
            </w:r>
          </w:p>
          <w:p w:rsidRPr="00467C2F" w:rsidR="004C460D" w:rsidP="004C460D" w:rsidRDefault="004C460D" w14:paraId="015AFD91" w14:textId="77777777"/>
        </w:tc>
        <w:tc>
          <w:tcPr>
            <w:tcW w:w="430" w:type="dxa"/>
          </w:tcPr>
          <w:p w:rsidRPr="00467C2F" w:rsidR="004C460D" w:rsidP="00812658" w:rsidRDefault="004C460D" w14:paraId="11423A71" w14:textId="77777777">
            <w:pPr>
              <w:jc w:val="right"/>
            </w:pPr>
            <w:r w:rsidRPr="00467C2F">
              <w:t>16</w:t>
            </w:r>
          </w:p>
        </w:tc>
        <w:tc>
          <w:tcPr>
            <w:tcW w:w="567" w:type="dxa"/>
          </w:tcPr>
          <w:p w:rsidRPr="00467C2F" w:rsidR="004C460D" w:rsidP="00812658" w:rsidRDefault="004C460D" w14:paraId="34C8BD42" w14:textId="77777777">
            <w:pPr>
              <w:jc w:val="right"/>
            </w:pPr>
            <w:r w:rsidRPr="00467C2F">
              <w:t xml:space="preserve">17 </w:t>
            </w:r>
          </w:p>
        </w:tc>
      </w:tr>
      <w:tr w:rsidRPr="00467C2F" w:rsidR="004C460D" w:rsidTr="00CA32BB" w14:paraId="2E314F54" w14:textId="77777777">
        <w:tc>
          <w:tcPr>
            <w:tcW w:w="567" w:type="dxa"/>
          </w:tcPr>
          <w:p w:rsidRPr="00467C2F" w:rsidR="004C460D" w:rsidP="00812658" w:rsidRDefault="004C460D" w14:paraId="77762621" w14:textId="77777777">
            <w:r w:rsidRPr="00467C2F">
              <w:t>39</w:t>
            </w:r>
          </w:p>
        </w:tc>
        <w:tc>
          <w:tcPr>
            <w:tcW w:w="7083" w:type="dxa"/>
          </w:tcPr>
          <w:p w:rsidRPr="00467C2F" w:rsidR="004C460D" w:rsidP="00812658" w:rsidRDefault="004C460D" w14:paraId="33CB2ED3" w14:textId="77777777">
            <w:r w:rsidRPr="00467C2F">
              <w:t>Voor artikel 5.3 (Oekraïne) wordt €52 miljoen herverdeeld voor drinkwater en energieherstel. Hoeveel hiervan gaat naar leningen, hoeveel naar subsidies en hoeveel naar multilaterale fondsen, en hoe wordt de effectiviteit gemeten?</w:t>
            </w:r>
          </w:p>
          <w:p w:rsidRPr="00467C2F" w:rsidR="004C460D" w:rsidP="00812658" w:rsidRDefault="004C460D" w14:paraId="5071517A" w14:textId="77777777">
            <w:pPr>
              <w:rPr>
                <w:b/>
                <w:bCs/>
              </w:rPr>
            </w:pPr>
            <w:r w:rsidRPr="00467C2F">
              <w:rPr>
                <w:b/>
                <w:bCs/>
              </w:rPr>
              <w:t>Antwoord:</w:t>
            </w:r>
          </w:p>
          <w:p w:rsidRPr="00467C2F" w:rsidR="004C460D" w:rsidP="00131BC2" w:rsidRDefault="004C460D" w14:paraId="74CC60E1" w14:textId="5B6EAC15">
            <w:pPr>
              <w:rPr>
                <w:b/>
                <w:bCs/>
              </w:rPr>
            </w:pPr>
            <w:r w:rsidRPr="00467C2F">
              <w:rPr>
                <w:b/>
                <w:bCs/>
              </w:rPr>
              <w:t>De middelen van EUR 52 miljoen zijn als volgt verdeeld, waarover de Kamer op 16 juli is geïnformeerd</w:t>
            </w:r>
            <w:r w:rsidRPr="00467C2F">
              <w:rPr>
                <w:rStyle w:val="FootnoteReference"/>
                <w:b/>
                <w:bCs/>
              </w:rPr>
              <w:footnoteReference w:id="3"/>
            </w:r>
            <w:r w:rsidRPr="00467C2F">
              <w:rPr>
                <w:b/>
                <w:bCs/>
              </w:rPr>
              <w:t xml:space="preserve">: </w:t>
            </w:r>
          </w:p>
          <w:p w:rsidRPr="00467C2F" w:rsidR="004C460D" w:rsidP="00DC0458" w:rsidRDefault="004C460D" w14:paraId="5E09294D" w14:textId="58E408E9">
            <w:pPr>
              <w:rPr>
                <w:b/>
                <w:bCs/>
              </w:rPr>
            </w:pPr>
            <w:r w:rsidRPr="00467C2F">
              <w:rPr>
                <w:b/>
                <w:bCs/>
              </w:rPr>
              <w:t>- EUR 20 mln. subsidie voor herstel van energie-infrastructuur d.m.v. in-kind steun via RVO. Op dit budget wordt een kasschuif doorgevoerd waardoor er EUR 15 miljoen wordt doorgeschoven naar 2026. Nederlandse bedrijven kunnen via aanbestedingsprocedures in aanmerking komen voor deze vorm van subsidie om goederen voor urgent herstel aan het energiesysteem in Oekraïne te leveren. Het proces van aanbesteding en de leveringen van de in-kind goederen aan Oekraïense partners worden door RVO gemonitord.</w:t>
            </w:r>
          </w:p>
          <w:p w:rsidRPr="00467C2F" w:rsidR="004C460D" w:rsidP="00131BC2" w:rsidRDefault="004C460D" w14:paraId="211DF0B6" w14:textId="2725831E">
            <w:pPr>
              <w:rPr>
                <w:b/>
                <w:bCs/>
              </w:rPr>
            </w:pPr>
            <w:r w:rsidRPr="00467C2F">
              <w:rPr>
                <w:b/>
                <w:bCs/>
              </w:rPr>
              <w:t>- EUR 17 mln. subsidie voor herstel van drinkwatervoorzieningen via de continuering van een programma uitgevoerd door VEI, het consortium van Nederlandse drinkwaterbedrijven. Op dit budget wordt een kasschuif doorgevoerd waardoor EUR 11</w:t>
            </w:r>
            <w:r w:rsidRPr="00467C2F" w:rsidDel="00A97F33">
              <w:rPr>
                <w:b/>
                <w:bCs/>
              </w:rPr>
              <w:t xml:space="preserve"> </w:t>
            </w:r>
            <w:r w:rsidRPr="00467C2F">
              <w:rPr>
                <w:b/>
                <w:bCs/>
              </w:rPr>
              <w:t xml:space="preserve">miljoen uit 2025 wordt geschoven en er EUR 2 miljoen </w:t>
            </w:r>
            <w:r w:rsidRPr="00467C2F">
              <w:rPr>
                <w:b/>
                <w:bCs/>
              </w:rPr>
              <w:lastRenderedPageBreak/>
              <w:t xml:space="preserve">beschikbaar komt in 2026 en EUR 9 miljoen in 2027. De effectiviteit van het programma wordt gemonitord middels de SDG indicatoren, een evaluatie en veldbezoeken.  </w:t>
            </w:r>
          </w:p>
          <w:p w:rsidRPr="00467C2F" w:rsidR="004C460D" w:rsidP="00031B47" w:rsidRDefault="004C460D" w14:paraId="7085DD55" w14:textId="24FB409B">
            <w:pPr>
              <w:rPr>
                <w:rFonts w:ascii="Calibri" w:hAnsi="Calibri" w:eastAsiaTheme="minorEastAsia"/>
                <w:b/>
                <w:bCs/>
              </w:rPr>
            </w:pPr>
            <w:r w:rsidRPr="00467C2F">
              <w:rPr>
                <w:b/>
                <w:bCs/>
              </w:rPr>
              <w:t xml:space="preserve">- EUR 15 mln. contributies aan de </w:t>
            </w:r>
            <w:r w:rsidRPr="00467C2F">
              <w:rPr>
                <w:b/>
                <w:bCs/>
                <w:i/>
                <w:iCs/>
              </w:rPr>
              <w:t xml:space="preserve">European Bank </w:t>
            </w:r>
            <w:proofErr w:type="spellStart"/>
            <w:r w:rsidRPr="00467C2F">
              <w:rPr>
                <w:b/>
                <w:bCs/>
                <w:i/>
                <w:iCs/>
              </w:rPr>
              <w:t>for</w:t>
            </w:r>
            <w:proofErr w:type="spellEnd"/>
            <w:r w:rsidRPr="00467C2F">
              <w:rPr>
                <w:b/>
                <w:bCs/>
                <w:i/>
                <w:iCs/>
              </w:rPr>
              <w:t xml:space="preserve"> </w:t>
            </w:r>
            <w:proofErr w:type="spellStart"/>
            <w:r w:rsidRPr="00467C2F">
              <w:rPr>
                <w:b/>
                <w:bCs/>
                <w:i/>
                <w:iCs/>
              </w:rPr>
              <w:t>Reconstruction</w:t>
            </w:r>
            <w:proofErr w:type="spellEnd"/>
            <w:r w:rsidRPr="00467C2F">
              <w:rPr>
                <w:b/>
                <w:bCs/>
                <w:i/>
                <w:iCs/>
              </w:rPr>
              <w:t xml:space="preserve"> </w:t>
            </w:r>
            <w:proofErr w:type="spellStart"/>
            <w:r w:rsidRPr="00467C2F">
              <w:rPr>
                <w:b/>
                <w:bCs/>
                <w:i/>
                <w:iCs/>
              </w:rPr>
              <w:t>and</w:t>
            </w:r>
            <w:proofErr w:type="spellEnd"/>
            <w:r w:rsidRPr="00467C2F">
              <w:rPr>
                <w:b/>
                <w:bCs/>
                <w:i/>
                <w:iCs/>
              </w:rPr>
              <w:t xml:space="preserve"> Development</w:t>
            </w:r>
            <w:r w:rsidRPr="00467C2F">
              <w:rPr>
                <w:b/>
                <w:bCs/>
              </w:rPr>
              <w:t xml:space="preserve"> (EBRD), waarvan EUR 10 mln. voor het stimuleren van private investeringen in groene elektriciteitsvoorziening middels een zgn. Minimum Price </w:t>
            </w:r>
            <w:proofErr w:type="spellStart"/>
            <w:r w:rsidRPr="00467C2F">
              <w:rPr>
                <w:b/>
                <w:bCs/>
              </w:rPr>
              <w:t>Guarantee</w:t>
            </w:r>
            <w:proofErr w:type="spellEnd"/>
            <w:r w:rsidRPr="00467C2F">
              <w:rPr>
                <w:b/>
                <w:bCs/>
              </w:rPr>
              <w:t xml:space="preserve"> Fund/Power </w:t>
            </w:r>
            <w:proofErr w:type="spellStart"/>
            <w:r w:rsidRPr="00467C2F">
              <w:rPr>
                <w:b/>
                <w:bCs/>
              </w:rPr>
              <w:t>Purchasing</w:t>
            </w:r>
            <w:proofErr w:type="spellEnd"/>
            <w:r w:rsidRPr="00467C2F">
              <w:rPr>
                <w:b/>
                <w:bCs/>
              </w:rPr>
              <w:t xml:space="preserve"> Agreement, een innovatief fonds waarbij het mitigeren van financiële risico’s van private investeringen in duurzame energie het doel is. </w:t>
            </w:r>
            <w:bookmarkStart w:name="_Hlk209528517" w:id="6"/>
            <w:r w:rsidRPr="00467C2F">
              <w:rPr>
                <w:b/>
                <w:bCs/>
              </w:rPr>
              <w:t>Daarnaast is EUR 2 miljoen van de resterende EUR 5 miljoen algemene energiesteun ingezet voor een bijdrage vanuit de EBRD aan gezondheid in Oekraïne</w:t>
            </w:r>
            <w:bookmarkEnd w:id="6"/>
            <w:r w:rsidRPr="00467C2F">
              <w:rPr>
                <w:b/>
                <w:bCs/>
              </w:rPr>
              <w:t>; het resterende bedrag is bedoeld om Oekraïne te steunen bij de acute noden ter voorbereiding op de komende winter.</w:t>
            </w:r>
            <w:r w:rsidRPr="00467C2F">
              <w:rPr>
                <w:rFonts w:ascii="Calibri" w:hAnsi="Calibri"/>
                <w:b/>
                <w:bCs/>
              </w:rPr>
              <w:t xml:space="preserve"> </w:t>
            </w:r>
            <w:r w:rsidRPr="00467C2F">
              <w:rPr>
                <w:b/>
                <w:bCs/>
              </w:rPr>
              <w:t xml:space="preserve">Effectiviteit van programma’s van de EBRD wordt ieder jaar getoetst door middel van rapportages en is er op reguliere basis contact met de EBRD over de werkzaamheden in Oekraïne en de behaalde resultaten. </w:t>
            </w:r>
          </w:p>
          <w:p w:rsidRPr="00467C2F" w:rsidR="004C460D" w:rsidP="004C460D" w:rsidRDefault="004C460D" w14:paraId="0AA1B9DD" w14:textId="77777777">
            <w:pPr>
              <w:rPr>
                <w:b/>
                <w:bCs/>
              </w:rPr>
            </w:pPr>
          </w:p>
        </w:tc>
        <w:tc>
          <w:tcPr>
            <w:tcW w:w="430" w:type="dxa"/>
          </w:tcPr>
          <w:p w:rsidRPr="00467C2F" w:rsidR="004C460D" w:rsidP="00812658" w:rsidRDefault="004C460D" w14:paraId="0D0DFC65" w14:textId="77777777">
            <w:pPr>
              <w:jc w:val="right"/>
            </w:pPr>
            <w:r w:rsidRPr="00467C2F">
              <w:lastRenderedPageBreak/>
              <w:t>19</w:t>
            </w:r>
          </w:p>
        </w:tc>
        <w:tc>
          <w:tcPr>
            <w:tcW w:w="567" w:type="dxa"/>
          </w:tcPr>
          <w:p w:rsidRPr="00467C2F" w:rsidR="004C460D" w:rsidP="00812658" w:rsidRDefault="004C460D" w14:paraId="6C986A42" w14:textId="77777777">
            <w:pPr>
              <w:jc w:val="right"/>
            </w:pPr>
            <w:r w:rsidRPr="00467C2F">
              <w:t xml:space="preserve"> </w:t>
            </w:r>
          </w:p>
        </w:tc>
      </w:tr>
      <w:tr w:rsidRPr="00467C2F" w:rsidR="004C460D" w:rsidTr="00CA32BB" w14:paraId="7CA4F970" w14:textId="77777777">
        <w:tc>
          <w:tcPr>
            <w:tcW w:w="567" w:type="dxa"/>
          </w:tcPr>
          <w:p w:rsidRPr="00467C2F" w:rsidR="004C460D" w:rsidP="00812658" w:rsidRDefault="004C460D" w14:paraId="34BD0BFA" w14:textId="77777777">
            <w:r w:rsidRPr="00467C2F">
              <w:t>40</w:t>
            </w:r>
          </w:p>
        </w:tc>
        <w:tc>
          <w:tcPr>
            <w:tcW w:w="7083" w:type="dxa"/>
          </w:tcPr>
          <w:p w:rsidRPr="00467C2F" w:rsidR="004C460D" w:rsidP="00812658" w:rsidRDefault="004C460D" w14:paraId="5AA23303" w14:textId="77777777">
            <w:r w:rsidRPr="00467C2F">
              <w:t>Kunt u binnen art. 5.3 Oekraïne (XVII) de –€26 miljoen verplichtingen en +€6 miljoen subsidies (activiteiten/ontvangers; humanitair vs. wederopbouw/energie) toelichten?</w:t>
            </w:r>
          </w:p>
          <w:p w:rsidRPr="00467C2F" w:rsidR="004C460D" w:rsidP="00812658" w:rsidRDefault="004C460D" w14:paraId="4ADD3DA0" w14:textId="77777777">
            <w:pPr>
              <w:rPr>
                <w:b/>
                <w:bCs/>
              </w:rPr>
            </w:pPr>
            <w:r w:rsidRPr="00467C2F">
              <w:rPr>
                <w:b/>
                <w:bCs/>
              </w:rPr>
              <w:t>Antwoord:</w:t>
            </w:r>
          </w:p>
          <w:p w:rsidRPr="00467C2F" w:rsidR="004C460D" w:rsidP="00812658" w:rsidRDefault="004C460D" w14:paraId="24920189" w14:textId="68BF0BC8">
            <w:pPr>
              <w:rPr>
                <w:b/>
                <w:bCs/>
              </w:rPr>
            </w:pPr>
            <w:r w:rsidRPr="00467C2F">
              <w:rPr>
                <w:b/>
                <w:bCs/>
              </w:rPr>
              <w:t xml:space="preserve">De EUR -26 miljoen ziet op de per saldo verplichtingenmutatie op artikel 5.3 in de suppletoire begroting september. De kasschuif zet het budget voor het drinkwaterprogramma (EUR 11 miljoen), in-kind energiesteun (EUR 14,635 miljoen) en uitvoeringskosten RVO (EUR 365 duizend) in het juiste kasritme. Hierdoor daalt het beschikbare budget op artikel 5.3 per saldo met EUR 26 miljoen, dit wordt in latere jaren weer toegevoegd aan de begroting (zie ook de ontwerpbegroting 2026 van BHO). </w:t>
            </w:r>
          </w:p>
          <w:p w:rsidRPr="00467C2F" w:rsidR="004C460D" w:rsidP="00812658" w:rsidRDefault="004C460D" w14:paraId="1051B984" w14:textId="381F5917">
            <w:pPr>
              <w:rPr>
                <w:b/>
                <w:bCs/>
              </w:rPr>
            </w:pPr>
            <w:r w:rsidRPr="00467C2F">
              <w:rPr>
                <w:b/>
                <w:bCs/>
              </w:rPr>
              <w:t>De EUR +6 miljoen is de per saldo uitgavenmutatie op artikel 5.3 in de suppletoire begroting september. Er wordt EUR 17 miljoen beschikbaar gesteld voor het drinkwaterprogramma. Dit budget wordt vervolgens met een kasschuif in het juiste ritme gezet, waardoor het budget in 2025 daalt met EUR 11 miljoen. Het per saldo effect op het subsidiebudget is een stijging van EUR 6 miljoen. Het budget wordt ingezet voor het herstel van drinkwatervoorzieningen via de continuering van een programma uitgevoerd door VEI, het consortium van Nederlandse drinkwaterbedrijven.</w:t>
            </w:r>
          </w:p>
          <w:p w:rsidRPr="00467C2F" w:rsidR="004C460D" w:rsidP="00812658" w:rsidRDefault="004C460D" w14:paraId="53815414" w14:textId="77777777"/>
        </w:tc>
        <w:tc>
          <w:tcPr>
            <w:tcW w:w="430" w:type="dxa"/>
          </w:tcPr>
          <w:p w:rsidRPr="00467C2F" w:rsidR="004C460D" w:rsidP="00812658" w:rsidRDefault="004C460D" w14:paraId="047D451E" w14:textId="77777777">
            <w:pPr>
              <w:jc w:val="right"/>
            </w:pPr>
            <w:r w:rsidRPr="00467C2F">
              <w:t>19</w:t>
            </w:r>
          </w:p>
        </w:tc>
        <w:tc>
          <w:tcPr>
            <w:tcW w:w="567" w:type="dxa"/>
          </w:tcPr>
          <w:p w:rsidRPr="00467C2F" w:rsidR="004C460D" w:rsidP="00812658" w:rsidRDefault="004C460D" w14:paraId="54D14DDD" w14:textId="77777777">
            <w:pPr>
              <w:jc w:val="right"/>
            </w:pPr>
            <w:r w:rsidRPr="00467C2F">
              <w:t xml:space="preserve">19 </w:t>
            </w:r>
          </w:p>
        </w:tc>
      </w:tr>
      <w:tr w:rsidRPr="00467C2F" w:rsidR="004C460D" w:rsidTr="00CA32BB" w14:paraId="0618BCE3" w14:textId="77777777">
        <w:tc>
          <w:tcPr>
            <w:tcW w:w="567" w:type="dxa"/>
          </w:tcPr>
          <w:p w:rsidRPr="00467C2F" w:rsidR="004C460D" w:rsidP="00812658" w:rsidRDefault="004C460D" w14:paraId="60023BF1" w14:textId="77777777">
            <w:r w:rsidRPr="00467C2F">
              <w:t>41</w:t>
            </w:r>
          </w:p>
        </w:tc>
        <w:tc>
          <w:tcPr>
            <w:tcW w:w="7083" w:type="dxa"/>
          </w:tcPr>
          <w:p w:rsidRPr="00467C2F" w:rsidR="004C460D" w:rsidP="00812658" w:rsidRDefault="004C460D" w14:paraId="776C40CA" w14:textId="77777777">
            <w:r w:rsidRPr="00467C2F">
              <w:t>Kunt u uiteenzetten waarom het ODA-</w:t>
            </w:r>
            <w:proofErr w:type="spellStart"/>
            <w:r w:rsidRPr="00467C2F">
              <w:t>toerekeningspercentage</w:t>
            </w:r>
            <w:proofErr w:type="spellEnd"/>
            <w:r w:rsidRPr="00467C2F">
              <w:t xml:space="preserve"> voor </w:t>
            </w:r>
            <w:proofErr w:type="spellStart"/>
            <w:r w:rsidRPr="00467C2F">
              <w:t>eerstejaarsasielopvang</w:t>
            </w:r>
            <w:proofErr w:type="spellEnd"/>
            <w:r w:rsidRPr="00467C2F">
              <w:t xml:space="preserve"> lager uitvalt dan verwacht en hoe dit leidt tot een mutatie van –€250 miljoen op de asielbegroting?</w:t>
            </w:r>
          </w:p>
          <w:p w:rsidRPr="00467C2F" w:rsidR="004C460D" w:rsidP="00812658" w:rsidRDefault="004C460D" w14:paraId="6FE235C9" w14:textId="77777777">
            <w:pPr>
              <w:rPr>
                <w:b/>
                <w:bCs/>
              </w:rPr>
            </w:pPr>
            <w:r w:rsidRPr="00467C2F">
              <w:rPr>
                <w:b/>
                <w:bCs/>
              </w:rPr>
              <w:t>Antwoord:</w:t>
            </w:r>
          </w:p>
          <w:p w:rsidRPr="00467C2F" w:rsidR="004C460D" w:rsidP="00812658" w:rsidRDefault="004C460D" w14:paraId="54365AFA" w14:textId="4C835300">
            <w:pPr>
              <w:rPr>
                <w:b/>
                <w:bCs/>
              </w:rPr>
            </w:pPr>
            <w:r w:rsidRPr="00467C2F">
              <w:rPr>
                <w:b/>
                <w:bCs/>
              </w:rPr>
              <w:t>De OESO-DAC stelt richtlijnen vast</w:t>
            </w:r>
            <w:r w:rsidRPr="00467C2F" w:rsidDel="005913C7">
              <w:rPr>
                <w:b/>
                <w:bCs/>
              </w:rPr>
              <w:t xml:space="preserve"> </w:t>
            </w:r>
            <w:r w:rsidRPr="00467C2F">
              <w:rPr>
                <w:b/>
                <w:bCs/>
              </w:rPr>
              <w:t>voor welke uitgaven aan eerstejaars asielopvang ODA-toerekenbaar zijn. In lijn met deze richtlijnen wordt de raming voor eerstejaars asieluitgaven uit ODA onder andere gecorrigeerd voor 1) asielzoekers met een nationaliteit die niet op de ODA-landenlijst staat, 2) asielzoekers die definitief zijn afgewezen, 3) personen in COA-opvang die geen asielaanvraag indienen en 4) asielzoekers of statushouders die langer dan een jaar in COA-opvang verblijven. Een groter aandeel van de asielopvang dan eerder verwacht bestaat uit personen die langer dan een jaar in de opvang verblijven, zo blijkt uit de realisatie 2025 tot nu toe. Daarom daalt het ODA-aandeel in de totale asieluitgaven. De ODA-middelen die voor uitgaven aan eerstejaars asielopvang eerder naar de A&amp;M-begroting zijn overgeboekt, maar in dit jaar niet ODA-toerekenbaar blijken, worden volgens de geldende systematiek terug overgeheveld naar de BHO-begroting.</w:t>
            </w:r>
          </w:p>
          <w:p w:rsidRPr="00467C2F" w:rsidR="004C460D" w:rsidP="004C460D" w:rsidRDefault="004C460D" w14:paraId="50C268F0" w14:textId="77777777"/>
        </w:tc>
        <w:tc>
          <w:tcPr>
            <w:tcW w:w="430" w:type="dxa"/>
          </w:tcPr>
          <w:p w:rsidRPr="00467C2F" w:rsidR="004C460D" w:rsidP="00812658" w:rsidRDefault="004C460D" w14:paraId="4204D5AC" w14:textId="77777777">
            <w:pPr>
              <w:jc w:val="right"/>
            </w:pPr>
            <w:r w:rsidRPr="00467C2F">
              <w:t>19</w:t>
            </w:r>
          </w:p>
        </w:tc>
        <w:tc>
          <w:tcPr>
            <w:tcW w:w="567" w:type="dxa"/>
          </w:tcPr>
          <w:p w:rsidRPr="00467C2F" w:rsidR="004C460D" w:rsidP="00812658" w:rsidRDefault="004C460D" w14:paraId="4E860272" w14:textId="77777777">
            <w:pPr>
              <w:jc w:val="right"/>
            </w:pPr>
            <w:r w:rsidRPr="00467C2F">
              <w:t xml:space="preserve">20 </w:t>
            </w:r>
          </w:p>
        </w:tc>
      </w:tr>
      <w:tr w:rsidRPr="00467C2F" w:rsidR="004C460D" w:rsidTr="00CA32BB" w14:paraId="030E5845" w14:textId="77777777">
        <w:tc>
          <w:tcPr>
            <w:tcW w:w="567" w:type="dxa"/>
          </w:tcPr>
          <w:p w:rsidRPr="00467C2F" w:rsidR="004C460D" w:rsidP="008309F1" w:rsidRDefault="004C460D" w14:paraId="7E131266" w14:textId="77777777">
            <w:r w:rsidRPr="00467C2F">
              <w:t>42</w:t>
            </w:r>
          </w:p>
        </w:tc>
        <w:tc>
          <w:tcPr>
            <w:tcW w:w="7083" w:type="dxa"/>
          </w:tcPr>
          <w:p w:rsidRPr="00467C2F" w:rsidR="004C460D" w:rsidP="008309F1" w:rsidRDefault="004C460D" w14:paraId="78CD2068" w14:textId="77777777">
            <w:r w:rsidRPr="00467C2F">
              <w:t>Kunt u toelichten hoe u deze extra middelen van € 250 miljoen in de begroting voor 2027 toebedeeld aan de beleidsartikelen en wat is het beoogde kasritme?</w:t>
            </w:r>
          </w:p>
          <w:p w:rsidRPr="00467C2F" w:rsidR="004C460D" w:rsidP="008309F1" w:rsidRDefault="004C460D" w14:paraId="1DAD35BA" w14:textId="77777777">
            <w:pPr>
              <w:rPr>
                <w:b/>
                <w:bCs/>
              </w:rPr>
            </w:pPr>
            <w:r w:rsidRPr="00467C2F">
              <w:rPr>
                <w:b/>
                <w:bCs/>
              </w:rPr>
              <w:t>Antwoord:</w:t>
            </w:r>
          </w:p>
          <w:p w:rsidRPr="00467C2F" w:rsidR="004C460D" w:rsidP="004C460D" w:rsidRDefault="004C460D" w14:paraId="41BE22CB" w14:textId="77777777">
            <w:pPr>
              <w:rPr>
                <w:b/>
                <w:bCs/>
              </w:rPr>
            </w:pPr>
            <w:r w:rsidRPr="00467C2F">
              <w:rPr>
                <w:b/>
                <w:bCs/>
              </w:rPr>
              <w:lastRenderedPageBreak/>
              <w:t xml:space="preserve">Het bedrag van EUR 250 miljoen is toegevoegd aan verdeelartikel 5.4 en wordt in het voorjaar 2026 toebedeeld aan de beleidsartikelen. </w:t>
            </w:r>
          </w:p>
          <w:p w:rsidRPr="00467C2F" w:rsidR="001C256C" w:rsidP="004C460D" w:rsidRDefault="001C256C" w14:paraId="3CB5CD43" w14:textId="3C39993F">
            <w:pPr>
              <w:rPr>
                <w:b/>
                <w:bCs/>
              </w:rPr>
            </w:pPr>
          </w:p>
        </w:tc>
        <w:tc>
          <w:tcPr>
            <w:tcW w:w="430" w:type="dxa"/>
          </w:tcPr>
          <w:p w:rsidRPr="00467C2F" w:rsidR="004C460D" w:rsidP="008309F1" w:rsidRDefault="004C460D" w14:paraId="2FCEEE50" w14:textId="77777777">
            <w:pPr>
              <w:jc w:val="right"/>
            </w:pPr>
            <w:r w:rsidRPr="00467C2F">
              <w:lastRenderedPageBreak/>
              <w:t>19</w:t>
            </w:r>
          </w:p>
        </w:tc>
        <w:tc>
          <w:tcPr>
            <w:tcW w:w="567" w:type="dxa"/>
          </w:tcPr>
          <w:p w:rsidRPr="00467C2F" w:rsidR="004C460D" w:rsidP="008309F1" w:rsidRDefault="004C460D" w14:paraId="3099458F" w14:textId="77777777">
            <w:pPr>
              <w:jc w:val="right"/>
            </w:pPr>
            <w:r w:rsidRPr="00467C2F">
              <w:t xml:space="preserve">20 </w:t>
            </w:r>
          </w:p>
        </w:tc>
      </w:tr>
      <w:tr w:rsidRPr="00467C2F" w:rsidR="004C460D" w:rsidTr="00CA32BB" w14:paraId="51FBFD4A" w14:textId="77777777">
        <w:tc>
          <w:tcPr>
            <w:tcW w:w="567" w:type="dxa"/>
          </w:tcPr>
          <w:p w:rsidRPr="00467C2F" w:rsidR="004C460D" w:rsidP="008309F1" w:rsidRDefault="004C460D" w14:paraId="585CEFF5" w14:textId="77777777">
            <w:r w:rsidRPr="00467C2F">
              <w:t>43</w:t>
            </w:r>
          </w:p>
        </w:tc>
        <w:tc>
          <w:tcPr>
            <w:tcW w:w="7083" w:type="dxa"/>
          </w:tcPr>
          <w:p w:rsidRPr="00467C2F" w:rsidR="004C460D" w:rsidP="008309F1" w:rsidRDefault="004C460D" w14:paraId="685DB071" w14:textId="77777777">
            <w:r w:rsidRPr="00467C2F">
              <w:t>Kunt u toelichten waarom het bedrag van €250 miljoen, dat door de lagere ODA-toerekening aan eerstejaars asielopvang van de A&amp;M-begroting naar de BHO-begroting wordt overgeheveld, via een kasschuif naar 2027 is geschoven en niet al in 2026 kan worden besteed?</w:t>
            </w:r>
          </w:p>
          <w:p w:rsidRPr="00467C2F" w:rsidR="004C460D" w:rsidP="008309F1" w:rsidRDefault="004C460D" w14:paraId="019427ED" w14:textId="77777777">
            <w:pPr>
              <w:rPr>
                <w:b/>
                <w:bCs/>
              </w:rPr>
            </w:pPr>
            <w:r w:rsidRPr="00467C2F">
              <w:rPr>
                <w:b/>
                <w:bCs/>
              </w:rPr>
              <w:t>Antwoord:</w:t>
            </w:r>
          </w:p>
          <w:p w:rsidRPr="00467C2F" w:rsidR="004C460D" w:rsidP="008309F1" w:rsidRDefault="004C460D" w14:paraId="2BCC5D1B" w14:textId="07FEB7D0">
            <w:pPr>
              <w:rPr>
                <w:b/>
                <w:bCs/>
              </w:rPr>
            </w:pPr>
            <w:r w:rsidRPr="00467C2F">
              <w:rPr>
                <w:b/>
                <w:bCs/>
              </w:rPr>
              <w:t xml:space="preserve">Het bedrag van EUR 250 miljoen, als deel van de onbenutte ODA-middelen op de A&amp;M-begroting in 2025, wordt naar 2027 geschoven. Door deze kasschuif en ophoging ontstaat een stabieler kasritme over de periode 2026-2030, wat de doelmatigheid van de besteding ten goede komt. </w:t>
            </w:r>
          </w:p>
          <w:p w:rsidRPr="00467C2F" w:rsidR="004C460D" w:rsidP="004C460D" w:rsidRDefault="004C460D" w14:paraId="006E803F" w14:textId="77777777"/>
        </w:tc>
        <w:tc>
          <w:tcPr>
            <w:tcW w:w="430" w:type="dxa"/>
          </w:tcPr>
          <w:p w:rsidRPr="00467C2F" w:rsidR="004C460D" w:rsidP="008309F1" w:rsidRDefault="004C460D" w14:paraId="2810A654" w14:textId="77777777">
            <w:pPr>
              <w:jc w:val="right"/>
            </w:pPr>
            <w:r w:rsidRPr="00467C2F">
              <w:t>20</w:t>
            </w:r>
          </w:p>
        </w:tc>
        <w:tc>
          <w:tcPr>
            <w:tcW w:w="567" w:type="dxa"/>
          </w:tcPr>
          <w:p w:rsidRPr="00467C2F" w:rsidR="004C460D" w:rsidP="008309F1" w:rsidRDefault="004C460D" w14:paraId="21C9B39B" w14:textId="77777777">
            <w:pPr>
              <w:jc w:val="right"/>
            </w:pPr>
            <w:r w:rsidRPr="00467C2F">
              <w:t xml:space="preserve"> </w:t>
            </w:r>
          </w:p>
        </w:tc>
      </w:tr>
      <w:tr w:rsidRPr="00467C2F" w:rsidR="004C460D" w:rsidTr="00CA32BB" w14:paraId="4B2105CC" w14:textId="77777777">
        <w:tc>
          <w:tcPr>
            <w:tcW w:w="567" w:type="dxa"/>
          </w:tcPr>
          <w:p w:rsidRPr="00467C2F" w:rsidR="004C460D" w:rsidP="008309F1" w:rsidRDefault="004C460D" w14:paraId="4B30D603" w14:textId="77777777">
            <w:r w:rsidRPr="00467C2F">
              <w:t>44</w:t>
            </w:r>
          </w:p>
        </w:tc>
        <w:tc>
          <w:tcPr>
            <w:tcW w:w="7083" w:type="dxa"/>
          </w:tcPr>
          <w:p w:rsidRPr="00467C2F" w:rsidR="004C460D" w:rsidP="008309F1" w:rsidRDefault="004C460D" w14:paraId="124D5DC9" w14:textId="77777777">
            <w:r w:rsidRPr="00467C2F">
              <w:t>Bevestigt het kabinet dat de kasschuif van €250 miljoen leidt tot per saldo effect 0 in 2025 en hoe wordt dit boekhoudkundig verwerkt?</w:t>
            </w:r>
          </w:p>
          <w:p w:rsidRPr="00467C2F" w:rsidR="004C460D" w:rsidP="008309F1" w:rsidRDefault="004C460D" w14:paraId="7C1F485D" w14:textId="77777777">
            <w:pPr>
              <w:rPr>
                <w:b/>
                <w:bCs/>
              </w:rPr>
            </w:pPr>
            <w:r w:rsidRPr="00467C2F">
              <w:rPr>
                <w:b/>
                <w:bCs/>
              </w:rPr>
              <w:t>Antwoord:</w:t>
            </w:r>
          </w:p>
          <w:p w:rsidRPr="00467C2F" w:rsidR="004C460D" w:rsidP="008309F1" w:rsidRDefault="004C460D" w14:paraId="57280388" w14:textId="033626FA">
            <w:pPr>
              <w:rPr>
                <w:b/>
                <w:bCs/>
              </w:rPr>
            </w:pPr>
            <w:r w:rsidRPr="00467C2F">
              <w:rPr>
                <w:b/>
                <w:bCs/>
              </w:rPr>
              <w:t>Dat is correct. De middelen worden in 2025 van de begroting van A&amp;M naar artikel 5.4 van de begroting voor BHO overgeheveld. Vervolgens worden deze middelen door middel van een kasschuif naar 2027 geschoven (ook op artikel 5.4).</w:t>
            </w:r>
          </w:p>
          <w:p w:rsidRPr="00467C2F" w:rsidR="004C460D" w:rsidP="004C460D" w:rsidRDefault="004C460D" w14:paraId="2B8F163F" w14:textId="77777777"/>
        </w:tc>
        <w:tc>
          <w:tcPr>
            <w:tcW w:w="430" w:type="dxa"/>
          </w:tcPr>
          <w:p w:rsidRPr="00467C2F" w:rsidR="004C460D" w:rsidP="008309F1" w:rsidRDefault="004C460D" w14:paraId="7D504D3A" w14:textId="77777777">
            <w:pPr>
              <w:jc w:val="right"/>
            </w:pPr>
            <w:r w:rsidRPr="00467C2F">
              <w:t>19</w:t>
            </w:r>
          </w:p>
        </w:tc>
        <w:tc>
          <w:tcPr>
            <w:tcW w:w="567" w:type="dxa"/>
          </w:tcPr>
          <w:p w:rsidRPr="00467C2F" w:rsidR="004C460D" w:rsidP="008309F1" w:rsidRDefault="004C460D" w14:paraId="0CAFB0DF" w14:textId="77777777">
            <w:pPr>
              <w:jc w:val="right"/>
            </w:pPr>
            <w:r w:rsidRPr="00467C2F">
              <w:t xml:space="preserve">20 </w:t>
            </w:r>
          </w:p>
        </w:tc>
      </w:tr>
      <w:tr w:rsidRPr="00467C2F" w:rsidR="004C460D" w:rsidTr="00CA32BB" w14:paraId="3ECF68D5" w14:textId="77777777">
        <w:tc>
          <w:tcPr>
            <w:tcW w:w="567" w:type="dxa"/>
          </w:tcPr>
          <w:p w:rsidRPr="00467C2F" w:rsidR="004C460D" w:rsidP="008309F1" w:rsidRDefault="004C460D" w14:paraId="4CE83215" w14:textId="77777777">
            <w:r w:rsidRPr="00467C2F">
              <w:t>45</w:t>
            </w:r>
          </w:p>
        </w:tc>
        <w:tc>
          <w:tcPr>
            <w:tcW w:w="7083" w:type="dxa"/>
          </w:tcPr>
          <w:p w:rsidRPr="00467C2F" w:rsidR="004C460D" w:rsidP="008309F1" w:rsidRDefault="004C460D" w14:paraId="5665A7F7" w14:textId="77777777">
            <w:r w:rsidRPr="00467C2F">
              <w:t>Welke juridische grondslag is gebruikt voor deze kasschuif/toerekening en welke besluitvorming is gevolgd?</w:t>
            </w:r>
          </w:p>
          <w:p w:rsidRPr="00467C2F" w:rsidR="004C460D" w:rsidP="008309F1" w:rsidRDefault="004C460D" w14:paraId="24578B9A" w14:textId="77777777">
            <w:pPr>
              <w:rPr>
                <w:b/>
                <w:bCs/>
              </w:rPr>
            </w:pPr>
            <w:r w:rsidRPr="00467C2F">
              <w:rPr>
                <w:b/>
                <w:bCs/>
              </w:rPr>
              <w:t>Antwoord:</w:t>
            </w:r>
          </w:p>
          <w:p w:rsidRPr="00467C2F" w:rsidR="004C460D" w:rsidP="00F70E4F" w:rsidRDefault="004C460D" w14:paraId="12D79810" w14:textId="64944D0D">
            <w:pPr>
              <w:rPr>
                <w:b/>
                <w:bCs/>
              </w:rPr>
            </w:pPr>
            <w:r w:rsidRPr="00467C2F">
              <w:rPr>
                <w:b/>
                <w:bCs/>
              </w:rPr>
              <w:t xml:space="preserve">Voor het berekenen van het ODA-aandeel van de asieluitgaven wordt het zogenoemde ODA-sheet gebruikt; hierin staan de kosten vermeld die aan het ODA-budget worden toegerekend. Om daartoe te komen worden de laatste ramingen en realisaties van de asieluitgaven verwerkt en gecorrigeerd voor niet-ODA-toerekenbare elementen zoals benoemd in het antwoord op vraag 41 (geen uitputtende lijst, zie ook de </w:t>
            </w:r>
            <w:hyperlink w:history="1" r:id="rId15">
              <w:r w:rsidRPr="00467C2F">
                <w:rPr>
                  <w:rStyle w:val="Hyperlink"/>
                  <w:b/>
                  <w:bCs/>
                </w:rPr>
                <w:t>informatie hierover op de OESO-website</w:t>
              </w:r>
            </w:hyperlink>
            <w:r w:rsidRPr="00467C2F">
              <w:rPr>
                <w:b/>
                <w:bCs/>
              </w:rPr>
              <w:t>). De rekenmethode is ge-audit door de A</w:t>
            </w:r>
            <w:r w:rsidRPr="00467C2F" w:rsidR="00AF3F96">
              <w:rPr>
                <w:b/>
                <w:bCs/>
              </w:rPr>
              <w:t>uditdienst Rijk (A</w:t>
            </w:r>
            <w:r w:rsidRPr="00467C2F">
              <w:rPr>
                <w:b/>
                <w:bCs/>
              </w:rPr>
              <w:t>DR</w:t>
            </w:r>
            <w:r w:rsidRPr="00467C2F" w:rsidR="00AF3F96">
              <w:rPr>
                <w:b/>
                <w:bCs/>
              </w:rPr>
              <w:t>)</w:t>
            </w:r>
            <w:r w:rsidRPr="00467C2F">
              <w:rPr>
                <w:b/>
                <w:bCs/>
              </w:rPr>
              <w:t xml:space="preserve"> (Onderzoeksrapport </w:t>
            </w:r>
            <w:hyperlink w:history="1" r:id="rId16">
              <w:r w:rsidRPr="00467C2F">
                <w:rPr>
                  <w:rStyle w:val="Hyperlink"/>
                  <w:b/>
                  <w:bCs/>
                </w:rPr>
                <w:t>ODA-toerekening eerstejaarsopvang asielzoekers uit DAC-landen</w:t>
              </w:r>
            </w:hyperlink>
            <w:r w:rsidRPr="00467C2F">
              <w:rPr>
                <w:b/>
                <w:bCs/>
              </w:rPr>
              <w:t>). Besluitvorming en verdeling vindt plaats via de reguliere begrotingsbesluitvorming.</w:t>
            </w:r>
          </w:p>
          <w:p w:rsidRPr="00467C2F" w:rsidR="004C460D" w:rsidP="004C460D" w:rsidRDefault="004C460D" w14:paraId="02D63AB5" w14:textId="77777777"/>
        </w:tc>
        <w:tc>
          <w:tcPr>
            <w:tcW w:w="430" w:type="dxa"/>
          </w:tcPr>
          <w:p w:rsidRPr="00467C2F" w:rsidR="004C460D" w:rsidP="008309F1" w:rsidRDefault="004C460D" w14:paraId="0863D6F3" w14:textId="77777777">
            <w:pPr>
              <w:jc w:val="right"/>
            </w:pPr>
            <w:r w:rsidRPr="00467C2F">
              <w:t>19</w:t>
            </w:r>
          </w:p>
        </w:tc>
        <w:tc>
          <w:tcPr>
            <w:tcW w:w="567" w:type="dxa"/>
          </w:tcPr>
          <w:p w:rsidRPr="00467C2F" w:rsidR="004C460D" w:rsidP="008309F1" w:rsidRDefault="004C460D" w14:paraId="7939F094" w14:textId="77777777">
            <w:pPr>
              <w:jc w:val="right"/>
            </w:pPr>
            <w:r w:rsidRPr="00467C2F">
              <w:t xml:space="preserve">20 </w:t>
            </w:r>
          </w:p>
        </w:tc>
      </w:tr>
      <w:tr w:rsidRPr="00467C2F" w:rsidR="004C460D" w:rsidTr="00CA32BB" w14:paraId="7305A2DC" w14:textId="77777777">
        <w:tc>
          <w:tcPr>
            <w:tcW w:w="567" w:type="dxa"/>
          </w:tcPr>
          <w:p w:rsidRPr="00467C2F" w:rsidR="004C460D" w:rsidP="008309F1" w:rsidRDefault="004C460D" w14:paraId="35F59204" w14:textId="77777777">
            <w:r w:rsidRPr="00467C2F">
              <w:t>46</w:t>
            </w:r>
          </w:p>
        </w:tc>
        <w:tc>
          <w:tcPr>
            <w:tcW w:w="7083" w:type="dxa"/>
          </w:tcPr>
          <w:p w:rsidRPr="00467C2F" w:rsidR="004C460D" w:rsidP="008309F1" w:rsidRDefault="004C460D" w14:paraId="3E07F6E1" w14:textId="77777777">
            <w:r w:rsidRPr="00467C2F">
              <w:t>Welke onderbouwing heeft de neerwaartse bijstelling van het ODA-</w:t>
            </w:r>
            <w:proofErr w:type="spellStart"/>
            <w:r w:rsidRPr="00467C2F">
              <w:t>toerekeningspercentage</w:t>
            </w:r>
            <w:proofErr w:type="spellEnd"/>
            <w:r w:rsidRPr="00467C2F">
              <w:t xml:space="preserve"> voor eerstejaars asielopvang (methode, aannames, realisatie 2025)?</w:t>
            </w:r>
          </w:p>
          <w:p w:rsidRPr="00467C2F" w:rsidR="004C460D" w:rsidP="008309F1" w:rsidRDefault="004C460D" w14:paraId="7B653D7D" w14:textId="77777777">
            <w:pPr>
              <w:rPr>
                <w:b/>
                <w:bCs/>
              </w:rPr>
            </w:pPr>
            <w:r w:rsidRPr="00467C2F">
              <w:rPr>
                <w:b/>
                <w:bCs/>
              </w:rPr>
              <w:t>Antwoord:</w:t>
            </w:r>
          </w:p>
          <w:p w:rsidRPr="00467C2F" w:rsidR="004C460D" w:rsidP="004C460D" w:rsidRDefault="004C460D" w14:paraId="3ECA2E34" w14:textId="77777777">
            <w:pPr>
              <w:rPr>
                <w:b/>
                <w:bCs/>
              </w:rPr>
            </w:pPr>
            <w:r w:rsidRPr="00467C2F">
              <w:rPr>
                <w:b/>
                <w:bCs/>
              </w:rPr>
              <w:t>Zie de antwoorden op vraag 41 en vraag 45.</w:t>
            </w:r>
          </w:p>
          <w:p w:rsidRPr="00467C2F" w:rsidR="001C256C" w:rsidP="004C460D" w:rsidRDefault="001C256C" w14:paraId="28EF66BE" w14:textId="4952EB56">
            <w:pPr>
              <w:rPr>
                <w:b/>
                <w:bCs/>
              </w:rPr>
            </w:pPr>
          </w:p>
        </w:tc>
        <w:tc>
          <w:tcPr>
            <w:tcW w:w="430" w:type="dxa"/>
          </w:tcPr>
          <w:p w:rsidRPr="00467C2F" w:rsidR="004C460D" w:rsidP="008309F1" w:rsidRDefault="004C460D" w14:paraId="1288CAAD" w14:textId="77777777">
            <w:pPr>
              <w:jc w:val="right"/>
            </w:pPr>
            <w:r w:rsidRPr="00467C2F">
              <w:t>19</w:t>
            </w:r>
          </w:p>
        </w:tc>
        <w:tc>
          <w:tcPr>
            <w:tcW w:w="567" w:type="dxa"/>
          </w:tcPr>
          <w:p w:rsidRPr="00467C2F" w:rsidR="004C460D" w:rsidP="008309F1" w:rsidRDefault="004C460D" w14:paraId="24D3F909" w14:textId="77777777">
            <w:pPr>
              <w:jc w:val="right"/>
            </w:pPr>
            <w:r w:rsidRPr="00467C2F">
              <w:t xml:space="preserve">20 </w:t>
            </w:r>
          </w:p>
        </w:tc>
      </w:tr>
      <w:tr w:rsidRPr="00467C2F" w:rsidR="004C460D" w:rsidTr="00CA32BB" w14:paraId="7ED98809" w14:textId="77777777">
        <w:tc>
          <w:tcPr>
            <w:tcW w:w="567" w:type="dxa"/>
          </w:tcPr>
          <w:p w:rsidRPr="00467C2F" w:rsidR="004C460D" w:rsidP="008309F1" w:rsidRDefault="004C460D" w14:paraId="3A45D4E6" w14:textId="77777777">
            <w:r w:rsidRPr="00467C2F">
              <w:t>47</w:t>
            </w:r>
          </w:p>
        </w:tc>
        <w:tc>
          <w:tcPr>
            <w:tcW w:w="7083" w:type="dxa"/>
          </w:tcPr>
          <w:p w:rsidRPr="00467C2F" w:rsidR="004C460D" w:rsidP="008309F1" w:rsidRDefault="004C460D" w14:paraId="5F73FB9B" w14:textId="77777777">
            <w:r w:rsidRPr="00467C2F">
              <w:t>Wat zijn de gevolgen van de kasschuif voor projecten/programma’s in 2025–2026 (onderbesteding, vertraging, annulering)?</w:t>
            </w:r>
          </w:p>
          <w:p w:rsidRPr="00467C2F" w:rsidR="004C460D" w:rsidP="008309F1" w:rsidRDefault="004C460D" w14:paraId="75D055F1" w14:textId="77777777">
            <w:pPr>
              <w:rPr>
                <w:b/>
                <w:bCs/>
              </w:rPr>
            </w:pPr>
            <w:r w:rsidRPr="00467C2F">
              <w:rPr>
                <w:b/>
                <w:bCs/>
              </w:rPr>
              <w:t>Antwoord:</w:t>
            </w:r>
          </w:p>
          <w:p w:rsidRPr="00467C2F" w:rsidR="004C460D" w:rsidP="008309F1" w:rsidRDefault="004C460D" w14:paraId="7F58541D" w14:textId="12E03DEB">
            <w:pPr>
              <w:rPr>
                <w:b/>
                <w:bCs/>
              </w:rPr>
            </w:pPr>
            <w:r w:rsidRPr="00467C2F">
              <w:rPr>
                <w:b/>
                <w:bCs/>
              </w:rPr>
              <w:t>Omdat de EUR 250 miljoen in 2025 nog niet in programmabudgetten verwerkt was, heeft de kasschuif geen gevolgen voor projecten of programma’s in 2025 en 2026.</w:t>
            </w:r>
          </w:p>
          <w:p w:rsidRPr="00467C2F" w:rsidR="004C460D" w:rsidP="004C460D" w:rsidRDefault="004C460D" w14:paraId="24054284" w14:textId="77777777"/>
        </w:tc>
        <w:tc>
          <w:tcPr>
            <w:tcW w:w="430" w:type="dxa"/>
          </w:tcPr>
          <w:p w:rsidRPr="00467C2F" w:rsidR="004C460D" w:rsidP="008309F1" w:rsidRDefault="004C460D" w14:paraId="301AEDBB" w14:textId="77777777">
            <w:pPr>
              <w:jc w:val="right"/>
            </w:pPr>
            <w:r w:rsidRPr="00467C2F">
              <w:t>19</w:t>
            </w:r>
          </w:p>
        </w:tc>
        <w:tc>
          <w:tcPr>
            <w:tcW w:w="567" w:type="dxa"/>
          </w:tcPr>
          <w:p w:rsidRPr="00467C2F" w:rsidR="004C460D" w:rsidP="008309F1" w:rsidRDefault="004C460D" w14:paraId="141EDB8E" w14:textId="77777777">
            <w:pPr>
              <w:jc w:val="right"/>
            </w:pPr>
            <w:r w:rsidRPr="00467C2F">
              <w:t xml:space="preserve">20 </w:t>
            </w:r>
          </w:p>
        </w:tc>
      </w:tr>
      <w:tr w:rsidRPr="00467C2F" w:rsidR="004C460D" w:rsidTr="00CA32BB" w14:paraId="585126F3" w14:textId="77777777">
        <w:tc>
          <w:tcPr>
            <w:tcW w:w="567" w:type="dxa"/>
          </w:tcPr>
          <w:p w:rsidRPr="00467C2F" w:rsidR="004C460D" w:rsidP="008309F1" w:rsidRDefault="004C460D" w14:paraId="7A44BCF9" w14:textId="77777777">
            <w:r w:rsidRPr="00467C2F">
              <w:t>48</w:t>
            </w:r>
          </w:p>
        </w:tc>
        <w:tc>
          <w:tcPr>
            <w:tcW w:w="7083" w:type="dxa"/>
          </w:tcPr>
          <w:p w:rsidRPr="00467C2F" w:rsidR="004C460D" w:rsidP="008309F1" w:rsidRDefault="004C460D" w14:paraId="06F205E5" w14:textId="77777777">
            <w:r w:rsidRPr="00467C2F">
              <w:t>Kunt u per multilaterale organisatie/fonds onder art. 5.1 de 2025-bijdrage en nieuwe verplichtingen geven?</w:t>
            </w:r>
          </w:p>
          <w:p w:rsidRPr="00467C2F" w:rsidR="004C460D" w:rsidP="008309F1" w:rsidRDefault="004C460D" w14:paraId="48221660" w14:textId="582758D3">
            <w:pPr>
              <w:rPr>
                <w:b/>
                <w:bCs/>
              </w:rPr>
            </w:pPr>
            <w:r w:rsidRPr="00467C2F">
              <w:rPr>
                <w:b/>
                <w:bCs/>
              </w:rPr>
              <w:t>Antwoord:</w:t>
            </w:r>
          </w:p>
          <w:p w:rsidRPr="00467C2F" w:rsidR="004C460D" w:rsidP="001D3C76" w:rsidRDefault="004C460D" w14:paraId="139A395B" w14:textId="77777777">
            <w:pPr>
              <w:rPr>
                <w:b/>
                <w:bCs/>
              </w:rPr>
            </w:pPr>
            <w:bookmarkStart w:name="_Hlk209459984" w:id="7"/>
            <w:r w:rsidRPr="00467C2F">
              <w:rPr>
                <w:b/>
                <w:bCs/>
              </w:rPr>
              <w:t>In 2025 is tot nu toe uitgegeven onder art. 5.1 aan multilaterale organisaties en fondsen:</w:t>
            </w:r>
          </w:p>
          <w:p w:rsidRPr="00467C2F" w:rsidR="00E61DB2" w:rsidP="001D3C76" w:rsidRDefault="00E61DB2" w14:paraId="742474B3" w14:textId="77777777">
            <w:pPr>
              <w:rPr>
                <w:b/>
                <w:bCs/>
              </w:rPr>
            </w:pPr>
          </w:p>
          <w:tbl>
            <w:tblPr>
              <w:tblW w:w="9360" w:type="dxa"/>
              <w:tblCellMar>
                <w:left w:w="70" w:type="dxa"/>
                <w:right w:w="70" w:type="dxa"/>
              </w:tblCellMar>
              <w:tblLook w:val="04A0" w:firstRow="1" w:lastRow="0" w:firstColumn="1" w:lastColumn="0" w:noHBand="0" w:noVBand="1"/>
            </w:tblPr>
            <w:tblGrid>
              <w:gridCol w:w="4392"/>
              <w:gridCol w:w="4968"/>
            </w:tblGrid>
            <w:tr w:rsidRPr="00467C2F" w:rsidR="00E61DB2" w:rsidTr="00E61DB2" w14:paraId="7F994FEE"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38749AD8" w14:textId="77777777">
                  <w:pPr>
                    <w:spacing w:before="0" w:after="0"/>
                    <w:rPr>
                      <w:b/>
                      <w:bCs/>
                      <w:color w:val="000000"/>
                    </w:rPr>
                  </w:pPr>
                  <w:r w:rsidRPr="00467C2F">
                    <w:rPr>
                      <w:b/>
                      <w:bCs/>
                      <w:color w:val="000000"/>
                    </w:rPr>
                    <w:t xml:space="preserve">UNIDO - jaarlijkse contributie </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6C652715" w14:textId="1495C7AC">
                  <w:pPr>
                    <w:spacing w:before="0" w:after="0"/>
                    <w:rPr>
                      <w:b/>
                      <w:bCs/>
                      <w:color w:val="000000"/>
                    </w:rPr>
                  </w:pPr>
                  <w:r w:rsidRPr="00467C2F">
                    <w:rPr>
                      <w:b/>
                      <w:bCs/>
                      <w:color w:val="000000"/>
                    </w:rPr>
                    <w:t>EUR    1.843.285*</w:t>
                  </w:r>
                </w:p>
              </w:tc>
            </w:tr>
            <w:tr w:rsidRPr="00467C2F" w:rsidR="00E61DB2" w:rsidTr="00E61DB2" w14:paraId="7D96BF16"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379C4EAE" w14:textId="77777777">
                  <w:pPr>
                    <w:spacing w:before="0" w:after="0"/>
                    <w:rPr>
                      <w:b/>
                      <w:bCs/>
                      <w:color w:val="000000"/>
                    </w:rPr>
                  </w:pPr>
                  <w:r w:rsidRPr="00467C2F">
                    <w:rPr>
                      <w:b/>
                      <w:bCs/>
                      <w:color w:val="000000"/>
                    </w:rPr>
                    <w:t xml:space="preserve">UNDP - </w:t>
                  </w:r>
                  <w:proofErr w:type="spellStart"/>
                  <w:r w:rsidRPr="00467C2F">
                    <w:rPr>
                      <w:b/>
                      <w:bCs/>
                      <w:color w:val="000000"/>
                    </w:rPr>
                    <w:t>corefunding</w:t>
                  </w:r>
                  <w:proofErr w:type="spellEnd"/>
                  <w:r w:rsidRPr="00467C2F">
                    <w:rPr>
                      <w:b/>
                      <w:bCs/>
                      <w:color w:val="000000"/>
                    </w:rPr>
                    <w:t xml:space="preserve"> 2025</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02832E60" w14:textId="77777777">
                  <w:pPr>
                    <w:spacing w:before="0" w:after="0"/>
                    <w:rPr>
                      <w:b/>
                      <w:bCs/>
                      <w:color w:val="000000"/>
                    </w:rPr>
                  </w:pPr>
                  <w:r w:rsidRPr="00467C2F">
                    <w:rPr>
                      <w:b/>
                      <w:bCs/>
                      <w:color w:val="000000"/>
                    </w:rPr>
                    <w:t>EUR  34.000.000</w:t>
                  </w:r>
                </w:p>
              </w:tc>
            </w:tr>
            <w:tr w:rsidRPr="00467C2F" w:rsidR="00E61DB2" w:rsidTr="00E61DB2" w14:paraId="7BA28DC3"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1B2DA143" w14:textId="77777777">
                  <w:pPr>
                    <w:spacing w:before="0" w:after="0"/>
                    <w:rPr>
                      <w:b/>
                      <w:bCs/>
                      <w:color w:val="000000"/>
                    </w:rPr>
                  </w:pPr>
                  <w:r w:rsidRPr="00467C2F">
                    <w:rPr>
                      <w:b/>
                      <w:bCs/>
                      <w:color w:val="000000"/>
                    </w:rPr>
                    <w:t xml:space="preserve">UNICEF - </w:t>
                  </w:r>
                  <w:proofErr w:type="spellStart"/>
                  <w:r w:rsidRPr="00467C2F">
                    <w:rPr>
                      <w:b/>
                      <w:bCs/>
                      <w:color w:val="000000"/>
                    </w:rPr>
                    <w:t>corefunding</w:t>
                  </w:r>
                  <w:proofErr w:type="spellEnd"/>
                  <w:r w:rsidRPr="00467C2F">
                    <w:rPr>
                      <w:b/>
                      <w:bCs/>
                      <w:color w:val="000000"/>
                    </w:rPr>
                    <w:t xml:space="preserve"> 2025</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409051E5" w14:textId="77777777">
                  <w:pPr>
                    <w:spacing w:before="0" w:after="0"/>
                    <w:rPr>
                      <w:b/>
                      <w:bCs/>
                      <w:color w:val="000000"/>
                    </w:rPr>
                  </w:pPr>
                  <w:r w:rsidRPr="00467C2F">
                    <w:rPr>
                      <w:b/>
                      <w:bCs/>
                      <w:color w:val="000000"/>
                    </w:rPr>
                    <w:t>EUR  38.806.000</w:t>
                  </w:r>
                </w:p>
              </w:tc>
            </w:tr>
            <w:tr w:rsidRPr="00467C2F" w:rsidR="00E61DB2" w:rsidTr="00E61DB2" w14:paraId="31E467D9"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26256E4C" w14:textId="77777777">
                  <w:pPr>
                    <w:spacing w:before="0" w:after="0"/>
                    <w:rPr>
                      <w:b/>
                      <w:bCs/>
                      <w:color w:val="000000"/>
                    </w:rPr>
                  </w:pPr>
                  <w:r w:rsidRPr="00467C2F">
                    <w:rPr>
                      <w:b/>
                      <w:bCs/>
                      <w:color w:val="000000"/>
                    </w:rPr>
                    <w:t>UNDP - Joint SDG-Fund</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05052837" w14:textId="77777777">
                  <w:pPr>
                    <w:spacing w:before="0" w:after="0"/>
                    <w:rPr>
                      <w:b/>
                      <w:bCs/>
                      <w:color w:val="000000"/>
                    </w:rPr>
                  </w:pPr>
                  <w:r w:rsidRPr="00467C2F">
                    <w:rPr>
                      <w:b/>
                      <w:bCs/>
                      <w:color w:val="000000"/>
                    </w:rPr>
                    <w:t>EUR    4.296.000</w:t>
                  </w:r>
                </w:p>
              </w:tc>
            </w:tr>
            <w:tr w:rsidRPr="00467C2F" w:rsidR="00E61DB2" w:rsidTr="00E61DB2" w14:paraId="5EE8633C"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2270CD92" w14:textId="77777777">
                  <w:pPr>
                    <w:spacing w:before="0" w:after="0"/>
                    <w:rPr>
                      <w:b/>
                      <w:bCs/>
                      <w:color w:val="000000"/>
                    </w:rPr>
                  </w:pPr>
                  <w:r w:rsidRPr="00467C2F">
                    <w:rPr>
                      <w:b/>
                      <w:bCs/>
                      <w:color w:val="000000"/>
                    </w:rPr>
                    <w:t xml:space="preserve">UN </w:t>
                  </w:r>
                  <w:proofErr w:type="spellStart"/>
                  <w:r w:rsidRPr="00467C2F">
                    <w:rPr>
                      <w:b/>
                      <w:bCs/>
                      <w:color w:val="000000"/>
                    </w:rPr>
                    <w:t>Secretariat</w:t>
                  </w:r>
                  <w:proofErr w:type="spellEnd"/>
                  <w:r w:rsidRPr="00467C2F">
                    <w:rPr>
                      <w:b/>
                      <w:bCs/>
                      <w:color w:val="000000"/>
                    </w:rPr>
                    <w:t xml:space="preserve"> - RC system</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5C8B166E" w14:textId="77777777">
                  <w:pPr>
                    <w:spacing w:before="0" w:after="0"/>
                    <w:rPr>
                      <w:b/>
                      <w:bCs/>
                      <w:color w:val="000000"/>
                    </w:rPr>
                  </w:pPr>
                  <w:r w:rsidRPr="00467C2F">
                    <w:rPr>
                      <w:b/>
                      <w:bCs/>
                      <w:color w:val="000000"/>
                    </w:rPr>
                    <w:t>EUR    3.580.000</w:t>
                  </w:r>
                </w:p>
              </w:tc>
            </w:tr>
            <w:tr w:rsidRPr="00467C2F" w:rsidR="00E61DB2" w:rsidTr="00E61DB2" w14:paraId="078E9061"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1433D682" w14:textId="77777777">
                  <w:pPr>
                    <w:spacing w:before="0" w:after="0"/>
                    <w:rPr>
                      <w:b/>
                      <w:bCs/>
                      <w:color w:val="000000"/>
                    </w:rPr>
                  </w:pPr>
                  <w:r w:rsidRPr="00467C2F">
                    <w:rPr>
                      <w:b/>
                      <w:bCs/>
                      <w:color w:val="000000"/>
                    </w:rPr>
                    <w:t xml:space="preserve">OECD - MOPAN </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23B8E74F" w14:textId="09C29365">
                  <w:pPr>
                    <w:spacing w:before="0" w:after="0"/>
                    <w:rPr>
                      <w:b/>
                      <w:bCs/>
                      <w:color w:val="000000"/>
                    </w:rPr>
                  </w:pPr>
                  <w:r w:rsidRPr="00467C2F">
                    <w:rPr>
                      <w:b/>
                      <w:bCs/>
                      <w:color w:val="000000"/>
                    </w:rPr>
                    <w:t>EUR       283.000**</w:t>
                  </w:r>
                </w:p>
              </w:tc>
            </w:tr>
            <w:tr w:rsidRPr="00467C2F" w:rsidR="00E61DB2" w:rsidTr="00E61DB2" w14:paraId="24CD6716"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03458214" w14:textId="77777777">
                  <w:pPr>
                    <w:spacing w:before="0" w:after="0"/>
                    <w:rPr>
                      <w:b/>
                      <w:bCs/>
                      <w:color w:val="000000"/>
                    </w:rPr>
                  </w:pPr>
                  <w:r w:rsidRPr="00467C2F">
                    <w:rPr>
                      <w:b/>
                      <w:bCs/>
                      <w:color w:val="000000"/>
                    </w:rPr>
                    <w:t>IMF - 3 Technische Assistentie fondsen</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1C9BEC85" w14:textId="77777777">
                  <w:pPr>
                    <w:spacing w:before="0" w:after="0"/>
                    <w:rPr>
                      <w:b/>
                      <w:bCs/>
                      <w:color w:val="000000"/>
                    </w:rPr>
                  </w:pPr>
                  <w:r w:rsidRPr="00467C2F">
                    <w:rPr>
                      <w:b/>
                      <w:bCs/>
                      <w:color w:val="000000"/>
                    </w:rPr>
                    <w:t>EUR    2.693.000</w:t>
                  </w:r>
                </w:p>
              </w:tc>
            </w:tr>
            <w:tr w:rsidRPr="00467C2F" w:rsidR="00E61DB2" w:rsidTr="00E61DB2" w14:paraId="292F7E25"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76F88D62" w14:textId="77777777">
                  <w:pPr>
                    <w:spacing w:before="0" w:after="0"/>
                    <w:rPr>
                      <w:b/>
                      <w:bCs/>
                      <w:color w:val="000000"/>
                    </w:rPr>
                  </w:pPr>
                  <w:proofErr w:type="spellStart"/>
                  <w:r w:rsidRPr="00467C2F">
                    <w:rPr>
                      <w:b/>
                      <w:bCs/>
                      <w:color w:val="000000"/>
                    </w:rPr>
                    <w:t>African</w:t>
                  </w:r>
                  <w:proofErr w:type="spellEnd"/>
                  <w:r w:rsidRPr="00467C2F">
                    <w:rPr>
                      <w:b/>
                      <w:bCs/>
                      <w:color w:val="000000"/>
                    </w:rPr>
                    <w:t xml:space="preserve"> Development Bank - Middelenaanvullingen</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3854D300" w14:textId="77777777">
                  <w:pPr>
                    <w:spacing w:before="0" w:after="0"/>
                    <w:rPr>
                      <w:b/>
                      <w:bCs/>
                      <w:color w:val="000000"/>
                    </w:rPr>
                  </w:pPr>
                  <w:r w:rsidRPr="00467C2F">
                    <w:rPr>
                      <w:b/>
                      <w:bCs/>
                      <w:color w:val="000000"/>
                    </w:rPr>
                    <w:t>EUR  87.208.007</w:t>
                  </w:r>
                </w:p>
              </w:tc>
            </w:tr>
            <w:tr w:rsidRPr="00467C2F" w:rsidR="00E61DB2" w:rsidTr="00E61DB2" w14:paraId="0F3C7081"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1E070E6F" w14:textId="77777777">
                  <w:pPr>
                    <w:spacing w:before="0" w:after="0"/>
                    <w:rPr>
                      <w:b/>
                      <w:bCs/>
                      <w:color w:val="000000"/>
                    </w:rPr>
                  </w:pPr>
                  <w:proofErr w:type="spellStart"/>
                  <w:r w:rsidRPr="00467C2F">
                    <w:rPr>
                      <w:b/>
                      <w:bCs/>
                      <w:color w:val="000000"/>
                    </w:rPr>
                    <w:t>Asian</w:t>
                  </w:r>
                  <w:proofErr w:type="spellEnd"/>
                  <w:r w:rsidRPr="00467C2F">
                    <w:rPr>
                      <w:b/>
                      <w:bCs/>
                      <w:color w:val="000000"/>
                    </w:rPr>
                    <w:t xml:space="preserve"> Development Bank - Middelenaanvulling</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0FC18C9F" w14:textId="77777777">
                  <w:pPr>
                    <w:spacing w:before="0" w:after="0"/>
                    <w:rPr>
                      <w:b/>
                      <w:bCs/>
                      <w:color w:val="000000"/>
                    </w:rPr>
                  </w:pPr>
                  <w:r w:rsidRPr="00467C2F">
                    <w:rPr>
                      <w:b/>
                      <w:bCs/>
                      <w:color w:val="000000"/>
                    </w:rPr>
                    <w:t>EUR    3.750.000</w:t>
                  </w:r>
                </w:p>
              </w:tc>
            </w:tr>
            <w:tr w:rsidRPr="00467C2F" w:rsidR="00E61DB2" w:rsidTr="00E61DB2" w14:paraId="3EED47AE" w14:textId="77777777">
              <w:trPr>
                <w:trHeight w:val="264"/>
              </w:trPr>
              <w:tc>
                <w:tcPr>
                  <w:tcW w:w="4392" w:type="dxa"/>
                  <w:tcBorders>
                    <w:top w:val="nil"/>
                    <w:left w:val="nil"/>
                    <w:bottom w:val="nil"/>
                    <w:right w:val="nil"/>
                  </w:tcBorders>
                  <w:shd w:val="clear" w:color="auto" w:fill="auto"/>
                  <w:noWrap/>
                  <w:vAlign w:val="center"/>
                  <w:hideMark/>
                </w:tcPr>
                <w:p w:rsidRPr="00467C2F" w:rsidR="00E61DB2" w:rsidP="00E61DB2" w:rsidRDefault="00E61DB2" w14:paraId="1CB4B5F2" w14:textId="77777777">
                  <w:pPr>
                    <w:spacing w:before="0" w:after="0"/>
                    <w:rPr>
                      <w:b/>
                      <w:bCs/>
                      <w:color w:val="000000"/>
                    </w:rPr>
                  </w:pPr>
                  <w:proofErr w:type="spellStart"/>
                  <w:r w:rsidRPr="00467C2F">
                    <w:rPr>
                      <w:b/>
                      <w:bCs/>
                      <w:color w:val="000000"/>
                    </w:rPr>
                    <w:t>African</w:t>
                  </w:r>
                  <w:proofErr w:type="spellEnd"/>
                  <w:r w:rsidRPr="00467C2F">
                    <w:rPr>
                      <w:b/>
                      <w:bCs/>
                      <w:color w:val="000000"/>
                    </w:rPr>
                    <w:t xml:space="preserve"> Development Bank - Kapitaalaanvulling</w:t>
                  </w:r>
                </w:p>
              </w:tc>
              <w:tc>
                <w:tcPr>
                  <w:tcW w:w="4968" w:type="dxa"/>
                  <w:tcBorders>
                    <w:top w:val="nil"/>
                    <w:left w:val="nil"/>
                    <w:bottom w:val="nil"/>
                    <w:right w:val="nil"/>
                  </w:tcBorders>
                  <w:shd w:val="clear" w:color="auto" w:fill="auto"/>
                  <w:noWrap/>
                  <w:vAlign w:val="center"/>
                  <w:hideMark/>
                </w:tcPr>
                <w:p w:rsidRPr="00467C2F" w:rsidR="00E61DB2" w:rsidP="00E61DB2" w:rsidRDefault="00E61DB2" w14:paraId="5BB4B76A" w14:textId="77777777">
                  <w:pPr>
                    <w:spacing w:before="0" w:after="0"/>
                    <w:rPr>
                      <w:b/>
                      <w:bCs/>
                      <w:color w:val="000000"/>
                    </w:rPr>
                  </w:pPr>
                  <w:r w:rsidRPr="00467C2F">
                    <w:rPr>
                      <w:b/>
                      <w:bCs/>
                      <w:color w:val="000000"/>
                    </w:rPr>
                    <w:t>EUR    6.610.291</w:t>
                  </w:r>
                </w:p>
              </w:tc>
            </w:tr>
            <w:tr w:rsidRPr="00467C2F" w:rsidR="00E61DB2" w:rsidTr="00E61DB2" w14:paraId="7D64248A" w14:textId="77777777">
              <w:trPr>
                <w:trHeight w:val="264"/>
              </w:trPr>
              <w:tc>
                <w:tcPr>
                  <w:tcW w:w="4392" w:type="dxa"/>
                  <w:tcBorders>
                    <w:top w:val="nil"/>
                    <w:left w:val="nil"/>
                    <w:bottom w:val="nil"/>
                    <w:right w:val="nil"/>
                  </w:tcBorders>
                  <w:shd w:val="clear" w:color="auto" w:fill="auto"/>
                  <w:noWrap/>
                  <w:vAlign w:val="bottom"/>
                  <w:hideMark/>
                </w:tcPr>
                <w:p w:rsidRPr="00467C2F" w:rsidR="00E61DB2" w:rsidP="00E61DB2" w:rsidRDefault="00E61DB2" w14:paraId="2FE3C6D0" w14:textId="77777777">
                  <w:pPr>
                    <w:spacing w:before="0" w:after="0"/>
                    <w:rPr>
                      <w:b/>
                      <w:bCs/>
                      <w:color w:val="000000"/>
                    </w:rPr>
                  </w:pPr>
                  <w:r w:rsidRPr="00467C2F">
                    <w:rPr>
                      <w:b/>
                      <w:bCs/>
                      <w:color w:val="000000"/>
                    </w:rPr>
                    <w:t>Wereldbank - Technische Assistentie fonds</w:t>
                  </w:r>
                </w:p>
              </w:tc>
              <w:tc>
                <w:tcPr>
                  <w:tcW w:w="4968" w:type="dxa"/>
                  <w:tcBorders>
                    <w:top w:val="nil"/>
                    <w:left w:val="nil"/>
                    <w:bottom w:val="nil"/>
                    <w:right w:val="nil"/>
                  </w:tcBorders>
                  <w:shd w:val="clear" w:color="auto" w:fill="auto"/>
                  <w:noWrap/>
                  <w:vAlign w:val="bottom"/>
                  <w:hideMark/>
                </w:tcPr>
                <w:p w:rsidRPr="00467C2F" w:rsidR="00E61DB2" w:rsidP="00E61DB2" w:rsidRDefault="00E61DB2" w14:paraId="504EE2EB" w14:textId="77777777">
                  <w:pPr>
                    <w:spacing w:before="0" w:after="0"/>
                    <w:rPr>
                      <w:b/>
                      <w:bCs/>
                      <w:color w:val="000000"/>
                    </w:rPr>
                  </w:pPr>
                  <w:r w:rsidRPr="00467C2F">
                    <w:rPr>
                      <w:b/>
                      <w:bCs/>
                      <w:color w:val="000000"/>
                    </w:rPr>
                    <w:t>EUR    1.137.768</w:t>
                  </w:r>
                </w:p>
              </w:tc>
            </w:tr>
          </w:tbl>
          <w:p w:rsidRPr="00467C2F" w:rsidR="00E61DB2" w:rsidP="00E61DB2" w:rsidRDefault="00E61DB2" w14:paraId="04093377" w14:textId="799420A5">
            <w:pPr>
              <w:rPr>
                <w:b/>
                <w:bCs/>
              </w:rPr>
            </w:pPr>
            <w:r w:rsidRPr="00467C2F">
              <w:rPr>
                <w:b/>
                <w:bCs/>
              </w:rPr>
              <w:t>* betreft tevens een nieuwe verplichting in 2025 ter waarde van EUR 1.843.285</w:t>
            </w:r>
          </w:p>
          <w:p w:rsidRPr="00467C2F" w:rsidR="001C256C" w:rsidP="004C460D" w:rsidRDefault="00E61DB2" w14:paraId="3A129877" w14:textId="0A4EE5D5">
            <w:pPr>
              <w:rPr>
                <w:b/>
                <w:bCs/>
              </w:rPr>
            </w:pPr>
            <w:r w:rsidRPr="00467C2F">
              <w:rPr>
                <w:b/>
                <w:bCs/>
              </w:rPr>
              <w:t>** betreft tevens een nieuwe verplichting voor 2025-2026 ter waarde van EUR 566.000</w:t>
            </w:r>
            <w:bookmarkEnd w:id="7"/>
          </w:p>
        </w:tc>
        <w:tc>
          <w:tcPr>
            <w:tcW w:w="430" w:type="dxa"/>
          </w:tcPr>
          <w:p w:rsidRPr="00467C2F" w:rsidR="004C460D" w:rsidP="008309F1" w:rsidRDefault="004C460D" w14:paraId="3BCD088F" w14:textId="77777777">
            <w:pPr>
              <w:jc w:val="right"/>
            </w:pPr>
            <w:r w:rsidRPr="00467C2F">
              <w:lastRenderedPageBreak/>
              <w:t>19</w:t>
            </w:r>
          </w:p>
        </w:tc>
        <w:tc>
          <w:tcPr>
            <w:tcW w:w="567" w:type="dxa"/>
          </w:tcPr>
          <w:p w:rsidRPr="00467C2F" w:rsidR="004C460D" w:rsidP="008309F1" w:rsidRDefault="004C460D" w14:paraId="43CE3196" w14:textId="77777777">
            <w:pPr>
              <w:jc w:val="right"/>
            </w:pPr>
            <w:r w:rsidRPr="00467C2F">
              <w:t xml:space="preserve">19 </w:t>
            </w:r>
          </w:p>
        </w:tc>
      </w:tr>
      <w:tr w:rsidRPr="00467C2F" w:rsidR="004C460D" w:rsidTr="00CA32BB" w14:paraId="5311A521" w14:textId="77777777">
        <w:tc>
          <w:tcPr>
            <w:tcW w:w="567" w:type="dxa"/>
          </w:tcPr>
          <w:p w:rsidRPr="00467C2F" w:rsidR="004C460D" w:rsidP="008309F1" w:rsidRDefault="004C460D" w14:paraId="3C5021DA" w14:textId="77777777">
            <w:r w:rsidRPr="00467C2F">
              <w:t>49</w:t>
            </w:r>
          </w:p>
        </w:tc>
        <w:tc>
          <w:tcPr>
            <w:tcW w:w="7083" w:type="dxa"/>
          </w:tcPr>
          <w:p w:rsidRPr="00467C2F" w:rsidR="004C460D" w:rsidP="008309F1" w:rsidRDefault="004C460D" w14:paraId="56CC0EFE" w14:textId="77777777">
            <w:r w:rsidRPr="00467C2F">
              <w:t>Waarom worden middelen toegevoegd aan art. 5.2 Kleine activiteiten/cultuur &amp; ontwikkeling en welke output levert dit op?</w:t>
            </w:r>
          </w:p>
          <w:p w:rsidRPr="00467C2F" w:rsidR="004C460D" w:rsidP="008309F1" w:rsidRDefault="004C460D" w14:paraId="63D23FED" w14:textId="77777777">
            <w:pPr>
              <w:rPr>
                <w:b/>
                <w:bCs/>
              </w:rPr>
            </w:pPr>
            <w:r w:rsidRPr="00467C2F">
              <w:rPr>
                <w:b/>
                <w:bCs/>
              </w:rPr>
              <w:t>Antwoord:</w:t>
            </w:r>
          </w:p>
          <w:p w:rsidRPr="00467C2F" w:rsidR="004C460D" w:rsidP="004C460D" w:rsidRDefault="004C460D" w14:paraId="33914D83" w14:textId="77777777">
            <w:pPr>
              <w:rPr>
                <w:b/>
                <w:bCs/>
              </w:rPr>
            </w:pPr>
            <w:r w:rsidRPr="00467C2F">
              <w:rPr>
                <w:b/>
                <w:bCs/>
              </w:rPr>
              <w:t>Er worden geen middelen toegevoegd aan art. 5.2. Er is slechts een verschuiving op instrumentniveau van EUR 250.000 van subsidies naar bijdragen aan internationale organisaties.</w:t>
            </w:r>
          </w:p>
          <w:p w:rsidRPr="00467C2F" w:rsidR="001C256C" w:rsidP="004C460D" w:rsidRDefault="001C256C" w14:paraId="692F7F69" w14:textId="2D38F150">
            <w:pPr>
              <w:rPr>
                <w:b/>
                <w:bCs/>
              </w:rPr>
            </w:pPr>
          </w:p>
        </w:tc>
        <w:tc>
          <w:tcPr>
            <w:tcW w:w="430" w:type="dxa"/>
          </w:tcPr>
          <w:p w:rsidRPr="00467C2F" w:rsidR="004C460D" w:rsidP="008309F1" w:rsidRDefault="004C460D" w14:paraId="1D38D0C5" w14:textId="77777777">
            <w:pPr>
              <w:jc w:val="right"/>
            </w:pPr>
            <w:r w:rsidRPr="00467C2F">
              <w:t>19</w:t>
            </w:r>
          </w:p>
        </w:tc>
        <w:tc>
          <w:tcPr>
            <w:tcW w:w="567" w:type="dxa"/>
          </w:tcPr>
          <w:p w:rsidRPr="00467C2F" w:rsidR="004C460D" w:rsidP="008309F1" w:rsidRDefault="004C460D" w14:paraId="27ADD6AE" w14:textId="77777777">
            <w:pPr>
              <w:jc w:val="right"/>
            </w:pPr>
            <w:r w:rsidRPr="00467C2F">
              <w:t xml:space="preserve">19 </w:t>
            </w:r>
          </w:p>
        </w:tc>
      </w:tr>
      <w:tr w:rsidRPr="00467C2F" w:rsidR="004C460D" w:rsidTr="00CA32BB" w14:paraId="50276A34" w14:textId="77777777">
        <w:tc>
          <w:tcPr>
            <w:tcW w:w="567" w:type="dxa"/>
          </w:tcPr>
          <w:p w:rsidRPr="00467C2F" w:rsidR="004C460D" w:rsidP="008309F1" w:rsidRDefault="004C460D" w14:paraId="66F8CD9C" w14:textId="77777777">
            <w:r w:rsidRPr="00467C2F">
              <w:t>50</w:t>
            </w:r>
          </w:p>
        </w:tc>
        <w:tc>
          <w:tcPr>
            <w:tcW w:w="7083" w:type="dxa"/>
          </w:tcPr>
          <w:p w:rsidRPr="00467C2F" w:rsidR="004C460D" w:rsidP="008309F1" w:rsidRDefault="004C460D" w14:paraId="00CB7299" w14:textId="77777777">
            <w:r w:rsidRPr="00467C2F">
              <w:t>Waartoe dienen de middelen onder art. 5.4 Nog te verdelen (BNI/toerekeningen) en bestaat risico op allocatie naar buitenlandfondsen?</w:t>
            </w:r>
          </w:p>
          <w:p w:rsidRPr="00467C2F" w:rsidR="004C460D" w:rsidP="008309F1" w:rsidRDefault="004C460D" w14:paraId="76C0DDB0" w14:textId="77777777">
            <w:pPr>
              <w:rPr>
                <w:b/>
                <w:bCs/>
              </w:rPr>
            </w:pPr>
            <w:r w:rsidRPr="00467C2F">
              <w:rPr>
                <w:b/>
                <w:bCs/>
              </w:rPr>
              <w:t>Antwoord:</w:t>
            </w:r>
          </w:p>
          <w:p w:rsidRPr="00467C2F" w:rsidR="004C460D" w:rsidP="004C460D" w:rsidRDefault="004C460D" w14:paraId="6D013D8F" w14:textId="77777777">
            <w:pPr>
              <w:rPr>
                <w:b/>
                <w:bCs/>
              </w:rPr>
            </w:pPr>
            <w:r w:rsidRPr="00467C2F">
              <w:rPr>
                <w:b/>
                <w:bCs/>
              </w:rPr>
              <w:t xml:space="preserve">Mede vanwege het fluctuerende ODA-budget en om de inzichtelijkheid van de BHO begroting te verbeteren is met ingang van begrotingsjaar 2017 het artikelonderdeel 5.4 (Nog te verdelen i.v.m. wijzigingen BNI en/of toerekeningen) gecreëerd, ook wel het ‘verdeelartikel’ of ‘bufferartikel’ genoemd. BHO verwerkt BNI-fluctuaties op dit artikelonderdeel. Daarnaast verwerkt BHO op dit verdeelartikel asielfluctuaties, bijstellingen op ODA-budgetten van andere departementen en tot slot kan hier </w:t>
            </w:r>
            <w:proofErr w:type="spellStart"/>
            <w:r w:rsidRPr="00467C2F">
              <w:rPr>
                <w:b/>
                <w:bCs/>
              </w:rPr>
              <w:t>overprogrammering</w:t>
            </w:r>
            <w:proofErr w:type="spellEnd"/>
            <w:r w:rsidRPr="00467C2F">
              <w:rPr>
                <w:b/>
                <w:bCs/>
              </w:rPr>
              <w:t xml:space="preserve"> worden geregistreerd. Omdat mutaties niet direct effect hebben op lopende programma’s wordt rust in de begroting gecreëerd. Dit bevordert de doeltreffende- en doelmatige inzet van ODA-budget. De ODA-middelen op artikel 5.4 worden ingezet voor ODA-activiteiten in lijn met de richtlijnen van de OESO-DAC. Activiteiten die niet in lijn zijn met de OESO DAC-richtlijnen kunnen niet gefinancierd worden uit ODA-budget. </w:t>
            </w:r>
          </w:p>
          <w:p w:rsidRPr="00467C2F" w:rsidR="001C256C" w:rsidP="004C460D" w:rsidRDefault="001C256C" w14:paraId="71F4C5B7" w14:textId="3DD3AF8E">
            <w:pPr>
              <w:rPr>
                <w:b/>
                <w:bCs/>
              </w:rPr>
            </w:pPr>
          </w:p>
        </w:tc>
        <w:tc>
          <w:tcPr>
            <w:tcW w:w="430" w:type="dxa"/>
          </w:tcPr>
          <w:p w:rsidRPr="00467C2F" w:rsidR="004C460D" w:rsidP="008309F1" w:rsidRDefault="004C460D" w14:paraId="2210B93D" w14:textId="77777777">
            <w:pPr>
              <w:jc w:val="right"/>
            </w:pPr>
            <w:r w:rsidRPr="00467C2F">
              <w:t>19</w:t>
            </w:r>
          </w:p>
        </w:tc>
        <w:tc>
          <w:tcPr>
            <w:tcW w:w="567" w:type="dxa"/>
          </w:tcPr>
          <w:p w:rsidRPr="00467C2F" w:rsidR="004C460D" w:rsidP="008309F1" w:rsidRDefault="004C460D" w14:paraId="769F164C" w14:textId="77777777">
            <w:pPr>
              <w:jc w:val="right"/>
            </w:pPr>
            <w:r w:rsidRPr="00467C2F">
              <w:t xml:space="preserve">20 </w:t>
            </w:r>
          </w:p>
        </w:tc>
      </w:tr>
      <w:tr w:rsidRPr="00467C2F" w:rsidR="004C460D" w:rsidTr="00CA32BB" w14:paraId="31AEE9D7" w14:textId="77777777">
        <w:tc>
          <w:tcPr>
            <w:tcW w:w="567" w:type="dxa"/>
          </w:tcPr>
          <w:p w:rsidRPr="00467C2F" w:rsidR="004C460D" w:rsidP="008309F1" w:rsidRDefault="004C460D" w14:paraId="13222BD4" w14:textId="77777777">
            <w:r w:rsidRPr="00467C2F">
              <w:t>51</w:t>
            </w:r>
          </w:p>
        </w:tc>
        <w:tc>
          <w:tcPr>
            <w:tcW w:w="7083" w:type="dxa"/>
          </w:tcPr>
          <w:p w:rsidRPr="00467C2F" w:rsidR="004C460D" w:rsidP="008309F1" w:rsidRDefault="004C460D" w14:paraId="26B63043" w14:textId="77777777">
            <w:r w:rsidRPr="00467C2F">
              <w:t>Kan in een overzicht worden aangegeven hoeveel het totale ODA-budget zou stijgen in de jaren 2026 t/m 2030 wanneer ook dit najaar volledig zou worden gekoppeld aan 0,7% en Bruto Nationaal Inkomen volgens de systematiek van oude kabinetten?</w:t>
            </w:r>
          </w:p>
          <w:p w:rsidRPr="00467C2F" w:rsidR="004C460D" w:rsidP="008309F1" w:rsidRDefault="004C460D" w14:paraId="5B0CDD66" w14:textId="77777777">
            <w:pPr>
              <w:rPr>
                <w:b/>
                <w:bCs/>
              </w:rPr>
            </w:pPr>
            <w:r w:rsidRPr="00467C2F">
              <w:rPr>
                <w:b/>
                <w:bCs/>
              </w:rPr>
              <w:t>Antwoord:</w:t>
            </w:r>
          </w:p>
          <w:p w:rsidRPr="00467C2F" w:rsidR="004C460D" w:rsidP="00250173" w:rsidRDefault="004C460D" w14:paraId="2095E131" w14:textId="70C19991">
            <w:pPr>
              <w:spacing w:before="0" w:after="0"/>
              <w:rPr>
                <w:b/>
                <w:bCs/>
                <w:iCs/>
              </w:rPr>
            </w:pPr>
            <w:r w:rsidRPr="00467C2F">
              <w:rPr>
                <w:i/>
              </w:rPr>
              <w:t xml:space="preserve"> </w:t>
            </w:r>
            <w:r w:rsidRPr="00467C2F">
              <w:rPr>
                <w:b/>
                <w:bCs/>
                <w:iCs/>
              </w:rPr>
              <w:t xml:space="preserve">Bij de voorjaarsbesluitvorming 2025 heeft het kabinet besloten om het </w:t>
            </w:r>
          </w:p>
          <w:p w:rsidRPr="00467C2F" w:rsidR="004C460D" w:rsidP="00250173" w:rsidRDefault="004C460D" w14:paraId="30ECDD8F" w14:textId="08F9112B">
            <w:pPr>
              <w:spacing w:before="0" w:after="0"/>
              <w:rPr>
                <w:b/>
                <w:bCs/>
                <w:iCs/>
              </w:rPr>
            </w:pPr>
            <w:r w:rsidRPr="00467C2F">
              <w:rPr>
                <w:b/>
                <w:bCs/>
                <w:iCs/>
              </w:rPr>
              <w:t xml:space="preserve">ODA-budget te actualiseren en te koppelen aan de ontwikkeling van het </w:t>
            </w:r>
            <w:r w:rsidRPr="00467C2F" w:rsidR="00E67854">
              <w:rPr>
                <w:b/>
                <w:bCs/>
                <w:iCs/>
              </w:rPr>
              <w:t>BNI</w:t>
            </w:r>
            <w:r w:rsidRPr="00467C2F">
              <w:rPr>
                <w:b/>
                <w:bCs/>
                <w:iCs/>
              </w:rPr>
              <w:t xml:space="preserve">, </w:t>
            </w:r>
          </w:p>
          <w:p w:rsidRPr="00467C2F" w:rsidR="004C460D" w:rsidP="001D74ED" w:rsidRDefault="004C460D" w14:paraId="59EE985D" w14:textId="1031ECD8">
            <w:pPr>
              <w:spacing w:before="0" w:after="0"/>
              <w:rPr>
                <w:b/>
                <w:bCs/>
                <w:i/>
              </w:rPr>
            </w:pPr>
            <w:r w:rsidRPr="00467C2F">
              <w:rPr>
                <w:b/>
                <w:bCs/>
                <w:iCs/>
              </w:rPr>
              <w:t xml:space="preserve">in plaats van op basis van 0,7% van het </w:t>
            </w:r>
            <w:r w:rsidRPr="00467C2F" w:rsidR="00E67854">
              <w:rPr>
                <w:b/>
                <w:bCs/>
                <w:iCs/>
              </w:rPr>
              <w:t>BNI</w:t>
            </w:r>
            <w:r w:rsidRPr="00467C2F">
              <w:rPr>
                <w:b/>
                <w:bCs/>
                <w:iCs/>
              </w:rPr>
              <w:t xml:space="preserve">. </w:t>
            </w:r>
            <w:r w:rsidRPr="00467C2F">
              <w:rPr>
                <w:b/>
                <w:bCs/>
              </w:rPr>
              <w:t xml:space="preserve">De genoemde berekeningswijze in de vraag verwijst naar de </w:t>
            </w:r>
            <w:proofErr w:type="spellStart"/>
            <w:r w:rsidRPr="00467C2F">
              <w:rPr>
                <w:b/>
                <w:bCs/>
              </w:rPr>
              <w:t>systematieken</w:t>
            </w:r>
            <w:proofErr w:type="spellEnd"/>
            <w:r w:rsidRPr="00467C2F">
              <w:rPr>
                <w:b/>
                <w:bCs/>
              </w:rPr>
              <w:t xml:space="preserve"> gehanteerd door voorgaande kabinetten, waarbij er een koppeling was op basis van de streefwaarde van de VN: 0,7% van het </w:t>
            </w:r>
            <w:r w:rsidRPr="00467C2F" w:rsidR="00E67854">
              <w:rPr>
                <w:b/>
                <w:bCs/>
              </w:rPr>
              <w:t>BNI</w:t>
            </w:r>
            <w:r w:rsidRPr="00467C2F">
              <w:rPr>
                <w:b/>
                <w:bCs/>
              </w:rPr>
              <w:t>. Ombuigingen werden van het ODA-budget afgehaald en intensiveringen toegevoegd.</w:t>
            </w:r>
            <w:r w:rsidRPr="00467C2F">
              <w:rPr>
                <w:b/>
                <w:bCs/>
                <w:i/>
              </w:rPr>
              <w:t xml:space="preserve"> </w:t>
            </w:r>
            <w:r w:rsidRPr="00467C2F">
              <w:rPr>
                <w:b/>
                <w:bCs/>
              </w:rPr>
              <w:t xml:space="preserve">Het ODA-budget werd onder voorgaande kabinetten twee keer per jaar bijgesteld op basis van het BNI. Dit kabinet stelt het budget één keer per jaar (in het voorjaar) bij op basis van de ontwikkeling van het BNI. Het kabinet kiest hiervoor om de stabiliteit in het ODA-budget te bevorderen, in lijn met het advies </w:t>
            </w:r>
            <w:r w:rsidRPr="00467C2F">
              <w:rPr>
                <w:b/>
                <w:bCs/>
              </w:rPr>
              <w:lastRenderedPageBreak/>
              <w:t xml:space="preserve">van de Adviesraad Internationale Vraagstukken (zie ook de Kabinetsreactie op het advies, kamerstuk 36600-XVII-79). </w:t>
            </w:r>
          </w:p>
          <w:p w:rsidRPr="00467C2F" w:rsidR="004C460D" w:rsidP="008309F1" w:rsidRDefault="004C460D" w14:paraId="17967CFB" w14:textId="06A44EC9">
            <w:pPr>
              <w:rPr>
                <w:b/>
                <w:bCs/>
              </w:rPr>
            </w:pPr>
            <w:r w:rsidRPr="00467C2F">
              <w:rPr>
                <w:b/>
                <w:bCs/>
              </w:rPr>
              <w:t>Indien het kabinet ervoor zou kiezen om het ODA-budget ook in het najaar te actualiseren op basis van de koppeling volgens de systematiek van voorgaande kabinetten, dan zou het ODA-budget gedaald zijn omdat de raming van het BNI bij de MEV2026 neerwaarts is bijgesteld ten opzichte van de CEP2025. De mutatie die hieruit volgt is hieronder weergegeven:</w:t>
            </w:r>
          </w:p>
          <w:p w:rsidRPr="00467C2F" w:rsidR="004C460D" w:rsidP="008309F1" w:rsidRDefault="004C460D" w14:paraId="5D1FA3A7" w14:textId="77777777"/>
          <w:p w:rsidRPr="00467C2F" w:rsidR="001C256C" w:rsidP="008309F1" w:rsidRDefault="001C256C" w14:paraId="5FAA8766" w14:textId="77777777"/>
          <w:tbl>
            <w:tblPr>
              <w:tblW w:w="6521" w:type="dxa"/>
              <w:tblLayout w:type="fixed"/>
              <w:tblCellMar>
                <w:left w:w="70" w:type="dxa"/>
                <w:right w:w="70" w:type="dxa"/>
              </w:tblCellMar>
              <w:tblLook w:val="04A0" w:firstRow="1" w:lastRow="0" w:firstColumn="1" w:lastColumn="0" w:noHBand="0" w:noVBand="1"/>
            </w:tblPr>
            <w:tblGrid>
              <w:gridCol w:w="1757"/>
              <w:gridCol w:w="794"/>
              <w:gridCol w:w="794"/>
              <w:gridCol w:w="794"/>
              <w:gridCol w:w="794"/>
              <w:gridCol w:w="794"/>
              <w:gridCol w:w="794"/>
            </w:tblGrid>
            <w:tr w:rsidRPr="00467C2F" w:rsidR="004C460D" w:rsidTr="37AB9196" w14:paraId="65EAD299" w14:textId="77777777">
              <w:trPr>
                <w:trHeight w:val="230"/>
              </w:trPr>
              <w:tc>
                <w:tcPr>
                  <w:tcW w:w="1757" w:type="dxa"/>
                  <w:tcBorders>
                    <w:top w:val="nil"/>
                    <w:left w:val="nil"/>
                    <w:bottom w:val="single" w:color="auto" w:sz="4" w:space="0"/>
                    <w:right w:val="nil"/>
                  </w:tcBorders>
                  <w:shd w:val="clear" w:color="auto" w:fill="C0E6F5"/>
                  <w:noWrap/>
                  <w:vAlign w:val="bottom"/>
                  <w:hideMark/>
                </w:tcPr>
                <w:p w:rsidRPr="00467C2F" w:rsidR="004C460D" w:rsidP="00124671" w:rsidRDefault="004C460D" w14:paraId="2EDA19E9" w14:textId="77777777">
                  <w:pPr>
                    <w:spacing w:before="0" w:after="0"/>
                    <w:rPr>
                      <w:rFonts w:ascii="Verdana" w:hAnsi="Verdana"/>
                      <w:color w:val="000000"/>
                      <w:sz w:val="14"/>
                      <w:szCs w:val="14"/>
                    </w:rPr>
                  </w:pPr>
                  <w:r w:rsidRPr="00467C2F">
                    <w:rPr>
                      <w:rFonts w:ascii="Verdana" w:hAnsi="Verdana"/>
                      <w:color w:val="000000"/>
                      <w:sz w:val="14"/>
                      <w:szCs w:val="14"/>
                    </w:rPr>
                    <w:t>x EUR miljoen</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0020C7F4"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2025</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04A399FC"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2026</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135710D3"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2027</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0E2D19F3"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2028</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734941C6"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2029</w:t>
                  </w:r>
                </w:p>
              </w:tc>
              <w:tc>
                <w:tcPr>
                  <w:tcW w:w="794" w:type="dxa"/>
                  <w:tcBorders>
                    <w:top w:val="nil"/>
                    <w:left w:val="nil"/>
                    <w:bottom w:val="single" w:color="auto" w:sz="4" w:space="0"/>
                    <w:right w:val="nil"/>
                  </w:tcBorders>
                  <w:shd w:val="clear" w:color="auto" w:fill="C0E6F5"/>
                  <w:noWrap/>
                  <w:vAlign w:val="bottom"/>
                  <w:hideMark/>
                </w:tcPr>
                <w:p w:rsidRPr="00467C2F" w:rsidR="004C460D" w:rsidP="00124671" w:rsidRDefault="004C460D" w14:paraId="5C6D3DDB" w14:textId="77777777">
                  <w:pPr>
                    <w:spacing w:before="0" w:after="0"/>
                    <w:jc w:val="right"/>
                    <w:rPr>
                      <w:rFonts w:ascii="Verdana" w:hAnsi="Verdana"/>
                      <w:b/>
                      <w:bCs/>
                      <w:color w:val="000000"/>
                      <w:sz w:val="14"/>
                      <w:szCs w:val="14"/>
                    </w:rPr>
                  </w:pPr>
                  <w:r w:rsidRPr="00467C2F">
                    <w:rPr>
                      <w:rFonts w:ascii="Verdana" w:hAnsi="Verdana"/>
                      <w:b/>
                      <w:bCs/>
                      <w:color w:val="000000"/>
                      <w:sz w:val="14"/>
                      <w:szCs w:val="14"/>
                    </w:rPr>
                    <w:t>2030</w:t>
                  </w:r>
                </w:p>
              </w:tc>
            </w:tr>
            <w:tr w:rsidRPr="00467C2F" w:rsidR="004C460D" w:rsidTr="00124671" w14:paraId="6B6E389C" w14:textId="77777777">
              <w:trPr>
                <w:trHeight w:val="230"/>
              </w:trPr>
              <w:tc>
                <w:tcPr>
                  <w:tcW w:w="1757"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4078AD71" w14:textId="055210A2">
                  <w:pPr>
                    <w:spacing w:before="0" w:after="0"/>
                    <w:rPr>
                      <w:rFonts w:ascii="Verdana" w:hAnsi="Verdana"/>
                      <w:color w:val="000000"/>
                      <w:sz w:val="14"/>
                      <w:szCs w:val="14"/>
                    </w:rPr>
                  </w:pPr>
                  <w:r w:rsidRPr="00467C2F">
                    <w:rPr>
                      <w:rFonts w:ascii="Verdana" w:hAnsi="Verdana"/>
                      <w:color w:val="000000"/>
                      <w:sz w:val="14"/>
                      <w:szCs w:val="14"/>
                    </w:rPr>
                    <w:t>Bijstelling ODA op basis van 0,7% CEP2025-MEV2026</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70A2A69C" w14:textId="77777777">
                  <w:pPr>
                    <w:spacing w:before="0" w:after="0"/>
                    <w:jc w:val="right"/>
                    <w:rPr>
                      <w:rFonts w:ascii="Verdana" w:hAnsi="Verdana"/>
                      <w:color w:val="000000"/>
                      <w:sz w:val="14"/>
                      <w:szCs w:val="14"/>
                    </w:rPr>
                  </w:pPr>
                  <w:r w:rsidRPr="00467C2F">
                    <w:rPr>
                      <w:rFonts w:ascii="Verdana" w:hAnsi="Verdana"/>
                      <w:color w:val="000000"/>
                      <w:sz w:val="14"/>
                      <w:szCs w:val="14"/>
                    </w:rPr>
                    <w:t>-59,003</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2ADE915B" w14:textId="385AA17C">
                  <w:pPr>
                    <w:spacing w:before="0" w:after="0"/>
                    <w:jc w:val="right"/>
                    <w:rPr>
                      <w:rFonts w:ascii="Verdana" w:hAnsi="Verdana"/>
                      <w:color w:val="000000"/>
                      <w:sz w:val="14"/>
                      <w:szCs w:val="14"/>
                    </w:rPr>
                  </w:pPr>
                  <w:r w:rsidRPr="00467C2F">
                    <w:rPr>
                      <w:rFonts w:ascii="Verdana" w:hAnsi="Verdana"/>
                      <w:color w:val="000000"/>
                      <w:sz w:val="14"/>
                      <w:szCs w:val="14"/>
                    </w:rPr>
                    <w:t>-87,170</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377B0C14" w14:textId="63445F8E">
                  <w:pPr>
                    <w:spacing w:before="0" w:after="0"/>
                    <w:jc w:val="right"/>
                    <w:rPr>
                      <w:rFonts w:ascii="Verdana" w:hAnsi="Verdana"/>
                      <w:color w:val="000000"/>
                      <w:sz w:val="14"/>
                      <w:szCs w:val="14"/>
                    </w:rPr>
                  </w:pPr>
                  <w:r w:rsidRPr="00467C2F">
                    <w:rPr>
                      <w:rFonts w:ascii="Verdana" w:hAnsi="Verdana"/>
                      <w:color w:val="000000"/>
                      <w:sz w:val="14"/>
                      <w:szCs w:val="14"/>
                    </w:rPr>
                    <w:t>-96,908</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068B21B4" w14:textId="15D250D9">
                  <w:pPr>
                    <w:spacing w:before="0" w:after="0"/>
                    <w:jc w:val="right"/>
                    <w:rPr>
                      <w:rFonts w:ascii="Verdana" w:hAnsi="Verdana"/>
                      <w:color w:val="000000"/>
                      <w:sz w:val="14"/>
                      <w:szCs w:val="14"/>
                    </w:rPr>
                  </w:pPr>
                  <w:r w:rsidRPr="00467C2F">
                    <w:rPr>
                      <w:rFonts w:ascii="Verdana" w:hAnsi="Verdana"/>
                      <w:color w:val="000000"/>
                      <w:sz w:val="14"/>
                      <w:szCs w:val="14"/>
                    </w:rPr>
                    <w:t>-123,880</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22989FFA" w14:textId="77777777">
                  <w:pPr>
                    <w:spacing w:before="0" w:after="0"/>
                    <w:jc w:val="right"/>
                    <w:rPr>
                      <w:rFonts w:ascii="Verdana" w:hAnsi="Verdana"/>
                      <w:color w:val="000000"/>
                      <w:sz w:val="14"/>
                      <w:szCs w:val="14"/>
                    </w:rPr>
                  </w:pPr>
                  <w:r w:rsidRPr="00467C2F">
                    <w:rPr>
                      <w:rFonts w:ascii="Verdana" w:hAnsi="Verdana"/>
                      <w:color w:val="000000"/>
                      <w:sz w:val="14"/>
                      <w:szCs w:val="14"/>
                    </w:rPr>
                    <w:t>-122,423</w:t>
                  </w:r>
                </w:p>
              </w:tc>
              <w:tc>
                <w:tcPr>
                  <w:tcW w:w="794" w:type="dxa"/>
                  <w:tcBorders>
                    <w:top w:val="nil"/>
                    <w:left w:val="nil"/>
                    <w:bottom w:val="nil"/>
                    <w:right w:val="nil"/>
                  </w:tcBorders>
                  <w:shd w:val="clear" w:color="auto" w:fill="F2F2F2" w:themeFill="background1" w:themeFillShade="F2"/>
                  <w:noWrap/>
                  <w:vAlign w:val="bottom"/>
                  <w:hideMark/>
                </w:tcPr>
                <w:p w:rsidRPr="00467C2F" w:rsidR="004C460D" w:rsidP="00124671" w:rsidRDefault="004C460D" w14:paraId="543E0C64" w14:textId="48FE0540">
                  <w:pPr>
                    <w:spacing w:before="0" w:after="0"/>
                    <w:jc w:val="right"/>
                    <w:rPr>
                      <w:rFonts w:ascii="Verdana" w:hAnsi="Verdana"/>
                      <w:color w:val="000000"/>
                      <w:sz w:val="14"/>
                      <w:szCs w:val="14"/>
                    </w:rPr>
                  </w:pPr>
                  <w:r w:rsidRPr="00467C2F">
                    <w:rPr>
                      <w:rFonts w:ascii="Verdana" w:hAnsi="Verdana"/>
                      <w:color w:val="000000"/>
                      <w:sz w:val="14"/>
                      <w:szCs w:val="14"/>
                    </w:rPr>
                    <w:t>-102,938</w:t>
                  </w:r>
                </w:p>
              </w:tc>
            </w:tr>
            <w:tr w:rsidRPr="00467C2F" w:rsidR="004C460D" w:rsidTr="001D74ED" w14:paraId="1CD3AF65" w14:textId="77777777">
              <w:trPr>
                <w:trHeight w:val="230"/>
              </w:trPr>
              <w:tc>
                <w:tcPr>
                  <w:tcW w:w="1757" w:type="dxa"/>
                  <w:tcBorders>
                    <w:top w:val="nil"/>
                    <w:left w:val="nil"/>
                    <w:bottom w:val="nil"/>
                    <w:right w:val="nil"/>
                  </w:tcBorders>
                  <w:shd w:val="clear" w:color="auto" w:fill="auto"/>
                  <w:noWrap/>
                  <w:vAlign w:val="bottom"/>
                  <w:hideMark/>
                </w:tcPr>
                <w:p w:rsidRPr="00467C2F" w:rsidR="004C460D" w:rsidP="00124671" w:rsidRDefault="004C460D" w14:paraId="7E7EA22B" w14:textId="3B8EFAA7">
                  <w:pPr>
                    <w:spacing w:before="0" w:after="0"/>
                    <w:rPr>
                      <w:rFonts w:ascii="Verdana" w:hAnsi="Verdana"/>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5B20423B" w14:textId="7FE97DE0">
                  <w:pPr>
                    <w:spacing w:before="0" w:after="0"/>
                    <w:jc w:val="right"/>
                    <w:rPr>
                      <w:rFonts w:ascii="Verdana" w:hAnsi="Verdana"/>
                      <w:b/>
                      <w:bCs/>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7F99BFF3" w14:textId="07952643">
                  <w:pPr>
                    <w:spacing w:before="0" w:after="0"/>
                    <w:jc w:val="right"/>
                    <w:rPr>
                      <w:rFonts w:ascii="Verdana" w:hAnsi="Verdana"/>
                      <w:b/>
                      <w:bCs/>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4865CA68" w14:textId="4FD70985">
                  <w:pPr>
                    <w:spacing w:before="0" w:after="0"/>
                    <w:jc w:val="right"/>
                    <w:rPr>
                      <w:rFonts w:ascii="Verdana" w:hAnsi="Verdana"/>
                      <w:b/>
                      <w:bCs/>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0412DED0" w14:textId="5F54B600">
                  <w:pPr>
                    <w:spacing w:before="0" w:after="0"/>
                    <w:jc w:val="right"/>
                    <w:rPr>
                      <w:rFonts w:ascii="Verdana" w:hAnsi="Verdana"/>
                      <w:b/>
                      <w:bCs/>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62FA7BAC" w14:textId="6D39D95D">
                  <w:pPr>
                    <w:spacing w:before="0" w:after="0"/>
                    <w:jc w:val="right"/>
                    <w:rPr>
                      <w:rFonts w:ascii="Verdana" w:hAnsi="Verdana"/>
                      <w:b/>
                      <w:bCs/>
                      <w:color w:val="000000"/>
                      <w:sz w:val="14"/>
                      <w:szCs w:val="14"/>
                    </w:rPr>
                  </w:pPr>
                </w:p>
              </w:tc>
              <w:tc>
                <w:tcPr>
                  <w:tcW w:w="794" w:type="dxa"/>
                  <w:tcBorders>
                    <w:top w:val="nil"/>
                    <w:left w:val="nil"/>
                    <w:bottom w:val="nil"/>
                    <w:right w:val="nil"/>
                  </w:tcBorders>
                  <w:shd w:val="clear" w:color="auto" w:fill="auto"/>
                  <w:noWrap/>
                  <w:vAlign w:val="bottom"/>
                </w:tcPr>
                <w:p w:rsidRPr="00467C2F" w:rsidR="004C460D" w:rsidP="00124671" w:rsidRDefault="004C460D" w14:paraId="3E675279" w14:textId="58667240">
                  <w:pPr>
                    <w:spacing w:before="0" w:after="0"/>
                    <w:jc w:val="right"/>
                    <w:rPr>
                      <w:rFonts w:ascii="Verdana" w:hAnsi="Verdana"/>
                      <w:b/>
                      <w:bCs/>
                      <w:color w:val="000000"/>
                      <w:sz w:val="14"/>
                      <w:szCs w:val="14"/>
                    </w:rPr>
                  </w:pPr>
                </w:p>
              </w:tc>
            </w:tr>
          </w:tbl>
          <w:p w:rsidRPr="00467C2F" w:rsidR="004C460D" w:rsidP="004C460D" w:rsidRDefault="004C460D" w14:paraId="20F81CD0" w14:textId="77777777"/>
        </w:tc>
        <w:tc>
          <w:tcPr>
            <w:tcW w:w="430" w:type="dxa"/>
          </w:tcPr>
          <w:p w:rsidRPr="00467C2F" w:rsidR="004C460D" w:rsidP="008309F1" w:rsidRDefault="004C460D" w14:paraId="7480630A" w14:textId="77777777">
            <w:pPr>
              <w:jc w:val="right"/>
            </w:pPr>
            <w:r w:rsidRPr="00467C2F">
              <w:lastRenderedPageBreak/>
              <w:t>20</w:t>
            </w:r>
          </w:p>
        </w:tc>
        <w:tc>
          <w:tcPr>
            <w:tcW w:w="567" w:type="dxa"/>
          </w:tcPr>
          <w:p w:rsidRPr="00467C2F" w:rsidR="004C460D" w:rsidP="008309F1" w:rsidRDefault="004C460D" w14:paraId="7C645F74" w14:textId="77777777">
            <w:pPr>
              <w:jc w:val="right"/>
            </w:pPr>
            <w:r w:rsidRPr="00467C2F">
              <w:t xml:space="preserve">20 </w:t>
            </w:r>
          </w:p>
        </w:tc>
      </w:tr>
      <w:tr w:rsidR="004C460D" w:rsidTr="00CA32BB" w14:paraId="083A3A04" w14:textId="77777777">
        <w:tc>
          <w:tcPr>
            <w:tcW w:w="567" w:type="dxa"/>
          </w:tcPr>
          <w:p w:rsidRPr="00467C2F" w:rsidR="004C460D" w:rsidP="008309F1" w:rsidRDefault="004C460D" w14:paraId="1E4DAAF5" w14:textId="77777777">
            <w:r w:rsidRPr="00467C2F">
              <w:t>52</w:t>
            </w:r>
          </w:p>
        </w:tc>
        <w:tc>
          <w:tcPr>
            <w:tcW w:w="7083" w:type="dxa"/>
          </w:tcPr>
          <w:p w:rsidRPr="00467C2F" w:rsidR="004C460D" w:rsidP="008309F1" w:rsidRDefault="004C460D" w14:paraId="6A1EAD4E" w14:textId="77777777">
            <w:r w:rsidRPr="00467C2F">
              <w:t>Kunt u een up-to-date meerjarig overzicht geven van de realisatie van de totale asieltoerekening aan het ODA-budget voor 2020-2025, en de raming voor 2026-2030? Kunt u daarbij in percentages aangeven welk aandeel van het ODA-budget naar (eerstejaars)asielopvang ging/gaat, en welk aandeel van de (eerstejaars)asielopvang uit ODA-middelen betaald is/wordt?</w:t>
            </w:r>
          </w:p>
          <w:p w:rsidRPr="00467C2F" w:rsidR="004C460D" w:rsidP="008309F1" w:rsidRDefault="004C460D" w14:paraId="1812C143" w14:textId="77777777">
            <w:pPr>
              <w:rPr>
                <w:b/>
                <w:bCs/>
                <w:lang w:val="en-US"/>
              </w:rPr>
            </w:pPr>
            <w:r w:rsidRPr="00467C2F">
              <w:rPr>
                <w:b/>
                <w:bCs/>
              </w:rPr>
              <w:t>Antwoord:</w:t>
            </w:r>
          </w:p>
          <w:p w:rsidRPr="00467C2F" w:rsidR="004C460D" w:rsidP="008309F1" w:rsidRDefault="004C460D" w14:paraId="28424C11" w14:textId="4F09012E">
            <w:pPr>
              <w:rPr>
                <w:b/>
                <w:bCs/>
              </w:rPr>
            </w:pPr>
            <w:r w:rsidRPr="00467C2F">
              <w:rPr>
                <w:b/>
                <w:bCs/>
              </w:rPr>
              <w:t>Zie bijlage 2.</w:t>
            </w:r>
          </w:p>
          <w:p w:rsidRPr="00467C2F" w:rsidR="004C460D" w:rsidP="004C460D" w:rsidRDefault="004C460D" w14:paraId="24A44848" w14:textId="77777777"/>
        </w:tc>
        <w:tc>
          <w:tcPr>
            <w:tcW w:w="430" w:type="dxa"/>
          </w:tcPr>
          <w:p w:rsidRPr="00467C2F" w:rsidR="004C460D" w:rsidP="008309F1" w:rsidRDefault="004C460D" w14:paraId="3662BDE3" w14:textId="77777777">
            <w:pPr>
              <w:jc w:val="right"/>
            </w:pPr>
            <w:r w:rsidRPr="00467C2F">
              <w:t>20</w:t>
            </w:r>
          </w:p>
        </w:tc>
        <w:tc>
          <w:tcPr>
            <w:tcW w:w="567" w:type="dxa"/>
          </w:tcPr>
          <w:p w:rsidR="004C460D" w:rsidP="008309F1" w:rsidRDefault="004C460D" w14:paraId="051B6D3C" w14:textId="77777777">
            <w:pPr>
              <w:jc w:val="right"/>
            </w:pPr>
            <w:r w:rsidRPr="00467C2F">
              <w:t>20</w:t>
            </w:r>
            <w:r>
              <w:t xml:space="preserve"> </w:t>
            </w:r>
          </w:p>
        </w:tc>
      </w:tr>
    </w:tbl>
    <w:p w:rsidR="00A20612" w:rsidRDefault="00A20612" w14:paraId="3CD06D2A" w14:textId="77777777"/>
    <w:sectPr w:rsidR="00A20612" w:rsidSect="00B915EC">
      <w:footerReference w:type="defaul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902F" w14:textId="77777777" w:rsidR="001A47AF" w:rsidRDefault="001A47AF">
      <w:pPr>
        <w:spacing w:before="0" w:after="0"/>
      </w:pPr>
      <w:r>
        <w:separator/>
      </w:r>
    </w:p>
  </w:endnote>
  <w:endnote w:type="continuationSeparator" w:id="0">
    <w:p w14:paraId="2DF53290" w14:textId="77777777" w:rsidR="001A47AF" w:rsidRDefault="001A47AF">
      <w:pPr>
        <w:spacing w:before="0" w:after="0"/>
      </w:pPr>
      <w:r>
        <w:continuationSeparator/>
      </w:r>
    </w:p>
  </w:endnote>
  <w:endnote w:type="continuationNotice" w:id="1">
    <w:p w14:paraId="7A9955E2" w14:textId="77777777" w:rsidR="00FB2151" w:rsidRDefault="00FB21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1B9D" w14:textId="77777777" w:rsidR="00A20612" w:rsidRDefault="001856D0">
    <w:pPr>
      <w:pStyle w:val="Footer"/>
    </w:pPr>
    <w:r>
      <w:t xml:space="preserve">Totaallijst feitelijke vragen Wijziging van de begrotingsstaat voor Buitenlandse Handel en Ontwikkelingshulp (XVII) voor het jaar 2025 (wijziging samenhangende met de Miljoenennota) (36820-XVII-1-2)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C433E1">
      <w:fldChar w:fldCharType="begin"/>
    </w:r>
    <w:r w:rsidR="00C433E1">
      <w:instrText xml:space="preserve"> NUMPAGES   \* MERGEFORMAT </w:instrText>
    </w:r>
    <w:r w:rsidR="00C433E1">
      <w:fldChar w:fldCharType="separate"/>
    </w:r>
    <w:r>
      <w:t>1</w:t>
    </w:r>
    <w:r w:rsidR="00C433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1B31" w14:textId="77777777" w:rsidR="001A47AF" w:rsidRDefault="001A47AF">
      <w:pPr>
        <w:spacing w:before="0" w:after="0"/>
      </w:pPr>
      <w:r>
        <w:separator/>
      </w:r>
    </w:p>
  </w:footnote>
  <w:footnote w:type="continuationSeparator" w:id="0">
    <w:p w14:paraId="3A9A93FA" w14:textId="77777777" w:rsidR="001A47AF" w:rsidRDefault="001A47AF">
      <w:pPr>
        <w:spacing w:before="0" w:after="0"/>
      </w:pPr>
      <w:r>
        <w:continuationSeparator/>
      </w:r>
    </w:p>
  </w:footnote>
  <w:footnote w:type="continuationNotice" w:id="1">
    <w:p w14:paraId="438ABC0F" w14:textId="77777777" w:rsidR="00FB2151" w:rsidRDefault="00FB2151">
      <w:pPr>
        <w:spacing w:before="0" w:after="0"/>
      </w:pPr>
    </w:p>
  </w:footnote>
  <w:footnote w:id="2">
    <w:p w14:paraId="5AAC6E9B" w14:textId="77777777" w:rsidR="00752322" w:rsidRPr="00752322" w:rsidRDefault="00752322" w:rsidP="00752322">
      <w:pPr>
        <w:pStyle w:val="FootnoteText"/>
      </w:pPr>
      <w:r>
        <w:rPr>
          <w:rStyle w:val="FootnoteReference"/>
        </w:rPr>
        <w:footnoteRef/>
      </w:r>
      <w:r>
        <w:t xml:space="preserve"> </w:t>
      </w:r>
      <w:hyperlink r:id="rId1" w:anchor="/CBS/nl/dataset/85428NED/table?ts=1758807643893" w:history="1">
        <w:proofErr w:type="spellStart"/>
        <w:r w:rsidRPr="00752322">
          <w:rPr>
            <w:rStyle w:val="Hyperlink"/>
          </w:rPr>
          <w:t>StatLine</w:t>
        </w:r>
        <w:proofErr w:type="spellEnd"/>
        <w:r w:rsidRPr="00752322">
          <w:rPr>
            <w:rStyle w:val="Hyperlink"/>
          </w:rPr>
          <w:t xml:space="preserve"> - Internationale goederenhandel; eigendomsoverdracht, SITC (3 </w:t>
        </w:r>
        <w:proofErr w:type="spellStart"/>
        <w:r w:rsidRPr="00752322">
          <w:rPr>
            <w:rStyle w:val="Hyperlink"/>
          </w:rPr>
          <w:t>digits</w:t>
        </w:r>
        <w:proofErr w:type="spellEnd"/>
        <w:r w:rsidRPr="00752322">
          <w:rPr>
            <w:rStyle w:val="Hyperlink"/>
          </w:rPr>
          <w:t>)</w:t>
        </w:r>
      </w:hyperlink>
    </w:p>
    <w:p w14:paraId="504E3974" w14:textId="6E57E84E" w:rsidR="00752322" w:rsidRPr="00752322" w:rsidRDefault="00C433E1">
      <w:pPr>
        <w:pStyle w:val="FootnoteText"/>
      </w:pPr>
      <w:hyperlink r:id="rId2" w:anchor="/CBS/nl/dataset/84765NED/table?ts=1758802814683" w:history="1">
        <w:proofErr w:type="spellStart"/>
        <w:r w:rsidR="00752322" w:rsidRPr="00752322">
          <w:rPr>
            <w:rStyle w:val="Hyperlink"/>
          </w:rPr>
          <w:t>StatLine</w:t>
        </w:r>
        <w:proofErr w:type="spellEnd"/>
        <w:r w:rsidR="00752322" w:rsidRPr="00752322">
          <w:rPr>
            <w:rStyle w:val="Hyperlink"/>
          </w:rPr>
          <w:t xml:space="preserve"> - Internationale handel; invoer en uitvoer van diensten naar land, kwartaal</w:t>
        </w:r>
      </w:hyperlink>
    </w:p>
  </w:footnote>
  <w:footnote w:id="3">
    <w:p w14:paraId="3FCC807D" w14:textId="5D178534" w:rsidR="004C460D" w:rsidRPr="001D74ED" w:rsidRDefault="004C460D">
      <w:pPr>
        <w:pStyle w:val="FootnoteText"/>
        <w:rPr>
          <w:lang w:val="en-US"/>
        </w:rPr>
      </w:pPr>
      <w:r>
        <w:rPr>
          <w:rStyle w:val="FootnoteReference"/>
        </w:rPr>
        <w:footnoteRef/>
      </w:r>
      <w:r>
        <w:t xml:space="preserve"> </w:t>
      </w:r>
      <w:hyperlink r:id="rId3" w:history="1">
        <w:r>
          <w:rPr>
            <w:rStyle w:val="Hyperlink"/>
          </w:rPr>
          <w:t>Kamerbrief NL inzet Ukraine Recovery Conference (URC) Rome 2025 (overheid.nl)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8EC"/>
    <w:multiLevelType w:val="hybridMultilevel"/>
    <w:tmpl w:val="8FFE9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F278CB"/>
    <w:multiLevelType w:val="hybridMultilevel"/>
    <w:tmpl w:val="ACB66A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95A7726"/>
    <w:multiLevelType w:val="hybridMultilevel"/>
    <w:tmpl w:val="9CF86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985EB5"/>
    <w:multiLevelType w:val="hybridMultilevel"/>
    <w:tmpl w:val="3370B50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62B6714"/>
    <w:multiLevelType w:val="hybridMultilevel"/>
    <w:tmpl w:val="5BF2BFB8"/>
    <w:lvl w:ilvl="0" w:tplc="02C461D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A173A06"/>
    <w:multiLevelType w:val="hybridMultilevel"/>
    <w:tmpl w:val="771275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052475F"/>
    <w:multiLevelType w:val="hybridMultilevel"/>
    <w:tmpl w:val="24764784"/>
    <w:lvl w:ilvl="0" w:tplc="99EC84F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AE90341"/>
    <w:multiLevelType w:val="hybridMultilevel"/>
    <w:tmpl w:val="077684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42725829">
    <w:abstractNumId w:val="4"/>
  </w:num>
  <w:num w:numId="2" w16cid:durableId="2087604600">
    <w:abstractNumId w:val="5"/>
  </w:num>
  <w:num w:numId="3" w16cid:durableId="29771203">
    <w:abstractNumId w:val="1"/>
  </w:num>
  <w:num w:numId="4" w16cid:durableId="154809665">
    <w:abstractNumId w:val="2"/>
  </w:num>
  <w:num w:numId="5" w16cid:durableId="311981382">
    <w:abstractNumId w:val="0"/>
  </w:num>
  <w:num w:numId="6" w16cid:durableId="227964772">
    <w:abstractNumId w:val="7"/>
  </w:num>
  <w:num w:numId="7" w16cid:durableId="1756588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5771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047"/>
    <w:rsid w:val="000010E6"/>
    <w:rsid w:val="00001A41"/>
    <w:rsid w:val="00014CE1"/>
    <w:rsid w:val="00015891"/>
    <w:rsid w:val="00021F85"/>
    <w:rsid w:val="00026B67"/>
    <w:rsid w:val="00031780"/>
    <w:rsid w:val="00031B47"/>
    <w:rsid w:val="00032B53"/>
    <w:rsid w:val="000332FF"/>
    <w:rsid w:val="0003432D"/>
    <w:rsid w:val="00035395"/>
    <w:rsid w:val="000420A1"/>
    <w:rsid w:val="00044653"/>
    <w:rsid w:val="00045036"/>
    <w:rsid w:val="0004606F"/>
    <w:rsid w:val="00047B63"/>
    <w:rsid w:val="0005666C"/>
    <w:rsid w:val="00060FFA"/>
    <w:rsid w:val="0006109A"/>
    <w:rsid w:val="00061946"/>
    <w:rsid w:val="0006220D"/>
    <w:rsid w:val="0006375A"/>
    <w:rsid w:val="00064B0E"/>
    <w:rsid w:val="0006562F"/>
    <w:rsid w:val="00065898"/>
    <w:rsid w:val="00067616"/>
    <w:rsid w:val="00072E31"/>
    <w:rsid w:val="00073319"/>
    <w:rsid w:val="0007428E"/>
    <w:rsid w:val="000749A0"/>
    <w:rsid w:val="000769B2"/>
    <w:rsid w:val="000824D7"/>
    <w:rsid w:val="000845B3"/>
    <w:rsid w:val="00090F27"/>
    <w:rsid w:val="00095F7E"/>
    <w:rsid w:val="000977E3"/>
    <w:rsid w:val="000A2168"/>
    <w:rsid w:val="000A22F1"/>
    <w:rsid w:val="000A2DF3"/>
    <w:rsid w:val="000A2F42"/>
    <w:rsid w:val="000A2FC2"/>
    <w:rsid w:val="000A40FA"/>
    <w:rsid w:val="000B20EB"/>
    <w:rsid w:val="000B33D5"/>
    <w:rsid w:val="000B3BB4"/>
    <w:rsid w:val="000B3BB6"/>
    <w:rsid w:val="000B6587"/>
    <w:rsid w:val="000B7E1D"/>
    <w:rsid w:val="000C2043"/>
    <w:rsid w:val="000C27A2"/>
    <w:rsid w:val="000C35C7"/>
    <w:rsid w:val="000C3923"/>
    <w:rsid w:val="000C3BD0"/>
    <w:rsid w:val="000C4A08"/>
    <w:rsid w:val="000C4C49"/>
    <w:rsid w:val="000C4CD5"/>
    <w:rsid w:val="000C4DB7"/>
    <w:rsid w:val="000C62F4"/>
    <w:rsid w:val="000C7172"/>
    <w:rsid w:val="000D2194"/>
    <w:rsid w:val="000D4683"/>
    <w:rsid w:val="000D52D9"/>
    <w:rsid w:val="000D6D25"/>
    <w:rsid w:val="000D703C"/>
    <w:rsid w:val="000E0E20"/>
    <w:rsid w:val="000E12E4"/>
    <w:rsid w:val="000E4315"/>
    <w:rsid w:val="000E5DE9"/>
    <w:rsid w:val="000E6370"/>
    <w:rsid w:val="000E6A35"/>
    <w:rsid w:val="000F3C62"/>
    <w:rsid w:val="000F4304"/>
    <w:rsid w:val="00101C80"/>
    <w:rsid w:val="001031F1"/>
    <w:rsid w:val="00104818"/>
    <w:rsid w:val="00106667"/>
    <w:rsid w:val="00107C4A"/>
    <w:rsid w:val="001102A9"/>
    <w:rsid w:val="0011063A"/>
    <w:rsid w:val="00112849"/>
    <w:rsid w:val="00117AFC"/>
    <w:rsid w:val="00124671"/>
    <w:rsid w:val="001268CA"/>
    <w:rsid w:val="00126C45"/>
    <w:rsid w:val="00127823"/>
    <w:rsid w:val="0013178A"/>
    <w:rsid w:val="00131BC2"/>
    <w:rsid w:val="00131EEF"/>
    <w:rsid w:val="00136402"/>
    <w:rsid w:val="00144CE3"/>
    <w:rsid w:val="00146DAF"/>
    <w:rsid w:val="001510D6"/>
    <w:rsid w:val="00151636"/>
    <w:rsid w:val="00152708"/>
    <w:rsid w:val="0015743A"/>
    <w:rsid w:val="00162210"/>
    <w:rsid w:val="00162603"/>
    <w:rsid w:val="001661CD"/>
    <w:rsid w:val="00171020"/>
    <w:rsid w:val="00171ABE"/>
    <w:rsid w:val="001809F0"/>
    <w:rsid w:val="00181415"/>
    <w:rsid w:val="00181E88"/>
    <w:rsid w:val="00181EF6"/>
    <w:rsid w:val="001856D0"/>
    <w:rsid w:val="00190933"/>
    <w:rsid w:val="0019100E"/>
    <w:rsid w:val="00192868"/>
    <w:rsid w:val="001938C5"/>
    <w:rsid w:val="0019765F"/>
    <w:rsid w:val="001A0E6A"/>
    <w:rsid w:val="001A3D97"/>
    <w:rsid w:val="001A47AF"/>
    <w:rsid w:val="001A56AB"/>
    <w:rsid w:val="001A5E2C"/>
    <w:rsid w:val="001B0787"/>
    <w:rsid w:val="001B2291"/>
    <w:rsid w:val="001B3015"/>
    <w:rsid w:val="001B3804"/>
    <w:rsid w:val="001B5200"/>
    <w:rsid w:val="001C256C"/>
    <w:rsid w:val="001C25B2"/>
    <w:rsid w:val="001C60E9"/>
    <w:rsid w:val="001C7F18"/>
    <w:rsid w:val="001C7F69"/>
    <w:rsid w:val="001D1FB4"/>
    <w:rsid w:val="001D3046"/>
    <w:rsid w:val="001D3C76"/>
    <w:rsid w:val="001D5C89"/>
    <w:rsid w:val="001D6879"/>
    <w:rsid w:val="001D74ED"/>
    <w:rsid w:val="001E0241"/>
    <w:rsid w:val="001E0A91"/>
    <w:rsid w:val="001E616A"/>
    <w:rsid w:val="001E72F3"/>
    <w:rsid w:val="001E7CE7"/>
    <w:rsid w:val="001F2534"/>
    <w:rsid w:val="001F4C4F"/>
    <w:rsid w:val="001F61B2"/>
    <w:rsid w:val="001F697F"/>
    <w:rsid w:val="002001F7"/>
    <w:rsid w:val="00204DBB"/>
    <w:rsid w:val="00204EE8"/>
    <w:rsid w:val="00205CAA"/>
    <w:rsid w:val="00205EF1"/>
    <w:rsid w:val="0021058D"/>
    <w:rsid w:val="002105EA"/>
    <w:rsid w:val="0021134D"/>
    <w:rsid w:val="00213BA5"/>
    <w:rsid w:val="00215260"/>
    <w:rsid w:val="0021630D"/>
    <w:rsid w:val="0021670E"/>
    <w:rsid w:val="0021679D"/>
    <w:rsid w:val="002171A9"/>
    <w:rsid w:val="0022080C"/>
    <w:rsid w:val="00221041"/>
    <w:rsid w:val="00222500"/>
    <w:rsid w:val="00224986"/>
    <w:rsid w:val="002259D4"/>
    <w:rsid w:val="0022695D"/>
    <w:rsid w:val="00227714"/>
    <w:rsid w:val="00233694"/>
    <w:rsid w:val="00233C9A"/>
    <w:rsid w:val="002353C8"/>
    <w:rsid w:val="00235C57"/>
    <w:rsid w:val="00235E1A"/>
    <w:rsid w:val="002368D7"/>
    <w:rsid w:val="0024122B"/>
    <w:rsid w:val="00244D00"/>
    <w:rsid w:val="002453EE"/>
    <w:rsid w:val="00245EBC"/>
    <w:rsid w:val="00246506"/>
    <w:rsid w:val="00246AF7"/>
    <w:rsid w:val="00250173"/>
    <w:rsid w:val="00251391"/>
    <w:rsid w:val="00252A57"/>
    <w:rsid w:val="0025318A"/>
    <w:rsid w:val="002547F4"/>
    <w:rsid w:val="00257D54"/>
    <w:rsid w:val="002619E7"/>
    <w:rsid w:val="00263787"/>
    <w:rsid w:val="00263955"/>
    <w:rsid w:val="00265EE0"/>
    <w:rsid w:val="002664C0"/>
    <w:rsid w:val="00267F7C"/>
    <w:rsid w:val="00270D48"/>
    <w:rsid w:val="002719F5"/>
    <w:rsid w:val="002763BB"/>
    <w:rsid w:val="00277F13"/>
    <w:rsid w:val="002815B1"/>
    <w:rsid w:val="00285712"/>
    <w:rsid w:val="00291BED"/>
    <w:rsid w:val="00295896"/>
    <w:rsid w:val="002965AC"/>
    <w:rsid w:val="002A047E"/>
    <w:rsid w:val="002B067A"/>
    <w:rsid w:val="002B2A12"/>
    <w:rsid w:val="002B633A"/>
    <w:rsid w:val="002B6A2F"/>
    <w:rsid w:val="002C1C06"/>
    <w:rsid w:val="002C205E"/>
    <w:rsid w:val="002C61FB"/>
    <w:rsid w:val="002D01B2"/>
    <w:rsid w:val="002D1647"/>
    <w:rsid w:val="002D2B76"/>
    <w:rsid w:val="002D4E16"/>
    <w:rsid w:val="002D6442"/>
    <w:rsid w:val="002E1CAD"/>
    <w:rsid w:val="002E1E4D"/>
    <w:rsid w:val="002E73D2"/>
    <w:rsid w:val="002F148C"/>
    <w:rsid w:val="002F292E"/>
    <w:rsid w:val="002F5034"/>
    <w:rsid w:val="00300203"/>
    <w:rsid w:val="003043A2"/>
    <w:rsid w:val="0031311B"/>
    <w:rsid w:val="003150DE"/>
    <w:rsid w:val="00315FAD"/>
    <w:rsid w:val="003203EA"/>
    <w:rsid w:val="00325232"/>
    <w:rsid w:val="00325647"/>
    <w:rsid w:val="00326C4A"/>
    <w:rsid w:val="00330F0E"/>
    <w:rsid w:val="003311E9"/>
    <w:rsid w:val="003333E8"/>
    <w:rsid w:val="00334E14"/>
    <w:rsid w:val="00335710"/>
    <w:rsid w:val="0034084E"/>
    <w:rsid w:val="003442FB"/>
    <w:rsid w:val="00347525"/>
    <w:rsid w:val="00347F78"/>
    <w:rsid w:val="00350689"/>
    <w:rsid w:val="00350DAF"/>
    <w:rsid w:val="00355370"/>
    <w:rsid w:val="0036212B"/>
    <w:rsid w:val="003639EC"/>
    <w:rsid w:val="00363A03"/>
    <w:rsid w:val="003663E0"/>
    <w:rsid w:val="00371302"/>
    <w:rsid w:val="0037351A"/>
    <w:rsid w:val="0038540C"/>
    <w:rsid w:val="00392998"/>
    <w:rsid w:val="00394796"/>
    <w:rsid w:val="00394C5A"/>
    <w:rsid w:val="00395045"/>
    <w:rsid w:val="003A12FD"/>
    <w:rsid w:val="003A1A38"/>
    <w:rsid w:val="003A4207"/>
    <w:rsid w:val="003A57B1"/>
    <w:rsid w:val="003A6BAB"/>
    <w:rsid w:val="003B23A7"/>
    <w:rsid w:val="003B6D09"/>
    <w:rsid w:val="003C1D19"/>
    <w:rsid w:val="003C3DE6"/>
    <w:rsid w:val="003C4F19"/>
    <w:rsid w:val="003C76E1"/>
    <w:rsid w:val="003D0E1D"/>
    <w:rsid w:val="003D44DD"/>
    <w:rsid w:val="003D52E3"/>
    <w:rsid w:val="003D5CBE"/>
    <w:rsid w:val="003D75F3"/>
    <w:rsid w:val="003D7E33"/>
    <w:rsid w:val="003E0AA1"/>
    <w:rsid w:val="003E5F7E"/>
    <w:rsid w:val="003E6CC4"/>
    <w:rsid w:val="003E7C10"/>
    <w:rsid w:val="003F53C6"/>
    <w:rsid w:val="003F6EFF"/>
    <w:rsid w:val="003F6F9F"/>
    <w:rsid w:val="00400AD2"/>
    <w:rsid w:val="00401C01"/>
    <w:rsid w:val="00403C6B"/>
    <w:rsid w:val="004041B7"/>
    <w:rsid w:val="0040725D"/>
    <w:rsid w:val="0041143B"/>
    <w:rsid w:val="00411E77"/>
    <w:rsid w:val="004128DB"/>
    <w:rsid w:val="0041468C"/>
    <w:rsid w:val="00414A5E"/>
    <w:rsid w:val="00416602"/>
    <w:rsid w:val="00417743"/>
    <w:rsid w:val="00417886"/>
    <w:rsid w:val="004206F8"/>
    <w:rsid w:val="00422050"/>
    <w:rsid w:val="00422B8C"/>
    <w:rsid w:val="00422F40"/>
    <w:rsid w:val="0042777A"/>
    <w:rsid w:val="004371A6"/>
    <w:rsid w:val="00443C65"/>
    <w:rsid w:val="004441DE"/>
    <w:rsid w:val="0044530F"/>
    <w:rsid w:val="00445421"/>
    <w:rsid w:val="00450B7E"/>
    <w:rsid w:val="00452086"/>
    <w:rsid w:val="00452EC1"/>
    <w:rsid w:val="00454369"/>
    <w:rsid w:val="004546AA"/>
    <w:rsid w:val="004546D7"/>
    <w:rsid w:val="00456B85"/>
    <w:rsid w:val="00456ECD"/>
    <w:rsid w:val="00467298"/>
    <w:rsid w:val="00467C2F"/>
    <w:rsid w:val="00470B61"/>
    <w:rsid w:val="004729A8"/>
    <w:rsid w:val="00474198"/>
    <w:rsid w:val="00474F6C"/>
    <w:rsid w:val="004807A3"/>
    <w:rsid w:val="00480BF6"/>
    <w:rsid w:val="00481439"/>
    <w:rsid w:val="004831EF"/>
    <w:rsid w:val="00485E68"/>
    <w:rsid w:val="0048770B"/>
    <w:rsid w:val="004923ED"/>
    <w:rsid w:val="00492440"/>
    <w:rsid w:val="004A546C"/>
    <w:rsid w:val="004A6056"/>
    <w:rsid w:val="004B1866"/>
    <w:rsid w:val="004B1E80"/>
    <w:rsid w:val="004B4EBE"/>
    <w:rsid w:val="004B6406"/>
    <w:rsid w:val="004C1C71"/>
    <w:rsid w:val="004C28E5"/>
    <w:rsid w:val="004C2A77"/>
    <w:rsid w:val="004C2F67"/>
    <w:rsid w:val="004C460D"/>
    <w:rsid w:val="004C6050"/>
    <w:rsid w:val="004D05B6"/>
    <w:rsid w:val="004D28EB"/>
    <w:rsid w:val="004D2D9C"/>
    <w:rsid w:val="004D34DC"/>
    <w:rsid w:val="004D38DE"/>
    <w:rsid w:val="004D3DC7"/>
    <w:rsid w:val="004E20E8"/>
    <w:rsid w:val="004E58B7"/>
    <w:rsid w:val="004E7F18"/>
    <w:rsid w:val="004F3DAB"/>
    <w:rsid w:val="004F69DE"/>
    <w:rsid w:val="004F76A3"/>
    <w:rsid w:val="00500CDA"/>
    <w:rsid w:val="005026C7"/>
    <w:rsid w:val="00502EF2"/>
    <w:rsid w:val="00504904"/>
    <w:rsid w:val="005061AC"/>
    <w:rsid w:val="00506A77"/>
    <w:rsid w:val="00510068"/>
    <w:rsid w:val="005114ED"/>
    <w:rsid w:val="0051195D"/>
    <w:rsid w:val="00512693"/>
    <w:rsid w:val="005170EB"/>
    <w:rsid w:val="005318A0"/>
    <w:rsid w:val="00531E14"/>
    <w:rsid w:val="00535AFC"/>
    <w:rsid w:val="00536C31"/>
    <w:rsid w:val="005454E4"/>
    <w:rsid w:val="00547CCF"/>
    <w:rsid w:val="00550234"/>
    <w:rsid w:val="0055101E"/>
    <w:rsid w:val="005541E8"/>
    <w:rsid w:val="005543A7"/>
    <w:rsid w:val="00557DFF"/>
    <w:rsid w:val="00565DAE"/>
    <w:rsid w:val="00566BEE"/>
    <w:rsid w:val="00580B37"/>
    <w:rsid w:val="00582E7E"/>
    <w:rsid w:val="005834A3"/>
    <w:rsid w:val="005913C7"/>
    <w:rsid w:val="005929EC"/>
    <w:rsid w:val="00593EBB"/>
    <w:rsid w:val="00594A10"/>
    <w:rsid w:val="00597C12"/>
    <w:rsid w:val="00597E37"/>
    <w:rsid w:val="005A0D3C"/>
    <w:rsid w:val="005A268B"/>
    <w:rsid w:val="005A28D8"/>
    <w:rsid w:val="005A38E2"/>
    <w:rsid w:val="005A7681"/>
    <w:rsid w:val="005B0924"/>
    <w:rsid w:val="005B16E1"/>
    <w:rsid w:val="005B37C6"/>
    <w:rsid w:val="005B3BCE"/>
    <w:rsid w:val="005B5EA9"/>
    <w:rsid w:val="005B64DD"/>
    <w:rsid w:val="005C0695"/>
    <w:rsid w:val="005C2F83"/>
    <w:rsid w:val="005C53FC"/>
    <w:rsid w:val="005C5864"/>
    <w:rsid w:val="005C6273"/>
    <w:rsid w:val="005C7EE5"/>
    <w:rsid w:val="005D03A0"/>
    <w:rsid w:val="005D31DF"/>
    <w:rsid w:val="005D4293"/>
    <w:rsid w:val="005D47C7"/>
    <w:rsid w:val="005D4813"/>
    <w:rsid w:val="005D535C"/>
    <w:rsid w:val="005E1885"/>
    <w:rsid w:val="005E786D"/>
    <w:rsid w:val="005E7ED6"/>
    <w:rsid w:val="005F125C"/>
    <w:rsid w:val="005F29CF"/>
    <w:rsid w:val="005F558B"/>
    <w:rsid w:val="005F7173"/>
    <w:rsid w:val="006044F5"/>
    <w:rsid w:val="006071ED"/>
    <w:rsid w:val="00611B64"/>
    <w:rsid w:val="0061255E"/>
    <w:rsid w:val="00614927"/>
    <w:rsid w:val="006166D3"/>
    <w:rsid w:val="0062111D"/>
    <w:rsid w:val="00621707"/>
    <w:rsid w:val="00621C89"/>
    <w:rsid w:val="00622524"/>
    <w:rsid w:val="00623721"/>
    <w:rsid w:val="00624700"/>
    <w:rsid w:val="00631C7E"/>
    <w:rsid w:val="006355B3"/>
    <w:rsid w:val="00635E60"/>
    <w:rsid w:val="00647D9B"/>
    <w:rsid w:val="0065088B"/>
    <w:rsid w:val="00652509"/>
    <w:rsid w:val="00653A36"/>
    <w:rsid w:val="006572B3"/>
    <w:rsid w:val="00660760"/>
    <w:rsid w:val="00663D57"/>
    <w:rsid w:val="00671FCB"/>
    <w:rsid w:val="006755C7"/>
    <w:rsid w:val="0067647E"/>
    <w:rsid w:val="00680A11"/>
    <w:rsid w:val="00681510"/>
    <w:rsid w:val="006824C0"/>
    <w:rsid w:val="006826C7"/>
    <w:rsid w:val="00683A73"/>
    <w:rsid w:val="00683E92"/>
    <w:rsid w:val="0068567E"/>
    <w:rsid w:val="00685E9C"/>
    <w:rsid w:val="0068717D"/>
    <w:rsid w:val="00691EC0"/>
    <w:rsid w:val="00693BF2"/>
    <w:rsid w:val="006975C0"/>
    <w:rsid w:val="006A1526"/>
    <w:rsid w:val="006A2B12"/>
    <w:rsid w:val="006A4768"/>
    <w:rsid w:val="006A482F"/>
    <w:rsid w:val="006A5E49"/>
    <w:rsid w:val="006A6065"/>
    <w:rsid w:val="006A67AE"/>
    <w:rsid w:val="006A6915"/>
    <w:rsid w:val="006B30BA"/>
    <w:rsid w:val="006B3773"/>
    <w:rsid w:val="006B69F0"/>
    <w:rsid w:val="006C0B10"/>
    <w:rsid w:val="006C0D17"/>
    <w:rsid w:val="006C2471"/>
    <w:rsid w:val="006C523F"/>
    <w:rsid w:val="006C7D83"/>
    <w:rsid w:val="006D0319"/>
    <w:rsid w:val="006D7D02"/>
    <w:rsid w:val="006E0422"/>
    <w:rsid w:val="006E23E7"/>
    <w:rsid w:val="006E258E"/>
    <w:rsid w:val="006E2C39"/>
    <w:rsid w:val="006E39E7"/>
    <w:rsid w:val="006E42BE"/>
    <w:rsid w:val="006E590D"/>
    <w:rsid w:val="006E70B8"/>
    <w:rsid w:val="006E76AC"/>
    <w:rsid w:val="006F44FF"/>
    <w:rsid w:val="007126B8"/>
    <w:rsid w:val="00721B9B"/>
    <w:rsid w:val="007224BB"/>
    <w:rsid w:val="00723221"/>
    <w:rsid w:val="007241C9"/>
    <w:rsid w:val="00724AAF"/>
    <w:rsid w:val="00725912"/>
    <w:rsid w:val="00733501"/>
    <w:rsid w:val="00734407"/>
    <w:rsid w:val="00735646"/>
    <w:rsid w:val="0074057E"/>
    <w:rsid w:val="00741618"/>
    <w:rsid w:val="00741ADA"/>
    <w:rsid w:val="00744BC2"/>
    <w:rsid w:val="00751BAD"/>
    <w:rsid w:val="00752322"/>
    <w:rsid w:val="007531A9"/>
    <w:rsid w:val="007556CD"/>
    <w:rsid w:val="00755E1A"/>
    <w:rsid w:val="007566E0"/>
    <w:rsid w:val="00757070"/>
    <w:rsid w:val="007618B0"/>
    <w:rsid w:val="00762B40"/>
    <w:rsid w:val="0076306D"/>
    <w:rsid w:val="00771511"/>
    <w:rsid w:val="00772CE0"/>
    <w:rsid w:val="007747B3"/>
    <w:rsid w:val="00774A5C"/>
    <w:rsid w:val="00775731"/>
    <w:rsid w:val="0079084A"/>
    <w:rsid w:val="007A2A5C"/>
    <w:rsid w:val="007A4419"/>
    <w:rsid w:val="007A7D7A"/>
    <w:rsid w:val="007B6DB2"/>
    <w:rsid w:val="007C0A64"/>
    <w:rsid w:val="007C1117"/>
    <w:rsid w:val="007C11E6"/>
    <w:rsid w:val="007C5DF8"/>
    <w:rsid w:val="007C64A7"/>
    <w:rsid w:val="007D5BCD"/>
    <w:rsid w:val="007D651A"/>
    <w:rsid w:val="007E1626"/>
    <w:rsid w:val="007E1852"/>
    <w:rsid w:val="007E2344"/>
    <w:rsid w:val="007E7F93"/>
    <w:rsid w:val="007F2315"/>
    <w:rsid w:val="007F2382"/>
    <w:rsid w:val="007F62D0"/>
    <w:rsid w:val="00805B90"/>
    <w:rsid w:val="00807F29"/>
    <w:rsid w:val="008106A2"/>
    <w:rsid w:val="00812658"/>
    <w:rsid w:val="00812903"/>
    <w:rsid w:val="0081599C"/>
    <w:rsid w:val="00815D2E"/>
    <w:rsid w:val="00821F40"/>
    <w:rsid w:val="00824434"/>
    <w:rsid w:val="00824F8A"/>
    <w:rsid w:val="00827201"/>
    <w:rsid w:val="00830186"/>
    <w:rsid w:val="008309F1"/>
    <w:rsid w:val="00834406"/>
    <w:rsid w:val="00837570"/>
    <w:rsid w:val="0085337C"/>
    <w:rsid w:val="008538E7"/>
    <w:rsid w:val="00853AA5"/>
    <w:rsid w:val="008563AF"/>
    <w:rsid w:val="00857C7F"/>
    <w:rsid w:val="008618D3"/>
    <w:rsid w:val="0086457B"/>
    <w:rsid w:val="008646FC"/>
    <w:rsid w:val="00864743"/>
    <w:rsid w:val="008711EC"/>
    <w:rsid w:val="00872185"/>
    <w:rsid w:val="0087227C"/>
    <w:rsid w:val="008724B4"/>
    <w:rsid w:val="0087472D"/>
    <w:rsid w:val="00875525"/>
    <w:rsid w:val="00875732"/>
    <w:rsid w:val="00882064"/>
    <w:rsid w:val="00884267"/>
    <w:rsid w:val="0088486F"/>
    <w:rsid w:val="00887FD1"/>
    <w:rsid w:val="00890959"/>
    <w:rsid w:val="008909A5"/>
    <w:rsid w:val="008916EA"/>
    <w:rsid w:val="00891A6B"/>
    <w:rsid w:val="00894624"/>
    <w:rsid w:val="008A09B9"/>
    <w:rsid w:val="008A26C4"/>
    <w:rsid w:val="008A2FAC"/>
    <w:rsid w:val="008A3C51"/>
    <w:rsid w:val="008A47AD"/>
    <w:rsid w:val="008A71F5"/>
    <w:rsid w:val="008A7AF2"/>
    <w:rsid w:val="008A7CFE"/>
    <w:rsid w:val="008B073A"/>
    <w:rsid w:val="008B29E7"/>
    <w:rsid w:val="008B6FA2"/>
    <w:rsid w:val="008B71A3"/>
    <w:rsid w:val="008B7711"/>
    <w:rsid w:val="008C0215"/>
    <w:rsid w:val="008D321E"/>
    <w:rsid w:val="008D56EE"/>
    <w:rsid w:val="008D6C98"/>
    <w:rsid w:val="008D775B"/>
    <w:rsid w:val="008D7FBF"/>
    <w:rsid w:val="008E1402"/>
    <w:rsid w:val="008E25A7"/>
    <w:rsid w:val="008E27C0"/>
    <w:rsid w:val="008E3D64"/>
    <w:rsid w:val="008E6695"/>
    <w:rsid w:val="008E72F3"/>
    <w:rsid w:val="008F0095"/>
    <w:rsid w:val="008F22D7"/>
    <w:rsid w:val="008F2438"/>
    <w:rsid w:val="008F2478"/>
    <w:rsid w:val="008F3F99"/>
    <w:rsid w:val="008F6E8B"/>
    <w:rsid w:val="008F76B4"/>
    <w:rsid w:val="00900991"/>
    <w:rsid w:val="00901934"/>
    <w:rsid w:val="009029AE"/>
    <w:rsid w:val="00903FAD"/>
    <w:rsid w:val="009074CD"/>
    <w:rsid w:val="009126C5"/>
    <w:rsid w:val="009243F1"/>
    <w:rsid w:val="00924A60"/>
    <w:rsid w:val="00930964"/>
    <w:rsid w:val="009359C5"/>
    <w:rsid w:val="009367BC"/>
    <w:rsid w:val="00941D0C"/>
    <w:rsid w:val="009441D1"/>
    <w:rsid w:val="0095107D"/>
    <w:rsid w:val="0095129C"/>
    <w:rsid w:val="00952A94"/>
    <w:rsid w:val="00953D7E"/>
    <w:rsid w:val="00955EB4"/>
    <w:rsid w:val="00960B65"/>
    <w:rsid w:val="00960C9B"/>
    <w:rsid w:val="0097115F"/>
    <w:rsid w:val="009714B1"/>
    <w:rsid w:val="00973551"/>
    <w:rsid w:val="00974FBE"/>
    <w:rsid w:val="00983FD1"/>
    <w:rsid w:val="00993F1B"/>
    <w:rsid w:val="00996BE9"/>
    <w:rsid w:val="009A0837"/>
    <w:rsid w:val="009A154B"/>
    <w:rsid w:val="009A2810"/>
    <w:rsid w:val="009A3F54"/>
    <w:rsid w:val="009A4993"/>
    <w:rsid w:val="009A4ED1"/>
    <w:rsid w:val="009A7274"/>
    <w:rsid w:val="009B487F"/>
    <w:rsid w:val="009C0B13"/>
    <w:rsid w:val="009C3494"/>
    <w:rsid w:val="009C370E"/>
    <w:rsid w:val="009D1D7A"/>
    <w:rsid w:val="009D486F"/>
    <w:rsid w:val="009D4C76"/>
    <w:rsid w:val="009D601B"/>
    <w:rsid w:val="009E3B1C"/>
    <w:rsid w:val="009E43E7"/>
    <w:rsid w:val="009F09C3"/>
    <w:rsid w:val="009F3316"/>
    <w:rsid w:val="009F6934"/>
    <w:rsid w:val="009F7C1C"/>
    <w:rsid w:val="00A00737"/>
    <w:rsid w:val="00A00F0A"/>
    <w:rsid w:val="00A032FA"/>
    <w:rsid w:val="00A044C8"/>
    <w:rsid w:val="00A04746"/>
    <w:rsid w:val="00A04AFE"/>
    <w:rsid w:val="00A04E4E"/>
    <w:rsid w:val="00A10CF3"/>
    <w:rsid w:val="00A116BF"/>
    <w:rsid w:val="00A1235C"/>
    <w:rsid w:val="00A13B72"/>
    <w:rsid w:val="00A13B92"/>
    <w:rsid w:val="00A16216"/>
    <w:rsid w:val="00A20612"/>
    <w:rsid w:val="00A20CA8"/>
    <w:rsid w:val="00A236BB"/>
    <w:rsid w:val="00A23E4B"/>
    <w:rsid w:val="00A35316"/>
    <w:rsid w:val="00A35377"/>
    <w:rsid w:val="00A364C4"/>
    <w:rsid w:val="00A40A3F"/>
    <w:rsid w:val="00A45F0B"/>
    <w:rsid w:val="00A46AE6"/>
    <w:rsid w:val="00A47B2D"/>
    <w:rsid w:val="00A500C9"/>
    <w:rsid w:val="00A524AE"/>
    <w:rsid w:val="00A524B3"/>
    <w:rsid w:val="00A53E15"/>
    <w:rsid w:val="00A56950"/>
    <w:rsid w:val="00A64B00"/>
    <w:rsid w:val="00A670C2"/>
    <w:rsid w:val="00A723CC"/>
    <w:rsid w:val="00A72A12"/>
    <w:rsid w:val="00A7379D"/>
    <w:rsid w:val="00A77A6B"/>
    <w:rsid w:val="00A77C3E"/>
    <w:rsid w:val="00A80EC6"/>
    <w:rsid w:val="00A850E8"/>
    <w:rsid w:val="00A8688A"/>
    <w:rsid w:val="00A87438"/>
    <w:rsid w:val="00A91C87"/>
    <w:rsid w:val="00A922D1"/>
    <w:rsid w:val="00A94ED2"/>
    <w:rsid w:val="00A97F33"/>
    <w:rsid w:val="00AA0E18"/>
    <w:rsid w:val="00AA16C7"/>
    <w:rsid w:val="00AA292E"/>
    <w:rsid w:val="00AB303B"/>
    <w:rsid w:val="00AB46D2"/>
    <w:rsid w:val="00AC0869"/>
    <w:rsid w:val="00AC51B8"/>
    <w:rsid w:val="00AC64BE"/>
    <w:rsid w:val="00AC655E"/>
    <w:rsid w:val="00AC7ED4"/>
    <w:rsid w:val="00AD0AF5"/>
    <w:rsid w:val="00AE0AC7"/>
    <w:rsid w:val="00AE2006"/>
    <w:rsid w:val="00AE211B"/>
    <w:rsid w:val="00AE364C"/>
    <w:rsid w:val="00AE3EE4"/>
    <w:rsid w:val="00AE6ABB"/>
    <w:rsid w:val="00AF0C66"/>
    <w:rsid w:val="00AF3F96"/>
    <w:rsid w:val="00AF45BF"/>
    <w:rsid w:val="00AF7592"/>
    <w:rsid w:val="00AF79C1"/>
    <w:rsid w:val="00B13071"/>
    <w:rsid w:val="00B21FA8"/>
    <w:rsid w:val="00B331D0"/>
    <w:rsid w:val="00B33282"/>
    <w:rsid w:val="00B3469F"/>
    <w:rsid w:val="00B368E3"/>
    <w:rsid w:val="00B37D46"/>
    <w:rsid w:val="00B420E5"/>
    <w:rsid w:val="00B44C5A"/>
    <w:rsid w:val="00B518CB"/>
    <w:rsid w:val="00B519A0"/>
    <w:rsid w:val="00B53734"/>
    <w:rsid w:val="00B60ECB"/>
    <w:rsid w:val="00B63908"/>
    <w:rsid w:val="00B64934"/>
    <w:rsid w:val="00B652BE"/>
    <w:rsid w:val="00B66700"/>
    <w:rsid w:val="00B70436"/>
    <w:rsid w:val="00B7307A"/>
    <w:rsid w:val="00B81FA9"/>
    <w:rsid w:val="00B915EC"/>
    <w:rsid w:val="00B95888"/>
    <w:rsid w:val="00B975C9"/>
    <w:rsid w:val="00BA13DC"/>
    <w:rsid w:val="00BA3465"/>
    <w:rsid w:val="00BA698E"/>
    <w:rsid w:val="00BA7141"/>
    <w:rsid w:val="00BA7B05"/>
    <w:rsid w:val="00BB2233"/>
    <w:rsid w:val="00BB4718"/>
    <w:rsid w:val="00BB75A1"/>
    <w:rsid w:val="00BB75C4"/>
    <w:rsid w:val="00BC1422"/>
    <w:rsid w:val="00BC5DB2"/>
    <w:rsid w:val="00BC7F50"/>
    <w:rsid w:val="00BD0934"/>
    <w:rsid w:val="00BD28AD"/>
    <w:rsid w:val="00BD6F50"/>
    <w:rsid w:val="00BD7406"/>
    <w:rsid w:val="00BF1C28"/>
    <w:rsid w:val="00BF5899"/>
    <w:rsid w:val="00C11037"/>
    <w:rsid w:val="00C12A8E"/>
    <w:rsid w:val="00C141F2"/>
    <w:rsid w:val="00C1497A"/>
    <w:rsid w:val="00C157D8"/>
    <w:rsid w:val="00C1731C"/>
    <w:rsid w:val="00C204C0"/>
    <w:rsid w:val="00C20954"/>
    <w:rsid w:val="00C259FB"/>
    <w:rsid w:val="00C25A94"/>
    <w:rsid w:val="00C266C9"/>
    <w:rsid w:val="00C27171"/>
    <w:rsid w:val="00C310E2"/>
    <w:rsid w:val="00C32FB1"/>
    <w:rsid w:val="00C332ED"/>
    <w:rsid w:val="00C34A12"/>
    <w:rsid w:val="00C36E15"/>
    <w:rsid w:val="00C43C5C"/>
    <w:rsid w:val="00C50A46"/>
    <w:rsid w:val="00C641FA"/>
    <w:rsid w:val="00C64AD2"/>
    <w:rsid w:val="00C64FC5"/>
    <w:rsid w:val="00C668BE"/>
    <w:rsid w:val="00C6712B"/>
    <w:rsid w:val="00C7052E"/>
    <w:rsid w:val="00C7341D"/>
    <w:rsid w:val="00C73430"/>
    <w:rsid w:val="00C7440D"/>
    <w:rsid w:val="00C749AF"/>
    <w:rsid w:val="00C75849"/>
    <w:rsid w:val="00C764E8"/>
    <w:rsid w:val="00C808E7"/>
    <w:rsid w:val="00C81DC2"/>
    <w:rsid w:val="00C8357F"/>
    <w:rsid w:val="00C85272"/>
    <w:rsid w:val="00C85300"/>
    <w:rsid w:val="00C86C4C"/>
    <w:rsid w:val="00C90E48"/>
    <w:rsid w:val="00C9249B"/>
    <w:rsid w:val="00C92659"/>
    <w:rsid w:val="00C93135"/>
    <w:rsid w:val="00C93E3B"/>
    <w:rsid w:val="00C96B18"/>
    <w:rsid w:val="00CA037E"/>
    <w:rsid w:val="00CA0679"/>
    <w:rsid w:val="00CA1416"/>
    <w:rsid w:val="00CA30AC"/>
    <w:rsid w:val="00CA32BB"/>
    <w:rsid w:val="00CA6962"/>
    <w:rsid w:val="00CA7A2E"/>
    <w:rsid w:val="00CB0EF9"/>
    <w:rsid w:val="00CB1FEA"/>
    <w:rsid w:val="00CB396F"/>
    <w:rsid w:val="00CB3E29"/>
    <w:rsid w:val="00CB69E9"/>
    <w:rsid w:val="00CB6FFC"/>
    <w:rsid w:val="00CC0D4C"/>
    <w:rsid w:val="00CC5C74"/>
    <w:rsid w:val="00CC7738"/>
    <w:rsid w:val="00CC7EB2"/>
    <w:rsid w:val="00CD3415"/>
    <w:rsid w:val="00CD57E7"/>
    <w:rsid w:val="00CD681B"/>
    <w:rsid w:val="00CE7049"/>
    <w:rsid w:val="00CF079F"/>
    <w:rsid w:val="00CF2C94"/>
    <w:rsid w:val="00CF572A"/>
    <w:rsid w:val="00CF5A13"/>
    <w:rsid w:val="00D00150"/>
    <w:rsid w:val="00D00EAB"/>
    <w:rsid w:val="00D0492D"/>
    <w:rsid w:val="00D07EA9"/>
    <w:rsid w:val="00D1122B"/>
    <w:rsid w:val="00D125C9"/>
    <w:rsid w:val="00D13177"/>
    <w:rsid w:val="00D17216"/>
    <w:rsid w:val="00D2132C"/>
    <w:rsid w:val="00D24380"/>
    <w:rsid w:val="00D25A02"/>
    <w:rsid w:val="00D25CFB"/>
    <w:rsid w:val="00D308C5"/>
    <w:rsid w:val="00D321C3"/>
    <w:rsid w:val="00D32ADE"/>
    <w:rsid w:val="00D3371C"/>
    <w:rsid w:val="00D33EAB"/>
    <w:rsid w:val="00D4038E"/>
    <w:rsid w:val="00D407AA"/>
    <w:rsid w:val="00D41D0B"/>
    <w:rsid w:val="00D44746"/>
    <w:rsid w:val="00D44919"/>
    <w:rsid w:val="00D5075D"/>
    <w:rsid w:val="00D520CD"/>
    <w:rsid w:val="00D52FF6"/>
    <w:rsid w:val="00D570E3"/>
    <w:rsid w:val="00D606B3"/>
    <w:rsid w:val="00D6071E"/>
    <w:rsid w:val="00D6327A"/>
    <w:rsid w:val="00D6530A"/>
    <w:rsid w:val="00D65520"/>
    <w:rsid w:val="00D664CC"/>
    <w:rsid w:val="00D6777F"/>
    <w:rsid w:val="00D71D39"/>
    <w:rsid w:val="00D80AE2"/>
    <w:rsid w:val="00D81835"/>
    <w:rsid w:val="00D906DF"/>
    <w:rsid w:val="00D9341C"/>
    <w:rsid w:val="00D93ABE"/>
    <w:rsid w:val="00D960EA"/>
    <w:rsid w:val="00D96309"/>
    <w:rsid w:val="00D96458"/>
    <w:rsid w:val="00D97B68"/>
    <w:rsid w:val="00D97E71"/>
    <w:rsid w:val="00DA06DC"/>
    <w:rsid w:val="00DA1E54"/>
    <w:rsid w:val="00DA486E"/>
    <w:rsid w:val="00DA4A97"/>
    <w:rsid w:val="00DA5E5D"/>
    <w:rsid w:val="00DA69AA"/>
    <w:rsid w:val="00DA769E"/>
    <w:rsid w:val="00DA76EA"/>
    <w:rsid w:val="00DB1B46"/>
    <w:rsid w:val="00DB2237"/>
    <w:rsid w:val="00DB3B12"/>
    <w:rsid w:val="00DB40AE"/>
    <w:rsid w:val="00DB48FD"/>
    <w:rsid w:val="00DB752A"/>
    <w:rsid w:val="00DB79D3"/>
    <w:rsid w:val="00DC0458"/>
    <w:rsid w:val="00DC0CA5"/>
    <w:rsid w:val="00DC3822"/>
    <w:rsid w:val="00DC58C1"/>
    <w:rsid w:val="00DD1D2E"/>
    <w:rsid w:val="00DD726B"/>
    <w:rsid w:val="00DD7C8E"/>
    <w:rsid w:val="00DD7D86"/>
    <w:rsid w:val="00DE0314"/>
    <w:rsid w:val="00DE0E3B"/>
    <w:rsid w:val="00DE3D31"/>
    <w:rsid w:val="00DE44D8"/>
    <w:rsid w:val="00DE5EDC"/>
    <w:rsid w:val="00DE795E"/>
    <w:rsid w:val="00DE7C36"/>
    <w:rsid w:val="00DF218D"/>
    <w:rsid w:val="00DF477E"/>
    <w:rsid w:val="00DF5121"/>
    <w:rsid w:val="00DF5A97"/>
    <w:rsid w:val="00DF6385"/>
    <w:rsid w:val="00E002E6"/>
    <w:rsid w:val="00E03234"/>
    <w:rsid w:val="00E136E4"/>
    <w:rsid w:val="00E179CD"/>
    <w:rsid w:val="00E230C7"/>
    <w:rsid w:val="00E24ACC"/>
    <w:rsid w:val="00E25149"/>
    <w:rsid w:val="00E27F7B"/>
    <w:rsid w:val="00E327B1"/>
    <w:rsid w:val="00E37790"/>
    <w:rsid w:val="00E40B24"/>
    <w:rsid w:val="00E42644"/>
    <w:rsid w:val="00E52D06"/>
    <w:rsid w:val="00E56518"/>
    <w:rsid w:val="00E57390"/>
    <w:rsid w:val="00E61D6A"/>
    <w:rsid w:val="00E61DB2"/>
    <w:rsid w:val="00E621DC"/>
    <w:rsid w:val="00E63429"/>
    <w:rsid w:val="00E65499"/>
    <w:rsid w:val="00E66B12"/>
    <w:rsid w:val="00E67854"/>
    <w:rsid w:val="00E7009B"/>
    <w:rsid w:val="00E7153D"/>
    <w:rsid w:val="00E768E1"/>
    <w:rsid w:val="00E80AF9"/>
    <w:rsid w:val="00E832A5"/>
    <w:rsid w:val="00E8433A"/>
    <w:rsid w:val="00E84486"/>
    <w:rsid w:val="00E95FB9"/>
    <w:rsid w:val="00EA1153"/>
    <w:rsid w:val="00EA2201"/>
    <w:rsid w:val="00EA4D16"/>
    <w:rsid w:val="00EA66BE"/>
    <w:rsid w:val="00EB39B1"/>
    <w:rsid w:val="00EB5FCB"/>
    <w:rsid w:val="00EC113D"/>
    <w:rsid w:val="00EC260B"/>
    <w:rsid w:val="00EC736E"/>
    <w:rsid w:val="00ED015D"/>
    <w:rsid w:val="00ED07A6"/>
    <w:rsid w:val="00ED7F06"/>
    <w:rsid w:val="00EE1776"/>
    <w:rsid w:val="00EE3011"/>
    <w:rsid w:val="00EF3A1F"/>
    <w:rsid w:val="00EF4633"/>
    <w:rsid w:val="00F0289F"/>
    <w:rsid w:val="00F0366B"/>
    <w:rsid w:val="00F039B0"/>
    <w:rsid w:val="00F12682"/>
    <w:rsid w:val="00F156BD"/>
    <w:rsid w:val="00F20094"/>
    <w:rsid w:val="00F2331A"/>
    <w:rsid w:val="00F23B32"/>
    <w:rsid w:val="00F32DAF"/>
    <w:rsid w:val="00F332A6"/>
    <w:rsid w:val="00F422D4"/>
    <w:rsid w:val="00F43660"/>
    <w:rsid w:val="00F451F3"/>
    <w:rsid w:val="00F45B93"/>
    <w:rsid w:val="00F461F9"/>
    <w:rsid w:val="00F468AC"/>
    <w:rsid w:val="00F514D3"/>
    <w:rsid w:val="00F519BE"/>
    <w:rsid w:val="00F63D96"/>
    <w:rsid w:val="00F6427F"/>
    <w:rsid w:val="00F70E4F"/>
    <w:rsid w:val="00F71D02"/>
    <w:rsid w:val="00F72F56"/>
    <w:rsid w:val="00F735F8"/>
    <w:rsid w:val="00F816FA"/>
    <w:rsid w:val="00F81772"/>
    <w:rsid w:val="00F90125"/>
    <w:rsid w:val="00F908E8"/>
    <w:rsid w:val="00F908FE"/>
    <w:rsid w:val="00F91338"/>
    <w:rsid w:val="00F91E6D"/>
    <w:rsid w:val="00F944D3"/>
    <w:rsid w:val="00FA1611"/>
    <w:rsid w:val="00FA17CA"/>
    <w:rsid w:val="00FA27F1"/>
    <w:rsid w:val="00FA5278"/>
    <w:rsid w:val="00FB0F82"/>
    <w:rsid w:val="00FB1169"/>
    <w:rsid w:val="00FB2151"/>
    <w:rsid w:val="00FB35FA"/>
    <w:rsid w:val="00FB4648"/>
    <w:rsid w:val="00FB482F"/>
    <w:rsid w:val="00FB60E2"/>
    <w:rsid w:val="00FB67DF"/>
    <w:rsid w:val="00FC004C"/>
    <w:rsid w:val="00FC178B"/>
    <w:rsid w:val="00FC1F36"/>
    <w:rsid w:val="00FC202A"/>
    <w:rsid w:val="00FC2AEE"/>
    <w:rsid w:val="00FC4741"/>
    <w:rsid w:val="00FD08E6"/>
    <w:rsid w:val="00FD0EA9"/>
    <w:rsid w:val="00FD1320"/>
    <w:rsid w:val="00FD311B"/>
    <w:rsid w:val="00FD39BA"/>
    <w:rsid w:val="00FD4571"/>
    <w:rsid w:val="00FD5AE2"/>
    <w:rsid w:val="00FD604A"/>
    <w:rsid w:val="00FD6B4D"/>
    <w:rsid w:val="00FE0E3E"/>
    <w:rsid w:val="00FE2836"/>
    <w:rsid w:val="00FE2BA5"/>
    <w:rsid w:val="00FE5514"/>
    <w:rsid w:val="00FE794C"/>
    <w:rsid w:val="00FF06E3"/>
    <w:rsid w:val="00FF1A7B"/>
    <w:rsid w:val="00FF2EC3"/>
    <w:rsid w:val="00FF5BB6"/>
    <w:rsid w:val="00FF6494"/>
    <w:rsid w:val="00FF6931"/>
    <w:rsid w:val="00FF7470"/>
    <w:rsid w:val="37AB9196"/>
    <w:rsid w:val="4A2D2647"/>
    <w:rsid w:val="7C660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CC390EE"/>
  <w15:docId w15:val="{900D35EB-7970-4B76-A667-00C70242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FB2151"/>
    <w:rPr>
      <w:sz w:val="16"/>
      <w:szCs w:val="16"/>
    </w:rPr>
  </w:style>
  <w:style w:type="paragraph" w:styleId="CommentText">
    <w:name w:val="annotation text"/>
    <w:basedOn w:val="Normal"/>
    <w:link w:val="CommentTextChar"/>
    <w:uiPriority w:val="99"/>
    <w:unhideWhenUsed/>
    <w:rsid w:val="00FB2151"/>
  </w:style>
  <w:style w:type="character" w:customStyle="1" w:styleId="CommentTextChar">
    <w:name w:val="Comment Text Char"/>
    <w:basedOn w:val="DefaultParagraphFont"/>
    <w:link w:val="CommentText"/>
    <w:uiPriority w:val="99"/>
    <w:rsid w:val="00FB215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FB2151"/>
    <w:rPr>
      <w:b/>
      <w:bCs/>
    </w:rPr>
  </w:style>
  <w:style w:type="character" w:customStyle="1" w:styleId="CommentSubjectChar">
    <w:name w:val="Comment Subject Char"/>
    <w:basedOn w:val="CommentTextChar"/>
    <w:link w:val="CommentSubject"/>
    <w:uiPriority w:val="99"/>
    <w:semiHidden/>
    <w:rsid w:val="00FB2151"/>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3D52E3"/>
    <w:rPr>
      <w:color w:val="0000FF" w:themeColor="hyperlink"/>
      <w:u w:val="single"/>
    </w:rPr>
  </w:style>
  <w:style w:type="character" w:styleId="UnresolvedMention">
    <w:name w:val="Unresolved Mention"/>
    <w:basedOn w:val="DefaultParagraphFont"/>
    <w:uiPriority w:val="99"/>
    <w:semiHidden/>
    <w:unhideWhenUsed/>
    <w:rsid w:val="003D52E3"/>
    <w:rPr>
      <w:color w:val="605E5C"/>
      <w:shd w:val="clear" w:color="auto" w:fill="E1DFDD"/>
    </w:rPr>
  </w:style>
  <w:style w:type="paragraph" w:customStyle="1" w:styleId="Default">
    <w:name w:val="Default"/>
    <w:basedOn w:val="Normal"/>
    <w:rsid w:val="00FA1611"/>
    <w:pPr>
      <w:autoSpaceDE w:val="0"/>
      <w:autoSpaceDN w:val="0"/>
      <w:spacing w:before="0" w:after="0"/>
    </w:pPr>
    <w:rPr>
      <w:rFonts w:ascii="Verdana" w:eastAsiaTheme="minorHAnsi" w:hAnsi="Verdana" w:cs="Calibri"/>
      <w:color w:val="000000"/>
      <w:sz w:val="24"/>
      <w:szCs w:val="24"/>
      <w:lang w:eastAsia="en-US"/>
    </w:rPr>
  </w:style>
  <w:style w:type="paragraph" w:styleId="ListParagraph">
    <w:name w:val="List Paragraph"/>
    <w:basedOn w:val="Normal"/>
    <w:uiPriority w:val="34"/>
    <w:qFormat/>
    <w:rsid w:val="0011063A"/>
    <w:pPr>
      <w:spacing w:before="0" w:after="0"/>
      <w:ind w:left="720"/>
    </w:pPr>
    <w:rPr>
      <w:rFonts w:ascii="Aptos" w:eastAsiaTheme="minorHAnsi" w:hAnsi="Aptos" w:cs="Calibri"/>
      <w:sz w:val="24"/>
      <w:szCs w:val="24"/>
    </w:rPr>
  </w:style>
  <w:style w:type="paragraph" w:styleId="Revision">
    <w:name w:val="Revision"/>
    <w:hidden/>
    <w:uiPriority w:val="99"/>
    <w:semiHidden/>
    <w:rsid w:val="00026B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semiHidden/>
    <w:unhideWhenUsed/>
    <w:rsid w:val="00FB35FA"/>
    <w:pPr>
      <w:spacing w:before="0" w:after="0"/>
    </w:pPr>
  </w:style>
  <w:style w:type="character" w:customStyle="1" w:styleId="FootnoteTextChar">
    <w:name w:val="Footnote Text Char"/>
    <w:basedOn w:val="DefaultParagraphFont"/>
    <w:link w:val="FootnoteText"/>
    <w:uiPriority w:val="99"/>
    <w:semiHidden/>
    <w:rsid w:val="00FB35FA"/>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FB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0">
      <w:bodyDiv w:val="1"/>
      <w:marLeft w:val="0"/>
      <w:marRight w:val="0"/>
      <w:marTop w:val="0"/>
      <w:marBottom w:val="0"/>
      <w:divBdr>
        <w:top w:val="none" w:sz="0" w:space="0" w:color="auto"/>
        <w:left w:val="none" w:sz="0" w:space="0" w:color="auto"/>
        <w:bottom w:val="none" w:sz="0" w:space="0" w:color="auto"/>
        <w:right w:val="none" w:sz="0" w:space="0" w:color="auto"/>
      </w:divBdr>
    </w:div>
    <w:div w:id="79839579">
      <w:bodyDiv w:val="1"/>
      <w:marLeft w:val="0"/>
      <w:marRight w:val="0"/>
      <w:marTop w:val="0"/>
      <w:marBottom w:val="0"/>
      <w:divBdr>
        <w:top w:val="none" w:sz="0" w:space="0" w:color="auto"/>
        <w:left w:val="none" w:sz="0" w:space="0" w:color="auto"/>
        <w:bottom w:val="none" w:sz="0" w:space="0" w:color="auto"/>
        <w:right w:val="none" w:sz="0" w:space="0" w:color="auto"/>
      </w:divBdr>
    </w:div>
    <w:div w:id="94062197">
      <w:bodyDiv w:val="1"/>
      <w:marLeft w:val="0"/>
      <w:marRight w:val="0"/>
      <w:marTop w:val="0"/>
      <w:marBottom w:val="0"/>
      <w:divBdr>
        <w:top w:val="none" w:sz="0" w:space="0" w:color="auto"/>
        <w:left w:val="none" w:sz="0" w:space="0" w:color="auto"/>
        <w:bottom w:val="none" w:sz="0" w:space="0" w:color="auto"/>
        <w:right w:val="none" w:sz="0" w:space="0" w:color="auto"/>
      </w:divBdr>
    </w:div>
    <w:div w:id="95028547">
      <w:bodyDiv w:val="1"/>
      <w:marLeft w:val="0"/>
      <w:marRight w:val="0"/>
      <w:marTop w:val="0"/>
      <w:marBottom w:val="0"/>
      <w:divBdr>
        <w:top w:val="none" w:sz="0" w:space="0" w:color="auto"/>
        <w:left w:val="none" w:sz="0" w:space="0" w:color="auto"/>
        <w:bottom w:val="none" w:sz="0" w:space="0" w:color="auto"/>
        <w:right w:val="none" w:sz="0" w:space="0" w:color="auto"/>
      </w:divBdr>
    </w:div>
    <w:div w:id="176430523">
      <w:bodyDiv w:val="1"/>
      <w:marLeft w:val="0"/>
      <w:marRight w:val="0"/>
      <w:marTop w:val="0"/>
      <w:marBottom w:val="0"/>
      <w:divBdr>
        <w:top w:val="none" w:sz="0" w:space="0" w:color="auto"/>
        <w:left w:val="none" w:sz="0" w:space="0" w:color="auto"/>
        <w:bottom w:val="none" w:sz="0" w:space="0" w:color="auto"/>
        <w:right w:val="none" w:sz="0" w:space="0" w:color="auto"/>
      </w:divBdr>
    </w:div>
    <w:div w:id="230505356">
      <w:bodyDiv w:val="1"/>
      <w:marLeft w:val="0"/>
      <w:marRight w:val="0"/>
      <w:marTop w:val="0"/>
      <w:marBottom w:val="0"/>
      <w:divBdr>
        <w:top w:val="none" w:sz="0" w:space="0" w:color="auto"/>
        <w:left w:val="none" w:sz="0" w:space="0" w:color="auto"/>
        <w:bottom w:val="none" w:sz="0" w:space="0" w:color="auto"/>
        <w:right w:val="none" w:sz="0" w:space="0" w:color="auto"/>
      </w:divBdr>
    </w:div>
    <w:div w:id="244651083">
      <w:bodyDiv w:val="1"/>
      <w:marLeft w:val="0"/>
      <w:marRight w:val="0"/>
      <w:marTop w:val="0"/>
      <w:marBottom w:val="0"/>
      <w:divBdr>
        <w:top w:val="none" w:sz="0" w:space="0" w:color="auto"/>
        <w:left w:val="none" w:sz="0" w:space="0" w:color="auto"/>
        <w:bottom w:val="none" w:sz="0" w:space="0" w:color="auto"/>
        <w:right w:val="none" w:sz="0" w:space="0" w:color="auto"/>
      </w:divBdr>
    </w:div>
    <w:div w:id="317537857">
      <w:bodyDiv w:val="1"/>
      <w:marLeft w:val="0"/>
      <w:marRight w:val="0"/>
      <w:marTop w:val="0"/>
      <w:marBottom w:val="0"/>
      <w:divBdr>
        <w:top w:val="none" w:sz="0" w:space="0" w:color="auto"/>
        <w:left w:val="none" w:sz="0" w:space="0" w:color="auto"/>
        <w:bottom w:val="none" w:sz="0" w:space="0" w:color="auto"/>
        <w:right w:val="none" w:sz="0" w:space="0" w:color="auto"/>
      </w:divBdr>
    </w:div>
    <w:div w:id="341856752">
      <w:bodyDiv w:val="1"/>
      <w:marLeft w:val="0"/>
      <w:marRight w:val="0"/>
      <w:marTop w:val="0"/>
      <w:marBottom w:val="0"/>
      <w:divBdr>
        <w:top w:val="none" w:sz="0" w:space="0" w:color="auto"/>
        <w:left w:val="none" w:sz="0" w:space="0" w:color="auto"/>
        <w:bottom w:val="none" w:sz="0" w:space="0" w:color="auto"/>
        <w:right w:val="none" w:sz="0" w:space="0" w:color="auto"/>
      </w:divBdr>
    </w:div>
    <w:div w:id="401606858">
      <w:bodyDiv w:val="1"/>
      <w:marLeft w:val="0"/>
      <w:marRight w:val="0"/>
      <w:marTop w:val="0"/>
      <w:marBottom w:val="0"/>
      <w:divBdr>
        <w:top w:val="none" w:sz="0" w:space="0" w:color="auto"/>
        <w:left w:val="none" w:sz="0" w:space="0" w:color="auto"/>
        <w:bottom w:val="none" w:sz="0" w:space="0" w:color="auto"/>
        <w:right w:val="none" w:sz="0" w:space="0" w:color="auto"/>
      </w:divBdr>
    </w:div>
    <w:div w:id="493837044">
      <w:bodyDiv w:val="1"/>
      <w:marLeft w:val="0"/>
      <w:marRight w:val="0"/>
      <w:marTop w:val="0"/>
      <w:marBottom w:val="0"/>
      <w:divBdr>
        <w:top w:val="none" w:sz="0" w:space="0" w:color="auto"/>
        <w:left w:val="none" w:sz="0" w:space="0" w:color="auto"/>
        <w:bottom w:val="none" w:sz="0" w:space="0" w:color="auto"/>
        <w:right w:val="none" w:sz="0" w:space="0" w:color="auto"/>
      </w:divBdr>
    </w:div>
    <w:div w:id="498883250">
      <w:bodyDiv w:val="1"/>
      <w:marLeft w:val="0"/>
      <w:marRight w:val="0"/>
      <w:marTop w:val="0"/>
      <w:marBottom w:val="0"/>
      <w:divBdr>
        <w:top w:val="none" w:sz="0" w:space="0" w:color="auto"/>
        <w:left w:val="none" w:sz="0" w:space="0" w:color="auto"/>
        <w:bottom w:val="none" w:sz="0" w:space="0" w:color="auto"/>
        <w:right w:val="none" w:sz="0" w:space="0" w:color="auto"/>
      </w:divBdr>
    </w:div>
    <w:div w:id="561872577">
      <w:bodyDiv w:val="1"/>
      <w:marLeft w:val="0"/>
      <w:marRight w:val="0"/>
      <w:marTop w:val="0"/>
      <w:marBottom w:val="0"/>
      <w:divBdr>
        <w:top w:val="none" w:sz="0" w:space="0" w:color="auto"/>
        <w:left w:val="none" w:sz="0" w:space="0" w:color="auto"/>
        <w:bottom w:val="none" w:sz="0" w:space="0" w:color="auto"/>
        <w:right w:val="none" w:sz="0" w:space="0" w:color="auto"/>
      </w:divBdr>
    </w:div>
    <w:div w:id="599068632">
      <w:bodyDiv w:val="1"/>
      <w:marLeft w:val="0"/>
      <w:marRight w:val="0"/>
      <w:marTop w:val="0"/>
      <w:marBottom w:val="0"/>
      <w:divBdr>
        <w:top w:val="none" w:sz="0" w:space="0" w:color="auto"/>
        <w:left w:val="none" w:sz="0" w:space="0" w:color="auto"/>
        <w:bottom w:val="none" w:sz="0" w:space="0" w:color="auto"/>
        <w:right w:val="none" w:sz="0" w:space="0" w:color="auto"/>
      </w:divBdr>
    </w:div>
    <w:div w:id="609699011">
      <w:bodyDiv w:val="1"/>
      <w:marLeft w:val="0"/>
      <w:marRight w:val="0"/>
      <w:marTop w:val="0"/>
      <w:marBottom w:val="0"/>
      <w:divBdr>
        <w:top w:val="none" w:sz="0" w:space="0" w:color="auto"/>
        <w:left w:val="none" w:sz="0" w:space="0" w:color="auto"/>
        <w:bottom w:val="none" w:sz="0" w:space="0" w:color="auto"/>
        <w:right w:val="none" w:sz="0" w:space="0" w:color="auto"/>
      </w:divBdr>
    </w:div>
    <w:div w:id="615868814">
      <w:bodyDiv w:val="1"/>
      <w:marLeft w:val="0"/>
      <w:marRight w:val="0"/>
      <w:marTop w:val="0"/>
      <w:marBottom w:val="0"/>
      <w:divBdr>
        <w:top w:val="none" w:sz="0" w:space="0" w:color="auto"/>
        <w:left w:val="none" w:sz="0" w:space="0" w:color="auto"/>
        <w:bottom w:val="none" w:sz="0" w:space="0" w:color="auto"/>
        <w:right w:val="none" w:sz="0" w:space="0" w:color="auto"/>
      </w:divBdr>
    </w:div>
    <w:div w:id="631404536">
      <w:bodyDiv w:val="1"/>
      <w:marLeft w:val="0"/>
      <w:marRight w:val="0"/>
      <w:marTop w:val="0"/>
      <w:marBottom w:val="0"/>
      <w:divBdr>
        <w:top w:val="none" w:sz="0" w:space="0" w:color="auto"/>
        <w:left w:val="none" w:sz="0" w:space="0" w:color="auto"/>
        <w:bottom w:val="none" w:sz="0" w:space="0" w:color="auto"/>
        <w:right w:val="none" w:sz="0" w:space="0" w:color="auto"/>
      </w:divBdr>
    </w:div>
    <w:div w:id="676077451">
      <w:bodyDiv w:val="1"/>
      <w:marLeft w:val="0"/>
      <w:marRight w:val="0"/>
      <w:marTop w:val="0"/>
      <w:marBottom w:val="0"/>
      <w:divBdr>
        <w:top w:val="none" w:sz="0" w:space="0" w:color="auto"/>
        <w:left w:val="none" w:sz="0" w:space="0" w:color="auto"/>
        <w:bottom w:val="none" w:sz="0" w:space="0" w:color="auto"/>
        <w:right w:val="none" w:sz="0" w:space="0" w:color="auto"/>
      </w:divBdr>
    </w:div>
    <w:div w:id="690768241">
      <w:bodyDiv w:val="1"/>
      <w:marLeft w:val="0"/>
      <w:marRight w:val="0"/>
      <w:marTop w:val="0"/>
      <w:marBottom w:val="0"/>
      <w:divBdr>
        <w:top w:val="none" w:sz="0" w:space="0" w:color="auto"/>
        <w:left w:val="none" w:sz="0" w:space="0" w:color="auto"/>
        <w:bottom w:val="none" w:sz="0" w:space="0" w:color="auto"/>
        <w:right w:val="none" w:sz="0" w:space="0" w:color="auto"/>
      </w:divBdr>
    </w:div>
    <w:div w:id="759645742">
      <w:bodyDiv w:val="1"/>
      <w:marLeft w:val="0"/>
      <w:marRight w:val="0"/>
      <w:marTop w:val="0"/>
      <w:marBottom w:val="0"/>
      <w:divBdr>
        <w:top w:val="none" w:sz="0" w:space="0" w:color="auto"/>
        <w:left w:val="none" w:sz="0" w:space="0" w:color="auto"/>
        <w:bottom w:val="none" w:sz="0" w:space="0" w:color="auto"/>
        <w:right w:val="none" w:sz="0" w:space="0" w:color="auto"/>
      </w:divBdr>
    </w:div>
    <w:div w:id="772170091">
      <w:bodyDiv w:val="1"/>
      <w:marLeft w:val="0"/>
      <w:marRight w:val="0"/>
      <w:marTop w:val="0"/>
      <w:marBottom w:val="0"/>
      <w:divBdr>
        <w:top w:val="none" w:sz="0" w:space="0" w:color="auto"/>
        <w:left w:val="none" w:sz="0" w:space="0" w:color="auto"/>
        <w:bottom w:val="none" w:sz="0" w:space="0" w:color="auto"/>
        <w:right w:val="none" w:sz="0" w:space="0" w:color="auto"/>
      </w:divBdr>
    </w:div>
    <w:div w:id="802232751">
      <w:bodyDiv w:val="1"/>
      <w:marLeft w:val="0"/>
      <w:marRight w:val="0"/>
      <w:marTop w:val="0"/>
      <w:marBottom w:val="0"/>
      <w:divBdr>
        <w:top w:val="none" w:sz="0" w:space="0" w:color="auto"/>
        <w:left w:val="none" w:sz="0" w:space="0" w:color="auto"/>
        <w:bottom w:val="none" w:sz="0" w:space="0" w:color="auto"/>
        <w:right w:val="none" w:sz="0" w:space="0" w:color="auto"/>
      </w:divBdr>
    </w:div>
    <w:div w:id="810706105">
      <w:bodyDiv w:val="1"/>
      <w:marLeft w:val="0"/>
      <w:marRight w:val="0"/>
      <w:marTop w:val="0"/>
      <w:marBottom w:val="0"/>
      <w:divBdr>
        <w:top w:val="none" w:sz="0" w:space="0" w:color="auto"/>
        <w:left w:val="none" w:sz="0" w:space="0" w:color="auto"/>
        <w:bottom w:val="none" w:sz="0" w:space="0" w:color="auto"/>
        <w:right w:val="none" w:sz="0" w:space="0" w:color="auto"/>
      </w:divBdr>
    </w:div>
    <w:div w:id="877670457">
      <w:bodyDiv w:val="1"/>
      <w:marLeft w:val="0"/>
      <w:marRight w:val="0"/>
      <w:marTop w:val="0"/>
      <w:marBottom w:val="0"/>
      <w:divBdr>
        <w:top w:val="none" w:sz="0" w:space="0" w:color="auto"/>
        <w:left w:val="none" w:sz="0" w:space="0" w:color="auto"/>
        <w:bottom w:val="none" w:sz="0" w:space="0" w:color="auto"/>
        <w:right w:val="none" w:sz="0" w:space="0" w:color="auto"/>
      </w:divBdr>
    </w:div>
    <w:div w:id="885874338">
      <w:bodyDiv w:val="1"/>
      <w:marLeft w:val="0"/>
      <w:marRight w:val="0"/>
      <w:marTop w:val="0"/>
      <w:marBottom w:val="0"/>
      <w:divBdr>
        <w:top w:val="none" w:sz="0" w:space="0" w:color="auto"/>
        <w:left w:val="none" w:sz="0" w:space="0" w:color="auto"/>
        <w:bottom w:val="none" w:sz="0" w:space="0" w:color="auto"/>
        <w:right w:val="none" w:sz="0" w:space="0" w:color="auto"/>
      </w:divBdr>
    </w:div>
    <w:div w:id="907542564">
      <w:bodyDiv w:val="1"/>
      <w:marLeft w:val="0"/>
      <w:marRight w:val="0"/>
      <w:marTop w:val="0"/>
      <w:marBottom w:val="0"/>
      <w:divBdr>
        <w:top w:val="none" w:sz="0" w:space="0" w:color="auto"/>
        <w:left w:val="none" w:sz="0" w:space="0" w:color="auto"/>
        <w:bottom w:val="none" w:sz="0" w:space="0" w:color="auto"/>
        <w:right w:val="none" w:sz="0" w:space="0" w:color="auto"/>
      </w:divBdr>
    </w:div>
    <w:div w:id="940454450">
      <w:bodyDiv w:val="1"/>
      <w:marLeft w:val="0"/>
      <w:marRight w:val="0"/>
      <w:marTop w:val="0"/>
      <w:marBottom w:val="0"/>
      <w:divBdr>
        <w:top w:val="none" w:sz="0" w:space="0" w:color="auto"/>
        <w:left w:val="none" w:sz="0" w:space="0" w:color="auto"/>
        <w:bottom w:val="none" w:sz="0" w:space="0" w:color="auto"/>
        <w:right w:val="none" w:sz="0" w:space="0" w:color="auto"/>
      </w:divBdr>
    </w:div>
    <w:div w:id="969021809">
      <w:bodyDiv w:val="1"/>
      <w:marLeft w:val="0"/>
      <w:marRight w:val="0"/>
      <w:marTop w:val="0"/>
      <w:marBottom w:val="0"/>
      <w:divBdr>
        <w:top w:val="none" w:sz="0" w:space="0" w:color="auto"/>
        <w:left w:val="none" w:sz="0" w:space="0" w:color="auto"/>
        <w:bottom w:val="none" w:sz="0" w:space="0" w:color="auto"/>
        <w:right w:val="none" w:sz="0" w:space="0" w:color="auto"/>
      </w:divBdr>
    </w:div>
    <w:div w:id="1006978524">
      <w:bodyDiv w:val="1"/>
      <w:marLeft w:val="0"/>
      <w:marRight w:val="0"/>
      <w:marTop w:val="0"/>
      <w:marBottom w:val="0"/>
      <w:divBdr>
        <w:top w:val="none" w:sz="0" w:space="0" w:color="auto"/>
        <w:left w:val="none" w:sz="0" w:space="0" w:color="auto"/>
        <w:bottom w:val="none" w:sz="0" w:space="0" w:color="auto"/>
        <w:right w:val="none" w:sz="0" w:space="0" w:color="auto"/>
      </w:divBdr>
    </w:div>
    <w:div w:id="1034649116">
      <w:bodyDiv w:val="1"/>
      <w:marLeft w:val="0"/>
      <w:marRight w:val="0"/>
      <w:marTop w:val="0"/>
      <w:marBottom w:val="0"/>
      <w:divBdr>
        <w:top w:val="none" w:sz="0" w:space="0" w:color="auto"/>
        <w:left w:val="none" w:sz="0" w:space="0" w:color="auto"/>
        <w:bottom w:val="none" w:sz="0" w:space="0" w:color="auto"/>
        <w:right w:val="none" w:sz="0" w:space="0" w:color="auto"/>
      </w:divBdr>
    </w:div>
    <w:div w:id="1088577628">
      <w:bodyDiv w:val="1"/>
      <w:marLeft w:val="0"/>
      <w:marRight w:val="0"/>
      <w:marTop w:val="0"/>
      <w:marBottom w:val="0"/>
      <w:divBdr>
        <w:top w:val="none" w:sz="0" w:space="0" w:color="auto"/>
        <w:left w:val="none" w:sz="0" w:space="0" w:color="auto"/>
        <w:bottom w:val="none" w:sz="0" w:space="0" w:color="auto"/>
        <w:right w:val="none" w:sz="0" w:space="0" w:color="auto"/>
      </w:divBdr>
    </w:div>
    <w:div w:id="1224683297">
      <w:bodyDiv w:val="1"/>
      <w:marLeft w:val="0"/>
      <w:marRight w:val="0"/>
      <w:marTop w:val="0"/>
      <w:marBottom w:val="0"/>
      <w:divBdr>
        <w:top w:val="none" w:sz="0" w:space="0" w:color="auto"/>
        <w:left w:val="none" w:sz="0" w:space="0" w:color="auto"/>
        <w:bottom w:val="none" w:sz="0" w:space="0" w:color="auto"/>
        <w:right w:val="none" w:sz="0" w:space="0" w:color="auto"/>
      </w:divBdr>
    </w:div>
    <w:div w:id="1265840273">
      <w:bodyDiv w:val="1"/>
      <w:marLeft w:val="0"/>
      <w:marRight w:val="0"/>
      <w:marTop w:val="0"/>
      <w:marBottom w:val="0"/>
      <w:divBdr>
        <w:top w:val="none" w:sz="0" w:space="0" w:color="auto"/>
        <w:left w:val="none" w:sz="0" w:space="0" w:color="auto"/>
        <w:bottom w:val="none" w:sz="0" w:space="0" w:color="auto"/>
        <w:right w:val="none" w:sz="0" w:space="0" w:color="auto"/>
      </w:divBdr>
    </w:div>
    <w:div w:id="1351183754">
      <w:bodyDiv w:val="1"/>
      <w:marLeft w:val="0"/>
      <w:marRight w:val="0"/>
      <w:marTop w:val="0"/>
      <w:marBottom w:val="0"/>
      <w:divBdr>
        <w:top w:val="none" w:sz="0" w:space="0" w:color="auto"/>
        <w:left w:val="none" w:sz="0" w:space="0" w:color="auto"/>
        <w:bottom w:val="none" w:sz="0" w:space="0" w:color="auto"/>
        <w:right w:val="none" w:sz="0" w:space="0" w:color="auto"/>
      </w:divBdr>
    </w:div>
    <w:div w:id="1377008569">
      <w:bodyDiv w:val="1"/>
      <w:marLeft w:val="0"/>
      <w:marRight w:val="0"/>
      <w:marTop w:val="0"/>
      <w:marBottom w:val="0"/>
      <w:divBdr>
        <w:top w:val="none" w:sz="0" w:space="0" w:color="auto"/>
        <w:left w:val="none" w:sz="0" w:space="0" w:color="auto"/>
        <w:bottom w:val="none" w:sz="0" w:space="0" w:color="auto"/>
        <w:right w:val="none" w:sz="0" w:space="0" w:color="auto"/>
      </w:divBdr>
    </w:div>
    <w:div w:id="1564680852">
      <w:bodyDiv w:val="1"/>
      <w:marLeft w:val="0"/>
      <w:marRight w:val="0"/>
      <w:marTop w:val="0"/>
      <w:marBottom w:val="0"/>
      <w:divBdr>
        <w:top w:val="none" w:sz="0" w:space="0" w:color="auto"/>
        <w:left w:val="none" w:sz="0" w:space="0" w:color="auto"/>
        <w:bottom w:val="none" w:sz="0" w:space="0" w:color="auto"/>
        <w:right w:val="none" w:sz="0" w:space="0" w:color="auto"/>
      </w:divBdr>
    </w:div>
    <w:div w:id="1597788006">
      <w:bodyDiv w:val="1"/>
      <w:marLeft w:val="0"/>
      <w:marRight w:val="0"/>
      <w:marTop w:val="0"/>
      <w:marBottom w:val="0"/>
      <w:divBdr>
        <w:top w:val="none" w:sz="0" w:space="0" w:color="auto"/>
        <w:left w:val="none" w:sz="0" w:space="0" w:color="auto"/>
        <w:bottom w:val="none" w:sz="0" w:space="0" w:color="auto"/>
        <w:right w:val="none" w:sz="0" w:space="0" w:color="auto"/>
      </w:divBdr>
    </w:div>
    <w:div w:id="1626084033">
      <w:bodyDiv w:val="1"/>
      <w:marLeft w:val="0"/>
      <w:marRight w:val="0"/>
      <w:marTop w:val="0"/>
      <w:marBottom w:val="0"/>
      <w:divBdr>
        <w:top w:val="none" w:sz="0" w:space="0" w:color="auto"/>
        <w:left w:val="none" w:sz="0" w:space="0" w:color="auto"/>
        <w:bottom w:val="none" w:sz="0" w:space="0" w:color="auto"/>
        <w:right w:val="none" w:sz="0" w:space="0" w:color="auto"/>
      </w:divBdr>
    </w:div>
    <w:div w:id="1653631791">
      <w:bodyDiv w:val="1"/>
      <w:marLeft w:val="0"/>
      <w:marRight w:val="0"/>
      <w:marTop w:val="0"/>
      <w:marBottom w:val="0"/>
      <w:divBdr>
        <w:top w:val="none" w:sz="0" w:space="0" w:color="auto"/>
        <w:left w:val="none" w:sz="0" w:space="0" w:color="auto"/>
        <w:bottom w:val="none" w:sz="0" w:space="0" w:color="auto"/>
        <w:right w:val="none" w:sz="0" w:space="0" w:color="auto"/>
      </w:divBdr>
    </w:div>
    <w:div w:id="1699769438">
      <w:bodyDiv w:val="1"/>
      <w:marLeft w:val="0"/>
      <w:marRight w:val="0"/>
      <w:marTop w:val="0"/>
      <w:marBottom w:val="0"/>
      <w:divBdr>
        <w:top w:val="none" w:sz="0" w:space="0" w:color="auto"/>
        <w:left w:val="none" w:sz="0" w:space="0" w:color="auto"/>
        <w:bottom w:val="none" w:sz="0" w:space="0" w:color="auto"/>
        <w:right w:val="none" w:sz="0" w:space="0" w:color="auto"/>
      </w:divBdr>
    </w:div>
    <w:div w:id="1750419870">
      <w:bodyDiv w:val="1"/>
      <w:marLeft w:val="0"/>
      <w:marRight w:val="0"/>
      <w:marTop w:val="0"/>
      <w:marBottom w:val="0"/>
      <w:divBdr>
        <w:top w:val="none" w:sz="0" w:space="0" w:color="auto"/>
        <w:left w:val="none" w:sz="0" w:space="0" w:color="auto"/>
        <w:bottom w:val="none" w:sz="0" w:space="0" w:color="auto"/>
        <w:right w:val="none" w:sz="0" w:space="0" w:color="auto"/>
      </w:divBdr>
    </w:div>
    <w:div w:id="1775515241">
      <w:bodyDiv w:val="1"/>
      <w:marLeft w:val="0"/>
      <w:marRight w:val="0"/>
      <w:marTop w:val="0"/>
      <w:marBottom w:val="0"/>
      <w:divBdr>
        <w:top w:val="none" w:sz="0" w:space="0" w:color="auto"/>
        <w:left w:val="none" w:sz="0" w:space="0" w:color="auto"/>
        <w:bottom w:val="none" w:sz="0" w:space="0" w:color="auto"/>
        <w:right w:val="none" w:sz="0" w:space="0" w:color="auto"/>
      </w:divBdr>
    </w:div>
    <w:div w:id="1776901461">
      <w:bodyDiv w:val="1"/>
      <w:marLeft w:val="0"/>
      <w:marRight w:val="0"/>
      <w:marTop w:val="0"/>
      <w:marBottom w:val="0"/>
      <w:divBdr>
        <w:top w:val="none" w:sz="0" w:space="0" w:color="auto"/>
        <w:left w:val="none" w:sz="0" w:space="0" w:color="auto"/>
        <w:bottom w:val="none" w:sz="0" w:space="0" w:color="auto"/>
        <w:right w:val="none" w:sz="0" w:space="0" w:color="auto"/>
      </w:divBdr>
    </w:div>
    <w:div w:id="1790777726">
      <w:bodyDiv w:val="1"/>
      <w:marLeft w:val="0"/>
      <w:marRight w:val="0"/>
      <w:marTop w:val="0"/>
      <w:marBottom w:val="0"/>
      <w:divBdr>
        <w:top w:val="none" w:sz="0" w:space="0" w:color="auto"/>
        <w:left w:val="none" w:sz="0" w:space="0" w:color="auto"/>
        <w:bottom w:val="none" w:sz="0" w:space="0" w:color="auto"/>
        <w:right w:val="none" w:sz="0" w:space="0" w:color="auto"/>
      </w:divBdr>
    </w:div>
    <w:div w:id="1882984057">
      <w:bodyDiv w:val="1"/>
      <w:marLeft w:val="0"/>
      <w:marRight w:val="0"/>
      <w:marTop w:val="0"/>
      <w:marBottom w:val="0"/>
      <w:divBdr>
        <w:top w:val="none" w:sz="0" w:space="0" w:color="auto"/>
        <w:left w:val="none" w:sz="0" w:space="0" w:color="auto"/>
        <w:bottom w:val="none" w:sz="0" w:space="0" w:color="auto"/>
        <w:right w:val="none" w:sz="0" w:space="0" w:color="auto"/>
      </w:divBdr>
    </w:div>
    <w:div w:id="1898661603">
      <w:bodyDiv w:val="1"/>
      <w:marLeft w:val="0"/>
      <w:marRight w:val="0"/>
      <w:marTop w:val="0"/>
      <w:marBottom w:val="0"/>
      <w:divBdr>
        <w:top w:val="none" w:sz="0" w:space="0" w:color="auto"/>
        <w:left w:val="none" w:sz="0" w:space="0" w:color="auto"/>
        <w:bottom w:val="none" w:sz="0" w:space="0" w:color="auto"/>
        <w:right w:val="none" w:sz="0" w:space="0" w:color="auto"/>
      </w:divBdr>
    </w:div>
    <w:div w:id="1930192498">
      <w:bodyDiv w:val="1"/>
      <w:marLeft w:val="0"/>
      <w:marRight w:val="0"/>
      <w:marTop w:val="0"/>
      <w:marBottom w:val="0"/>
      <w:divBdr>
        <w:top w:val="none" w:sz="0" w:space="0" w:color="auto"/>
        <w:left w:val="none" w:sz="0" w:space="0" w:color="auto"/>
        <w:bottom w:val="none" w:sz="0" w:space="0" w:color="auto"/>
        <w:right w:val="none" w:sz="0" w:space="0" w:color="auto"/>
      </w:divBdr>
    </w:div>
    <w:div w:id="1952273538">
      <w:bodyDiv w:val="1"/>
      <w:marLeft w:val="0"/>
      <w:marRight w:val="0"/>
      <w:marTop w:val="0"/>
      <w:marBottom w:val="0"/>
      <w:divBdr>
        <w:top w:val="none" w:sz="0" w:space="0" w:color="auto"/>
        <w:left w:val="none" w:sz="0" w:space="0" w:color="auto"/>
        <w:bottom w:val="none" w:sz="0" w:space="0" w:color="auto"/>
        <w:right w:val="none" w:sz="0" w:space="0" w:color="auto"/>
      </w:divBdr>
    </w:div>
    <w:div w:id="1955552576">
      <w:bodyDiv w:val="1"/>
      <w:marLeft w:val="0"/>
      <w:marRight w:val="0"/>
      <w:marTop w:val="0"/>
      <w:marBottom w:val="0"/>
      <w:divBdr>
        <w:top w:val="none" w:sz="0" w:space="0" w:color="auto"/>
        <w:left w:val="none" w:sz="0" w:space="0" w:color="auto"/>
        <w:bottom w:val="none" w:sz="0" w:space="0" w:color="auto"/>
        <w:right w:val="none" w:sz="0" w:space="0" w:color="auto"/>
      </w:divBdr>
    </w:div>
    <w:div w:id="1965187382">
      <w:bodyDiv w:val="1"/>
      <w:marLeft w:val="0"/>
      <w:marRight w:val="0"/>
      <w:marTop w:val="0"/>
      <w:marBottom w:val="0"/>
      <w:divBdr>
        <w:top w:val="none" w:sz="0" w:space="0" w:color="auto"/>
        <w:left w:val="none" w:sz="0" w:space="0" w:color="auto"/>
        <w:bottom w:val="none" w:sz="0" w:space="0" w:color="auto"/>
        <w:right w:val="none" w:sz="0" w:space="0" w:color="auto"/>
      </w:divBdr>
    </w:div>
    <w:div w:id="2001080287">
      <w:bodyDiv w:val="1"/>
      <w:marLeft w:val="0"/>
      <w:marRight w:val="0"/>
      <w:marTop w:val="0"/>
      <w:marBottom w:val="0"/>
      <w:divBdr>
        <w:top w:val="none" w:sz="0" w:space="0" w:color="auto"/>
        <w:left w:val="none" w:sz="0" w:space="0" w:color="auto"/>
        <w:bottom w:val="none" w:sz="0" w:space="0" w:color="auto"/>
        <w:right w:val="none" w:sz="0" w:space="0" w:color="auto"/>
      </w:divBdr>
    </w:div>
    <w:div w:id="2037386162">
      <w:bodyDiv w:val="1"/>
      <w:marLeft w:val="0"/>
      <w:marRight w:val="0"/>
      <w:marTop w:val="0"/>
      <w:marBottom w:val="0"/>
      <w:divBdr>
        <w:top w:val="none" w:sz="0" w:space="0" w:color="auto"/>
        <w:left w:val="none" w:sz="0" w:space="0" w:color="auto"/>
        <w:bottom w:val="none" w:sz="0" w:space="0" w:color="auto"/>
        <w:right w:val="none" w:sz="0" w:space="0" w:color="auto"/>
      </w:divBdr>
    </w:div>
    <w:div w:id="2053923433">
      <w:bodyDiv w:val="1"/>
      <w:marLeft w:val="0"/>
      <w:marRight w:val="0"/>
      <w:marTop w:val="0"/>
      <w:marBottom w:val="0"/>
      <w:divBdr>
        <w:top w:val="none" w:sz="0" w:space="0" w:color="auto"/>
        <w:left w:val="none" w:sz="0" w:space="0" w:color="auto"/>
        <w:bottom w:val="none" w:sz="0" w:space="0" w:color="auto"/>
        <w:right w:val="none" w:sz="0" w:space="0" w:color="auto"/>
      </w:divBdr>
    </w:div>
    <w:div w:id="2057773123">
      <w:bodyDiv w:val="1"/>
      <w:marLeft w:val="0"/>
      <w:marRight w:val="0"/>
      <w:marTop w:val="0"/>
      <w:marBottom w:val="0"/>
      <w:divBdr>
        <w:top w:val="none" w:sz="0" w:space="0" w:color="auto"/>
        <w:left w:val="none" w:sz="0" w:space="0" w:color="auto"/>
        <w:bottom w:val="none" w:sz="0" w:space="0" w:color="auto"/>
        <w:right w:val="none" w:sz="0" w:space="0" w:color="auto"/>
      </w:divBdr>
    </w:div>
    <w:div w:id="2094354734">
      <w:bodyDiv w:val="1"/>
      <w:marLeft w:val="0"/>
      <w:marRight w:val="0"/>
      <w:marTop w:val="0"/>
      <w:marBottom w:val="0"/>
      <w:divBdr>
        <w:top w:val="none" w:sz="0" w:space="0" w:color="auto"/>
        <w:left w:val="none" w:sz="0" w:space="0" w:color="auto"/>
        <w:bottom w:val="none" w:sz="0" w:space="0" w:color="auto"/>
        <w:right w:val="none" w:sz="0" w:space="0" w:color="auto"/>
      </w:divBdr>
    </w:div>
    <w:div w:id="2107723562">
      <w:bodyDiv w:val="1"/>
      <w:marLeft w:val="0"/>
      <w:marRight w:val="0"/>
      <w:marTop w:val="0"/>
      <w:marBottom w:val="0"/>
      <w:divBdr>
        <w:top w:val="none" w:sz="0" w:space="0" w:color="auto"/>
        <w:left w:val="none" w:sz="0" w:space="0" w:color="auto"/>
        <w:bottom w:val="none" w:sz="0" w:space="0" w:color="auto"/>
        <w:right w:val="none" w:sz="0" w:space="0" w:color="auto"/>
      </w:divBdr>
    </w:div>
    <w:div w:id="2108573742">
      <w:bodyDiv w:val="1"/>
      <w:marLeft w:val="0"/>
      <w:marRight w:val="0"/>
      <w:marTop w:val="0"/>
      <w:marBottom w:val="0"/>
      <w:divBdr>
        <w:top w:val="none" w:sz="0" w:space="0" w:color="auto"/>
        <w:left w:val="none" w:sz="0" w:space="0" w:color="auto"/>
        <w:bottom w:val="none" w:sz="0" w:space="0" w:color="auto"/>
        <w:right w:val="none" w:sz="0" w:space="0" w:color="auto"/>
      </w:divBdr>
    </w:div>
    <w:div w:id="2146308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lontwikkelingshulp.nl"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public.tableau.com/views/ClimateFinanceNL/Summary" TargetMode="External" Id="rId12" /><Relationship Type="http://schemas.openxmlformats.org/officeDocument/2006/relationships/footer" Target="footer1.xml" Id="rId17" /><Relationship Type="http://schemas.openxmlformats.org/officeDocument/2006/relationships/hyperlink" Target="https://www.google.com/url?sa=t&amp;rct=j&amp;q=&amp;esrc=s&amp;source=web&amp;cd=&amp;ved=2ahUKEwi7gYnz0e-PAxU-2AIHHQKfCOgQFnoECBEQAQ&amp;url=https%3A%2F%2Fwww.rijksoverheid.nl%2Fbinaries%2Frijksoverheid%2Fdocumenten%2Frapporten%2F2021%2F11%2F21%2Fonderzoeksrapport-oda-toerekening-eerstejaarsopvang-asielzoekers-uit-dac-landen%2FEindrapport%2BODA-toerekening%2Beerstejaarsopvang%2Basielzoekers%2Buit%2BDAC-landen..pdf&amp;usg=AOvVaw3_flnbMTzFupn-7CWX1FcU&amp;opi=89978449" TargetMode="Externa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oecd.org/en/topics/sub-issues/oda-eligibility-and-conditions/in-donor-refugee-costs-in-official-development-assistance-oda.html"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www.nlontwikkelingshulp.nl"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e85c4ca-1afe-4a4f-afc4-55b8a05bb1f4/file" TargetMode="External"/><Relationship Id="rId2" Type="http://schemas.openxmlformats.org/officeDocument/2006/relationships/hyperlink" Target="https://opendata.cbs.nl/statline/" TargetMode="External"/><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15</ap:Pages>
  <ap:Words>6774</ap:Words>
  <ap:Characters>37263</ap:Characters>
  <ap:DocSecurity>0</ap:DocSecurity>
  <ap:Lines>310</ap:Lines>
  <ap:Paragraphs>87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2025-09-26T15:25:00.0000000Z</dcterms:created>
  <dcterms:modified xsi:type="dcterms:W3CDTF">2025-09-26T15:25:00.0000000Z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21e23898-748c-4958-90ed-0a69b3d1abe2</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