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0DE7" w:rsidR="002D5A57" w:rsidP="002D5A57" w:rsidRDefault="002D5A57" w14:paraId="21CB7945" w14:textId="6C00C47A">
      <w:pPr>
        <w:rPr>
          <w:lang w:val="en-US"/>
        </w:rPr>
      </w:pPr>
      <w:bookmarkStart w:name="_Toc209500354" w:id="0"/>
      <w:bookmarkStart w:name="_Toc219275270" w:id="1"/>
      <w:bookmarkStart w:name="_Toc219275340" w:id="2"/>
      <w:bookmarkStart w:name="_Toc219518985" w:id="3"/>
      <w:r w:rsidRPr="00910DE7">
        <w:rPr>
          <w:lang w:val="en-US"/>
        </w:rPr>
        <w:t>Scorekaart</w:t>
      </w:r>
      <w:r w:rsidR="00A11DD8">
        <w:rPr>
          <w:lang w:val="en-US"/>
        </w:rPr>
        <w:t>:</w:t>
      </w:r>
      <w:r w:rsidR="00A11DD8">
        <w:rPr>
          <w:lang w:val="en-US"/>
        </w:rPr>
        <w:tab/>
      </w:r>
      <w:r w:rsidR="00A11DD8">
        <w:rPr>
          <w:lang w:val="en-US"/>
        </w:rPr>
        <w:tab/>
      </w:r>
      <w:r w:rsidR="00A11DD8">
        <w:rPr>
          <w:lang w:val="en-US"/>
        </w:rPr>
        <w:tab/>
      </w:r>
      <w:r w:rsidR="00A11DD8">
        <w:rPr>
          <w:lang w:val="en-US"/>
        </w:rPr>
        <w:tab/>
      </w:r>
      <w:r w:rsidR="00A11DD8">
        <w:rPr>
          <w:lang w:val="en-US"/>
        </w:rPr>
        <w:tab/>
      </w:r>
      <w:r w:rsidRPr="002D5A57">
        <w:rPr>
          <w:lang w:val="en-US"/>
        </w:rPr>
        <w:t>European Bank for Reconstruction and Development (EBRD)</w:t>
      </w:r>
    </w:p>
    <w:p w:rsidRPr="00910DE7" w:rsidR="002D5A57" w:rsidP="002D5A57" w:rsidRDefault="002D5A57" w14:paraId="15F80E61" w14:textId="77777777">
      <w:pPr>
        <w:ind w:left="2292" w:hanging="2292"/>
        <w:rPr>
          <w:lang w:val="en-US"/>
        </w:rPr>
      </w:pPr>
    </w:p>
    <w:p w:rsidRPr="00785F18" w:rsidR="002D5A57" w:rsidP="002D5A57" w:rsidRDefault="001C2B49" w14:paraId="684C6F8F" w14:textId="39A9E040">
      <w:r>
        <w:fldChar w:fldCharType="begin"/>
      </w:r>
      <w:r>
        <w:instrText xml:space="preserve"> DOCPROPERTY  L_CONTACT  \* MERGEFORMAT </w:instrText>
      </w:r>
      <w:r>
        <w:fldChar w:fldCharType="separate"/>
      </w:r>
      <w:r w:rsidR="002D5A57">
        <w:t>Opgesteld door</w:t>
      </w:r>
      <w:r>
        <w:fldChar w:fldCharType="end"/>
      </w:r>
      <w:r w:rsidR="002D5A57">
        <w:t>:</w:t>
      </w:r>
      <w:r w:rsidR="002D5A57">
        <w:tab/>
      </w:r>
      <w:r w:rsidR="002D5A57">
        <w:tab/>
      </w:r>
      <w:r w:rsidR="002D5A57">
        <w:tab/>
      </w:r>
      <w:r w:rsidRPr="009D3E0A" w:rsidR="00A11DD8">
        <w:t>Directie Multilaterale Instellingen en Mensenrechten</w:t>
      </w:r>
    </w:p>
    <w:p w:rsidRPr="00785F18" w:rsidR="002D5A57" w:rsidP="002D5A57" w:rsidRDefault="002D5A57" w14:paraId="5760B65C" w14:textId="77777777">
      <w:pPr>
        <w:ind w:left="2292" w:hanging="2292"/>
      </w:pPr>
    </w:p>
    <w:tbl>
      <w:tblPr>
        <w:tblW w:w="0" w:type="auto"/>
        <w:tblLook w:val="01E0" w:firstRow="1" w:lastRow="1" w:firstColumn="1" w:lastColumn="1" w:noHBand="0" w:noVBand="0"/>
      </w:tblPr>
      <w:tblGrid>
        <w:gridCol w:w="1985"/>
        <w:gridCol w:w="5741"/>
      </w:tblGrid>
      <w:tr w:rsidRPr="00785F18" w:rsidR="002D5A57" w:rsidTr="00A11DD8" w14:paraId="4E2F5C2A" w14:textId="77777777">
        <w:tc>
          <w:tcPr>
            <w:tcW w:w="1985" w:type="dxa"/>
            <w:shd w:val="clear" w:color="auto" w:fill="auto"/>
          </w:tcPr>
          <w:p w:rsidRPr="00785F18" w:rsidR="002D5A57" w:rsidP="00D15E6D" w:rsidRDefault="001C2B49" w14:paraId="3440D977" w14:textId="77777777">
            <w:pPr>
              <w:ind w:left="-105"/>
            </w:pPr>
            <w:r>
              <w:fldChar w:fldCharType="begin"/>
            </w:r>
            <w:r>
              <w:instrText xml:space="preserve"> DOCPROPERTY  L_AUTHOR  \* MERGEFORMAT </w:instrText>
            </w:r>
            <w:r>
              <w:fldChar w:fldCharType="separate"/>
            </w:r>
            <w:r w:rsidR="002D5A57">
              <w:t>Afgestemd met:</w:t>
            </w:r>
            <w:r>
              <w:fldChar w:fldCharType="end"/>
            </w:r>
          </w:p>
        </w:tc>
        <w:tc>
          <w:tcPr>
            <w:tcW w:w="5741" w:type="dxa"/>
            <w:shd w:val="clear" w:color="auto" w:fill="auto"/>
          </w:tcPr>
          <w:p w:rsidRPr="00785F18" w:rsidR="002D5A57" w:rsidP="00D15E6D" w:rsidRDefault="00A11DD8" w14:paraId="36E36F3E" w14:textId="5A033476">
            <w:r>
              <w:t>Het</w:t>
            </w:r>
            <w:r w:rsidRPr="00AD5E85">
              <w:t xml:space="preserve"> ministerie van Financiën en de Nederlandse kiesgroep</w:t>
            </w:r>
            <w:r>
              <w:t xml:space="preserve"> bij de EBRD.</w:t>
            </w:r>
          </w:p>
        </w:tc>
      </w:tr>
      <w:bookmarkEnd w:id="0"/>
      <w:bookmarkEnd w:id="1"/>
      <w:bookmarkEnd w:id="2"/>
      <w:bookmarkEnd w:id="3"/>
    </w:tbl>
    <w:p w:rsidR="00A11DD8" w:rsidRDefault="00A11DD8" w14:paraId="237CE3C6" w14:textId="16E8D8FF">
      <w:pPr>
        <w:spacing w:line="240" w:lineRule="auto"/>
      </w:pPr>
      <w:r>
        <w:br w:type="page"/>
      </w:r>
    </w:p>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noProof/>
        </w:rPr>
      </w:sdtEndPr>
      <w:sdtContent>
        <w:p w:rsidR="00B96027" w:rsidP="00B96027" w:rsidRDefault="00B96027" w14:paraId="43A20939" w14:textId="77777777">
          <w:pPr>
            <w:pStyle w:val="TOCHeading"/>
            <w:rPr>
              <w:rFonts w:ascii="Verdana" w:hAnsi="Verdana"/>
              <w:color w:val="auto"/>
              <w:sz w:val="24"/>
              <w:szCs w:val="24"/>
            </w:rPr>
          </w:pPr>
          <w:proofErr w:type="spellStart"/>
          <w:r>
            <w:rPr>
              <w:rFonts w:ascii="Verdana" w:hAnsi="Verdana"/>
              <w:color w:val="auto"/>
              <w:sz w:val="24"/>
              <w:szCs w:val="24"/>
            </w:rPr>
            <w:t>Inhoudsopgave</w:t>
          </w:r>
          <w:proofErr w:type="spellEnd"/>
          <w:r>
            <w:rPr>
              <w:rFonts w:ascii="Verdana" w:hAnsi="Verdana"/>
              <w:color w:val="auto"/>
              <w:sz w:val="24"/>
              <w:szCs w:val="24"/>
            </w:rPr>
            <w:t xml:space="preserve"> </w:t>
          </w:r>
        </w:p>
        <w:p w:rsidRPr="00B96027" w:rsidR="00B96027" w:rsidP="00B96027" w:rsidRDefault="00B96027" w14:paraId="0E024F8A" w14:textId="77777777">
          <w:pPr>
            <w:spacing w:line="360" w:lineRule="auto"/>
            <w:rPr>
              <w:b/>
              <w:bCs/>
              <w:lang w:val="en-US" w:eastAsia="en-US"/>
            </w:rPr>
          </w:pPr>
        </w:p>
        <w:p w:rsidR="001F41EE" w:rsidRDefault="00B96027" w14:paraId="3CE9D90A" w14:textId="109247C1">
          <w:pPr>
            <w:pStyle w:val="TOC1"/>
            <w:tabs>
              <w:tab w:val="left" w:pos="1389"/>
              <w:tab w:val="right" w:leader="dot" w:pos="7716"/>
            </w:tabs>
            <w:rPr>
              <w:rFonts w:asciiTheme="minorHAnsi" w:hAnsiTheme="minorHAnsi" w:eastAsiaTheme="minorEastAsia" w:cstheme="minorBidi"/>
              <w:noProof/>
              <w:kern w:val="2"/>
              <w:sz w:val="24"/>
              <w14:ligatures w14:val="standardContextual"/>
            </w:rPr>
          </w:pPr>
          <w:r w:rsidRPr="001E628B">
            <w:rPr>
              <w:b/>
              <w:bCs/>
            </w:rPr>
            <w:fldChar w:fldCharType="begin"/>
          </w:r>
          <w:r w:rsidRPr="001E628B">
            <w:rPr>
              <w:b/>
              <w:bCs/>
            </w:rPr>
            <w:instrText xml:space="preserve"> TOC \o "1-3" \h \z \u </w:instrText>
          </w:r>
          <w:r w:rsidRPr="001E628B">
            <w:rPr>
              <w:b/>
              <w:bCs/>
            </w:rPr>
            <w:fldChar w:fldCharType="separate"/>
          </w:r>
          <w:hyperlink w:history="1" w:anchor="_Toc205366634">
            <w:r w:rsidRPr="00761E37" w:rsidR="001F41EE">
              <w:rPr>
                <w:rStyle w:val="Hyperlink"/>
                <w:noProof/>
              </w:rPr>
              <w:t xml:space="preserve">1 </w:t>
            </w:r>
            <w:r w:rsidR="001F41EE">
              <w:rPr>
                <w:rFonts w:asciiTheme="minorHAnsi" w:hAnsiTheme="minorHAnsi" w:eastAsiaTheme="minorEastAsia" w:cstheme="minorBidi"/>
                <w:noProof/>
                <w:kern w:val="2"/>
                <w:sz w:val="24"/>
                <w14:ligatures w14:val="standardContextual"/>
              </w:rPr>
              <w:tab/>
            </w:r>
            <w:r w:rsidRPr="00761E37" w:rsidR="001F41EE">
              <w:rPr>
                <w:rStyle w:val="Hyperlink"/>
                <w:noProof/>
              </w:rPr>
              <w:t>Inleiding</w:t>
            </w:r>
            <w:r w:rsidR="001F41EE">
              <w:rPr>
                <w:noProof/>
                <w:webHidden/>
              </w:rPr>
              <w:tab/>
            </w:r>
            <w:r w:rsidR="001F41EE">
              <w:rPr>
                <w:noProof/>
                <w:webHidden/>
              </w:rPr>
              <w:fldChar w:fldCharType="begin"/>
            </w:r>
            <w:r w:rsidR="001F41EE">
              <w:rPr>
                <w:noProof/>
                <w:webHidden/>
              </w:rPr>
              <w:instrText xml:space="preserve"> PAGEREF _Toc205366634 \h </w:instrText>
            </w:r>
            <w:r w:rsidR="001F41EE">
              <w:rPr>
                <w:noProof/>
                <w:webHidden/>
              </w:rPr>
            </w:r>
            <w:r w:rsidR="001F41EE">
              <w:rPr>
                <w:noProof/>
                <w:webHidden/>
              </w:rPr>
              <w:fldChar w:fldCharType="separate"/>
            </w:r>
            <w:r w:rsidR="001F41EE">
              <w:rPr>
                <w:noProof/>
                <w:webHidden/>
              </w:rPr>
              <w:t>3</w:t>
            </w:r>
            <w:r w:rsidR="001F41EE">
              <w:rPr>
                <w:noProof/>
                <w:webHidden/>
              </w:rPr>
              <w:fldChar w:fldCharType="end"/>
            </w:r>
          </w:hyperlink>
        </w:p>
        <w:p w:rsidR="001F41EE" w:rsidRDefault="001C2B49" w14:paraId="72382C99" w14:textId="720FAB8D">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6635">
            <w:r w:rsidRPr="00761E37" w:rsidR="001F41EE">
              <w:rPr>
                <w:rStyle w:val="Hyperlink"/>
                <w:noProof/>
              </w:rPr>
              <w:t>2</w:t>
            </w:r>
            <w:r w:rsidR="001F41EE">
              <w:rPr>
                <w:rFonts w:asciiTheme="minorHAnsi" w:hAnsiTheme="minorHAnsi" w:eastAsiaTheme="minorEastAsia" w:cstheme="minorBidi"/>
                <w:noProof/>
                <w:kern w:val="2"/>
                <w:sz w:val="24"/>
                <w14:ligatures w14:val="standardContextual"/>
              </w:rPr>
              <w:tab/>
            </w:r>
            <w:r w:rsidRPr="00761E37" w:rsidR="001F41EE">
              <w:rPr>
                <w:rStyle w:val="Hyperlink"/>
                <w:noProof/>
              </w:rPr>
              <w:t>Samenvatting</w:t>
            </w:r>
            <w:r w:rsidR="001F41EE">
              <w:rPr>
                <w:noProof/>
                <w:webHidden/>
              </w:rPr>
              <w:tab/>
            </w:r>
            <w:r w:rsidR="001F41EE">
              <w:rPr>
                <w:noProof/>
                <w:webHidden/>
              </w:rPr>
              <w:fldChar w:fldCharType="begin"/>
            </w:r>
            <w:r w:rsidR="001F41EE">
              <w:rPr>
                <w:noProof/>
                <w:webHidden/>
              </w:rPr>
              <w:instrText xml:space="preserve"> PAGEREF _Toc205366635 \h </w:instrText>
            </w:r>
            <w:r w:rsidR="001F41EE">
              <w:rPr>
                <w:noProof/>
                <w:webHidden/>
              </w:rPr>
            </w:r>
            <w:r w:rsidR="001F41EE">
              <w:rPr>
                <w:noProof/>
                <w:webHidden/>
              </w:rPr>
              <w:fldChar w:fldCharType="separate"/>
            </w:r>
            <w:r w:rsidR="001F41EE">
              <w:rPr>
                <w:noProof/>
                <w:webHidden/>
              </w:rPr>
              <w:t>4</w:t>
            </w:r>
            <w:r w:rsidR="001F41EE">
              <w:rPr>
                <w:noProof/>
                <w:webHidden/>
              </w:rPr>
              <w:fldChar w:fldCharType="end"/>
            </w:r>
          </w:hyperlink>
        </w:p>
        <w:p w:rsidR="001F41EE" w:rsidRDefault="001C2B49" w14:paraId="7013CCDC" w14:textId="7622C5D2">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6636">
            <w:r w:rsidRPr="00761E37" w:rsidR="001F41EE">
              <w:rPr>
                <w:rStyle w:val="Hyperlink"/>
                <w:noProof/>
              </w:rPr>
              <w:t xml:space="preserve">3 </w:t>
            </w:r>
            <w:r w:rsidR="001F41EE">
              <w:rPr>
                <w:rFonts w:asciiTheme="minorHAnsi" w:hAnsiTheme="minorHAnsi" w:eastAsiaTheme="minorEastAsia" w:cstheme="minorBidi"/>
                <w:noProof/>
                <w:kern w:val="2"/>
                <w:sz w:val="24"/>
                <w14:ligatures w14:val="standardContextual"/>
              </w:rPr>
              <w:tab/>
            </w:r>
            <w:r w:rsidRPr="00761E37" w:rsidR="001F41EE">
              <w:rPr>
                <w:rStyle w:val="Hyperlink"/>
                <w:noProof/>
              </w:rPr>
              <w:t>Algemene achtergrond</w:t>
            </w:r>
            <w:r w:rsidR="001F41EE">
              <w:rPr>
                <w:noProof/>
                <w:webHidden/>
              </w:rPr>
              <w:tab/>
            </w:r>
            <w:r w:rsidR="001F41EE">
              <w:rPr>
                <w:noProof/>
                <w:webHidden/>
              </w:rPr>
              <w:fldChar w:fldCharType="begin"/>
            </w:r>
            <w:r w:rsidR="001F41EE">
              <w:rPr>
                <w:noProof/>
                <w:webHidden/>
              </w:rPr>
              <w:instrText xml:space="preserve"> PAGEREF _Toc205366636 \h </w:instrText>
            </w:r>
            <w:r w:rsidR="001F41EE">
              <w:rPr>
                <w:noProof/>
                <w:webHidden/>
              </w:rPr>
            </w:r>
            <w:r w:rsidR="001F41EE">
              <w:rPr>
                <w:noProof/>
                <w:webHidden/>
              </w:rPr>
              <w:fldChar w:fldCharType="separate"/>
            </w:r>
            <w:r w:rsidR="001F41EE">
              <w:rPr>
                <w:noProof/>
                <w:webHidden/>
              </w:rPr>
              <w:t>6</w:t>
            </w:r>
            <w:r w:rsidR="001F41EE">
              <w:rPr>
                <w:noProof/>
                <w:webHidden/>
              </w:rPr>
              <w:fldChar w:fldCharType="end"/>
            </w:r>
          </w:hyperlink>
        </w:p>
        <w:p w:rsidR="001F41EE" w:rsidRDefault="001C2B49" w14:paraId="42A707B0" w14:textId="07594624">
          <w:pPr>
            <w:pStyle w:val="TOC2"/>
            <w:rPr>
              <w:rFonts w:asciiTheme="minorHAnsi" w:hAnsiTheme="minorHAnsi" w:eastAsiaTheme="minorEastAsia" w:cstheme="minorBidi"/>
              <w:b w:val="0"/>
              <w:kern w:val="2"/>
              <w:sz w:val="24"/>
              <w14:ligatures w14:val="standardContextual"/>
            </w:rPr>
          </w:pPr>
          <w:hyperlink w:history="1" w:anchor="_Toc205366639">
            <w:r w:rsidRPr="00761E37" w:rsidR="001F41EE">
              <w:rPr>
                <w:rStyle w:val="Hyperlink"/>
              </w:rPr>
              <w:t xml:space="preserve">3.1 </w:t>
            </w:r>
            <w:r w:rsidR="001F41EE">
              <w:rPr>
                <w:rFonts w:asciiTheme="minorHAnsi" w:hAnsiTheme="minorHAnsi" w:eastAsiaTheme="minorEastAsia" w:cstheme="minorBidi"/>
                <w:b w:val="0"/>
                <w:kern w:val="2"/>
                <w:sz w:val="24"/>
                <w14:ligatures w14:val="standardContextual"/>
              </w:rPr>
              <w:tab/>
            </w:r>
            <w:r w:rsidRPr="00761E37" w:rsidR="001F41EE">
              <w:rPr>
                <w:rStyle w:val="Hyperlink"/>
              </w:rPr>
              <w:t>Samenvattende beschrijving van de organisatie door MOPAN naar het Nederlands vertaald</w:t>
            </w:r>
            <w:r w:rsidR="001F41EE">
              <w:rPr>
                <w:webHidden/>
              </w:rPr>
              <w:tab/>
            </w:r>
            <w:r w:rsidR="001F41EE">
              <w:rPr>
                <w:webHidden/>
              </w:rPr>
              <w:fldChar w:fldCharType="begin"/>
            </w:r>
            <w:r w:rsidR="001F41EE">
              <w:rPr>
                <w:webHidden/>
              </w:rPr>
              <w:instrText xml:space="preserve"> PAGEREF _Toc205366639 \h </w:instrText>
            </w:r>
            <w:r w:rsidR="001F41EE">
              <w:rPr>
                <w:webHidden/>
              </w:rPr>
            </w:r>
            <w:r w:rsidR="001F41EE">
              <w:rPr>
                <w:webHidden/>
              </w:rPr>
              <w:fldChar w:fldCharType="separate"/>
            </w:r>
            <w:r w:rsidR="001F41EE">
              <w:rPr>
                <w:webHidden/>
              </w:rPr>
              <w:t>6</w:t>
            </w:r>
            <w:r w:rsidR="001F41EE">
              <w:rPr>
                <w:webHidden/>
              </w:rPr>
              <w:fldChar w:fldCharType="end"/>
            </w:r>
          </w:hyperlink>
        </w:p>
        <w:p w:rsidR="001F41EE" w:rsidRDefault="001C2B49" w14:paraId="1CDEB6D8" w14:textId="63A398AC">
          <w:pPr>
            <w:pStyle w:val="TOC2"/>
            <w:rPr>
              <w:rFonts w:asciiTheme="minorHAnsi" w:hAnsiTheme="minorHAnsi" w:eastAsiaTheme="minorEastAsia" w:cstheme="minorBidi"/>
              <w:b w:val="0"/>
              <w:kern w:val="2"/>
              <w:sz w:val="24"/>
              <w14:ligatures w14:val="standardContextual"/>
            </w:rPr>
          </w:pPr>
          <w:hyperlink w:history="1" w:anchor="_Toc205366640">
            <w:r w:rsidRPr="00761E37" w:rsidR="001F41EE">
              <w:rPr>
                <w:rStyle w:val="Hyperlink"/>
              </w:rPr>
              <w:t xml:space="preserve">3.2 </w:t>
            </w:r>
            <w:r w:rsidR="001F41EE">
              <w:rPr>
                <w:rFonts w:asciiTheme="minorHAnsi" w:hAnsiTheme="minorHAnsi" w:eastAsiaTheme="minorEastAsia" w:cstheme="minorBidi"/>
                <w:b w:val="0"/>
                <w:kern w:val="2"/>
                <w:sz w:val="24"/>
                <w14:ligatures w14:val="standardContextual"/>
              </w:rPr>
              <w:tab/>
            </w:r>
            <w:r w:rsidRPr="00761E37" w:rsidR="001F41EE">
              <w:rPr>
                <w:rStyle w:val="Hyperlink"/>
              </w:rPr>
              <w:t>Nederlandse rol en invloed</w:t>
            </w:r>
            <w:r w:rsidR="001F41EE">
              <w:rPr>
                <w:webHidden/>
              </w:rPr>
              <w:tab/>
            </w:r>
            <w:r w:rsidR="001F41EE">
              <w:rPr>
                <w:webHidden/>
              </w:rPr>
              <w:fldChar w:fldCharType="begin"/>
            </w:r>
            <w:r w:rsidR="001F41EE">
              <w:rPr>
                <w:webHidden/>
              </w:rPr>
              <w:instrText xml:space="preserve"> PAGEREF _Toc205366640 \h </w:instrText>
            </w:r>
            <w:r w:rsidR="001F41EE">
              <w:rPr>
                <w:webHidden/>
              </w:rPr>
            </w:r>
            <w:r w:rsidR="001F41EE">
              <w:rPr>
                <w:webHidden/>
              </w:rPr>
              <w:fldChar w:fldCharType="separate"/>
            </w:r>
            <w:r w:rsidR="001F41EE">
              <w:rPr>
                <w:webHidden/>
              </w:rPr>
              <w:t>7</w:t>
            </w:r>
            <w:r w:rsidR="001F41EE">
              <w:rPr>
                <w:webHidden/>
              </w:rPr>
              <w:fldChar w:fldCharType="end"/>
            </w:r>
          </w:hyperlink>
        </w:p>
        <w:p w:rsidR="001F41EE" w:rsidRDefault="001C2B49" w14:paraId="27193005" w14:textId="15E4F194">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6641">
            <w:r w:rsidRPr="00761E37" w:rsidR="001F41EE">
              <w:rPr>
                <w:rStyle w:val="Hyperlink"/>
                <w:noProof/>
              </w:rPr>
              <w:t>4</w:t>
            </w:r>
            <w:r w:rsidR="001F41EE">
              <w:rPr>
                <w:rFonts w:asciiTheme="minorHAnsi" w:hAnsiTheme="minorHAnsi" w:eastAsiaTheme="minorEastAsia" w:cstheme="minorBidi"/>
                <w:noProof/>
                <w:kern w:val="2"/>
                <w:sz w:val="24"/>
                <w14:ligatures w14:val="standardContextual"/>
              </w:rPr>
              <w:tab/>
            </w:r>
            <w:r w:rsidRPr="00761E37" w:rsidR="001F41EE">
              <w:rPr>
                <w:rStyle w:val="Hyperlink"/>
                <w:noProof/>
              </w:rPr>
              <w:t>MOPAN-beoordeling van de EBRD</w:t>
            </w:r>
            <w:r w:rsidR="001F41EE">
              <w:rPr>
                <w:noProof/>
                <w:webHidden/>
              </w:rPr>
              <w:tab/>
            </w:r>
            <w:r w:rsidR="001F41EE">
              <w:rPr>
                <w:noProof/>
                <w:webHidden/>
              </w:rPr>
              <w:fldChar w:fldCharType="begin"/>
            </w:r>
            <w:r w:rsidR="001F41EE">
              <w:rPr>
                <w:noProof/>
                <w:webHidden/>
              </w:rPr>
              <w:instrText xml:space="preserve"> PAGEREF _Toc205366641 \h </w:instrText>
            </w:r>
            <w:r w:rsidR="001F41EE">
              <w:rPr>
                <w:noProof/>
                <w:webHidden/>
              </w:rPr>
            </w:r>
            <w:r w:rsidR="001F41EE">
              <w:rPr>
                <w:noProof/>
                <w:webHidden/>
              </w:rPr>
              <w:fldChar w:fldCharType="separate"/>
            </w:r>
            <w:r w:rsidR="001F41EE">
              <w:rPr>
                <w:noProof/>
                <w:webHidden/>
              </w:rPr>
              <w:t>10</w:t>
            </w:r>
            <w:r w:rsidR="001F41EE">
              <w:rPr>
                <w:noProof/>
                <w:webHidden/>
              </w:rPr>
              <w:fldChar w:fldCharType="end"/>
            </w:r>
          </w:hyperlink>
        </w:p>
        <w:p w:rsidR="001F41EE" w:rsidRDefault="001C2B49" w14:paraId="0C540876" w14:textId="5314FB18">
          <w:pPr>
            <w:pStyle w:val="TOC2"/>
            <w:rPr>
              <w:rFonts w:asciiTheme="minorHAnsi" w:hAnsiTheme="minorHAnsi" w:eastAsiaTheme="minorEastAsia" w:cstheme="minorBidi"/>
              <w:b w:val="0"/>
              <w:kern w:val="2"/>
              <w:sz w:val="24"/>
              <w14:ligatures w14:val="standardContextual"/>
            </w:rPr>
          </w:pPr>
          <w:hyperlink w:history="1" w:anchor="_Toc205366642">
            <w:r w:rsidRPr="00761E37" w:rsidR="001F41EE">
              <w:rPr>
                <w:rStyle w:val="Hyperlink"/>
              </w:rPr>
              <w:t>4.1 Kernpunten van de MOPAN-beoordeling naar het Nederlands vertaald</w:t>
            </w:r>
            <w:r w:rsidR="001F41EE">
              <w:rPr>
                <w:webHidden/>
              </w:rPr>
              <w:tab/>
            </w:r>
            <w:r w:rsidR="001F41EE">
              <w:rPr>
                <w:webHidden/>
              </w:rPr>
              <w:fldChar w:fldCharType="begin"/>
            </w:r>
            <w:r w:rsidR="001F41EE">
              <w:rPr>
                <w:webHidden/>
              </w:rPr>
              <w:instrText xml:space="preserve"> PAGEREF _Toc205366642 \h </w:instrText>
            </w:r>
            <w:r w:rsidR="001F41EE">
              <w:rPr>
                <w:webHidden/>
              </w:rPr>
            </w:r>
            <w:r w:rsidR="001F41EE">
              <w:rPr>
                <w:webHidden/>
              </w:rPr>
              <w:fldChar w:fldCharType="separate"/>
            </w:r>
            <w:r w:rsidR="001F41EE">
              <w:rPr>
                <w:webHidden/>
              </w:rPr>
              <w:t>10</w:t>
            </w:r>
            <w:r w:rsidR="001F41EE">
              <w:rPr>
                <w:webHidden/>
              </w:rPr>
              <w:fldChar w:fldCharType="end"/>
            </w:r>
          </w:hyperlink>
        </w:p>
        <w:p w:rsidR="001F41EE" w:rsidRDefault="001C2B49" w14:paraId="0ED545C7" w14:textId="3D0ACBC3">
          <w:pPr>
            <w:pStyle w:val="TOC2"/>
            <w:rPr>
              <w:rFonts w:asciiTheme="minorHAnsi" w:hAnsiTheme="minorHAnsi" w:eastAsiaTheme="minorEastAsia" w:cstheme="minorBidi"/>
              <w:b w:val="0"/>
              <w:kern w:val="2"/>
              <w:sz w:val="24"/>
              <w14:ligatures w14:val="standardContextual"/>
            </w:rPr>
          </w:pPr>
          <w:hyperlink w:history="1" w:anchor="_Toc205366643">
            <w:r w:rsidRPr="00761E37" w:rsidR="001F41EE">
              <w:rPr>
                <w:rStyle w:val="Hyperlink"/>
                <w:bCs/>
                <w:i/>
              </w:rPr>
              <w:t>Toelichting op figuur</w:t>
            </w:r>
            <w:r w:rsidR="001F41EE">
              <w:rPr>
                <w:webHidden/>
              </w:rPr>
              <w:tab/>
            </w:r>
            <w:r w:rsidR="001F41EE">
              <w:rPr>
                <w:webHidden/>
              </w:rPr>
              <w:fldChar w:fldCharType="begin"/>
            </w:r>
            <w:r w:rsidR="001F41EE">
              <w:rPr>
                <w:webHidden/>
              </w:rPr>
              <w:instrText xml:space="preserve"> PAGEREF _Toc205366643 \h </w:instrText>
            </w:r>
            <w:r w:rsidR="001F41EE">
              <w:rPr>
                <w:webHidden/>
              </w:rPr>
            </w:r>
            <w:r w:rsidR="001F41EE">
              <w:rPr>
                <w:webHidden/>
              </w:rPr>
              <w:fldChar w:fldCharType="separate"/>
            </w:r>
            <w:r w:rsidR="001F41EE">
              <w:rPr>
                <w:webHidden/>
              </w:rPr>
              <w:t>11</w:t>
            </w:r>
            <w:r w:rsidR="001F41EE">
              <w:rPr>
                <w:webHidden/>
              </w:rPr>
              <w:fldChar w:fldCharType="end"/>
            </w:r>
          </w:hyperlink>
        </w:p>
        <w:p w:rsidR="001F41EE" w:rsidRDefault="001C2B49" w14:paraId="26E28B88" w14:textId="0047A47F">
          <w:pPr>
            <w:pStyle w:val="TOC2"/>
            <w:rPr>
              <w:rFonts w:asciiTheme="minorHAnsi" w:hAnsiTheme="minorHAnsi" w:eastAsiaTheme="minorEastAsia" w:cstheme="minorBidi"/>
              <w:b w:val="0"/>
              <w:kern w:val="2"/>
              <w:sz w:val="24"/>
              <w14:ligatures w14:val="standardContextual"/>
            </w:rPr>
          </w:pPr>
          <w:hyperlink w:history="1" w:anchor="_Toc205366644">
            <w:r w:rsidRPr="00761E37" w:rsidR="001F41EE">
              <w:rPr>
                <w:rStyle w:val="Hyperlink"/>
              </w:rPr>
              <w:t>4.2 Appreciatie van de MOPAN-beoordeling</w:t>
            </w:r>
            <w:r w:rsidR="001F41EE">
              <w:rPr>
                <w:webHidden/>
              </w:rPr>
              <w:tab/>
            </w:r>
            <w:r w:rsidR="001F41EE">
              <w:rPr>
                <w:webHidden/>
              </w:rPr>
              <w:fldChar w:fldCharType="begin"/>
            </w:r>
            <w:r w:rsidR="001F41EE">
              <w:rPr>
                <w:webHidden/>
              </w:rPr>
              <w:instrText xml:space="preserve"> PAGEREF _Toc205366644 \h </w:instrText>
            </w:r>
            <w:r w:rsidR="001F41EE">
              <w:rPr>
                <w:webHidden/>
              </w:rPr>
            </w:r>
            <w:r w:rsidR="001F41EE">
              <w:rPr>
                <w:webHidden/>
              </w:rPr>
              <w:fldChar w:fldCharType="separate"/>
            </w:r>
            <w:r w:rsidR="001F41EE">
              <w:rPr>
                <w:webHidden/>
              </w:rPr>
              <w:t>13</w:t>
            </w:r>
            <w:r w:rsidR="001F41EE">
              <w:rPr>
                <w:webHidden/>
              </w:rPr>
              <w:fldChar w:fldCharType="end"/>
            </w:r>
          </w:hyperlink>
        </w:p>
        <w:p w:rsidR="001F41EE" w:rsidRDefault="001C2B49" w14:paraId="5C0FA8A3" w14:textId="7B48E979">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6645">
            <w:r w:rsidRPr="00761E37" w:rsidR="001F41EE">
              <w:rPr>
                <w:rStyle w:val="Hyperlink"/>
                <w:noProof/>
              </w:rPr>
              <w:t xml:space="preserve">5 </w:t>
            </w:r>
            <w:r w:rsidR="001F41EE">
              <w:rPr>
                <w:rFonts w:asciiTheme="minorHAnsi" w:hAnsiTheme="minorHAnsi" w:eastAsiaTheme="minorEastAsia" w:cstheme="minorBidi"/>
                <w:noProof/>
                <w:kern w:val="2"/>
                <w:sz w:val="24"/>
                <w14:ligatures w14:val="standardContextual"/>
              </w:rPr>
              <w:tab/>
            </w:r>
            <w:r w:rsidRPr="00761E37" w:rsidR="001F41EE">
              <w:rPr>
                <w:rStyle w:val="Hyperlink"/>
                <w:noProof/>
              </w:rPr>
              <w:t>Relevantie van de organisatie / financiële instelling</w:t>
            </w:r>
            <w:r w:rsidR="001F41EE">
              <w:rPr>
                <w:noProof/>
                <w:webHidden/>
              </w:rPr>
              <w:tab/>
            </w:r>
            <w:r w:rsidR="001F41EE">
              <w:rPr>
                <w:noProof/>
                <w:webHidden/>
              </w:rPr>
              <w:fldChar w:fldCharType="begin"/>
            </w:r>
            <w:r w:rsidR="001F41EE">
              <w:rPr>
                <w:noProof/>
                <w:webHidden/>
              </w:rPr>
              <w:instrText xml:space="preserve"> PAGEREF _Toc205366645 \h </w:instrText>
            </w:r>
            <w:r w:rsidR="001F41EE">
              <w:rPr>
                <w:noProof/>
                <w:webHidden/>
              </w:rPr>
            </w:r>
            <w:r w:rsidR="001F41EE">
              <w:rPr>
                <w:noProof/>
                <w:webHidden/>
              </w:rPr>
              <w:fldChar w:fldCharType="separate"/>
            </w:r>
            <w:r w:rsidR="001F41EE">
              <w:rPr>
                <w:noProof/>
                <w:webHidden/>
              </w:rPr>
              <w:t>17</w:t>
            </w:r>
            <w:r w:rsidR="001F41EE">
              <w:rPr>
                <w:noProof/>
                <w:webHidden/>
              </w:rPr>
              <w:fldChar w:fldCharType="end"/>
            </w:r>
          </w:hyperlink>
        </w:p>
        <w:p w:rsidR="001F41EE" w:rsidRDefault="001C2B49" w14:paraId="5FC552F3" w14:textId="3CCD79A8">
          <w:pPr>
            <w:pStyle w:val="TOC2"/>
            <w:rPr>
              <w:rFonts w:asciiTheme="minorHAnsi" w:hAnsiTheme="minorHAnsi" w:eastAsiaTheme="minorEastAsia" w:cstheme="minorBidi"/>
              <w:b w:val="0"/>
              <w:kern w:val="2"/>
              <w:sz w:val="24"/>
              <w14:ligatures w14:val="standardContextual"/>
            </w:rPr>
          </w:pPr>
          <w:hyperlink w:history="1" w:anchor="_Toc205366648">
            <w:r w:rsidRPr="00761E37" w:rsidR="001F41EE">
              <w:rPr>
                <w:rStyle w:val="Hyperlink"/>
              </w:rPr>
              <w:t>5.1</w:t>
            </w:r>
            <w:r w:rsidR="001F41EE">
              <w:rPr>
                <w:rFonts w:asciiTheme="minorHAnsi" w:hAnsiTheme="minorHAnsi" w:eastAsiaTheme="minorEastAsia" w:cstheme="minorBidi"/>
                <w:b w:val="0"/>
                <w:kern w:val="2"/>
                <w:sz w:val="24"/>
                <w14:ligatures w14:val="standardContextual"/>
              </w:rPr>
              <w:tab/>
            </w:r>
            <w:r w:rsidRPr="00761E37" w:rsidR="001F41EE">
              <w:rPr>
                <w:rStyle w:val="Hyperlink"/>
              </w:rPr>
              <w:t>Relevantie voor Nederlandse BHOS-prioriteiten</w:t>
            </w:r>
            <w:r w:rsidR="001F41EE">
              <w:rPr>
                <w:webHidden/>
              </w:rPr>
              <w:tab/>
            </w:r>
            <w:r w:rsidR="001F41EE">
              <w:rPr>
                <w:webHidden/>
              </w:rPr>
              <w:fldChar w:fldCharType="begin"/>
            </w:r>
            <w:r w:rsidR="001F41EE">
              <w:rPr>
                <w:webHidden/>
              </w:rPr>
              <w:instrText xml:space="preserve"> PAGEREF _Toc205366648 \h </w:instrText>
            </w:r>
            <w:r w:rsidR="001F41EE">
              <w:rPr>
                <w:webHidden/>
              </w:rPr>
            </w:r>
            <w:r w:rsidR="001F41EE">
              <w:rPr>
                <w:webHidden/>
              </w:rPr>
              <w:fldChar w:fldCharType="separate"/>
            </w:r>
            <w:r w:rsidR="001F41EE">
              <w:rPr>
                <w:webHidden/>
              </w:rPr>
              <w:t>17</w:t>
            </w:r>
            <w:r w:rsidR="001F41EE">
              <w:rPr>
                <w:webHidden/>
              </w:rPr>
              <w:fldChar w:fldCharType="end"/>
            </w:r>
          </w:hyperlink>
        </w:p>
        <w:p w:rsidR="001F41EE" w:rsidRDefault="001C2B49" w14:paraId="300C1709" w14:textId="4E2E2086">
          <w:pPr>
            <w:pStyle w:val="TOC2"/>
            <w:rPr>
              <w:rFonts w:asciiTheme="minorHAnsi" w:hAnsiTheme="minorHAnsi" w:eastAsiaTheme="minorEastAsia" w:cstheme="minorBidi"/>
              <w:b w:val="0"/>
              <w:kern w:val="2"/>
              <w:sz w:val="24"/>
              <w14:ligatures w14:val="standardContextual"/>
            </w:rPr>
          </w:pPr>
          <w:hyperlink w:history="1" w:anchor="_Toc205366649">
            <w:r w:rsidRPr="00761E37" w:rsidR="001F41EE">
              <w:rPr>
                <w:rStyle w:val="Hyperlink"/>
              </w:rPr>
              <w:t>5.2</w:t>
            </w:r>
            <w:r w:rsidR="001F41EE">
              <w:rPr>
                <w:rFonts w:asciiTheme="minorHAnsi" w:hAnsiTheme="minorHAnsi" w:eastAsiaTheme="minorEastAsia" w:cstheme="minorBidi"/>
                <w:b w:val="0"/>
                <w:kern w:val="2"/>
                <w:sz w:val="24"/>
                <w14:ligatures w14:val="standardContextual"/>
              </w:rPr>
              <w:tab/>
            </w:r>
            <w:r w:rsidRPr="00761E37" w:rsidR="001F41EE">
              <w:rPr>
                <w:rStyle w:val="Hyperlink"/>
              </w:rPr>
              <w:t>Overige relevantie</w:t>
            </w:r>
            <w:r w:rsidR="001F41EE">
              <w:rPr>
                <w:webHidden/>
              </w:rPr>
              <w:tab/>
            </w:r>
            <w:r w:rsidR="001F41EE">
              <w:rPr>
                <w:webHidden/>
              </w:rPr>
              <w:fldChar w:fldCharType="begin"/>
            </w:r>
            <w:r w:rsidR="001F41EE">
              <w:rPr>
                <w:webHidden/>
              </w:rPr>
              <w:instrText xml:space="preserve"> PAGEREF _Toc205366649 \h </w:instrText>
            </w:r>
            <w:r w:rsidR="001F41EE">
              <w:rPr>
                <w:webHidden/>
              </w:rPr>
            </w:r>
            <w:r w:rsidR="001F41EE">
              <w:rPr>
                <w:webHidden/>
              </w:rPr>
              <w:fldChar w:fldCharType="separate"/>
            </w:r>
            <w:r w:rsidR="001F41EE">
              <w:rPr>
                <w:webHidden/>
              </w:rPr>
              <w:t>19</w:t>
            </w:r>
            <w:r w:rsidR="001F41EE">
              <w:rPr>
                <w:webHidden/>
              </w:rPr>
              <w:fldChar w:fldCharType="end"/>
            </w:r>
          </w:hyperlink>
        </w:p>
        <w:p w:rsidR="00B96027" w:rsidP="00B96027" w:rsidRDefault="00B96027" w14:paraId="3F411CA1" w14:textId="5ADC772E">
          <w:r w:rsidRPr="001E628B">
            <w:rPr>
              <w:noProof/>
            </w:rPr>
            <w:fldChar w:fldCharType="end"/>
          </w:r>
        </w:p>
      </w:sdtContent>
    </w:sdt>
    <w:p w:rsidRPr="002D5A57" w:rsidR="00B96027" w:rsidP="00B96027" w:rsidRDefault="00B96027" w14:paraId="3719FE4B" w14:textId="77777777">
      <w:pPr>
        <w:spacing w:line="240" w:lineRule="auto"/>
      </w:pPr>
    </w:p>
    <w:p w:rsidR="001F41EE" w:rsidP="001F41EE" w:rsidRDefault="003707BD" w14:paraId="02858EEF" w14:textId="77777777">
      <w:pPr>
        <w:pStyle w:val="Heading1"/>
        <w:tabs>
          <w:tab w:val="num" w:pos="0"/>
        </w:tabs>
        <w:spacing w:after="240" w:line="240" w:lineRule="auto"/>
        <w:ind w:hanging="1162"/>
      </w:pPr>
      <w:bookmarkStart w:name="_Toc199260808" w:id="4"/>
      <w:bookmarkStart w:name="_Toc205366634" w:id="5"/>
      <w:r w:rsidRPr="00871B8C">
        <w:lastRenderedPageBreak/>
        <w:t xml:space="preserve">1 </w:t>
      </w:r>
      <w:r w:rsidRPr="00871B8C">
        <w:tab/>
      </w:r>
      <w:bookmarkEnd w:id="4"/>
      <w:r w:rsidRPr="00410EFB" w:rsidR="001F41EE">
        <w:t>Inleiding</w:t>
      </w:r>
      <w:bookmarkEnd w:id="5"/>
    </w:p>
    <w:p w:rsidR="001F41EE" w:rsidP="001F41EE" w:rsidRDefault="001F41EE" w14:paraId="58C91B1F" w14:textId="77777777">
      <w:pPr>
        <w:spacing w:line="240" w:lineRule="auto"/>
        <w:rPr>
          <w:szCs w:val="18"/>
        </w:rPr>
      </w:pPr>
      <w:r>
        <w:rPr>
          <w:szCs w:val="18"/>
        </w:rPr>
        <w:t xml:space="preserve">Het Koninkrijk der Nederlanden is voor zijn welvaart, gezondheid en veiligheid </w:t>
      </w:r>
    </w:p>
    <w:p w:rsidR="001F41EE" w:rsidP="001F41EE" w:rsidRDefault="001F41EE" w14:paraId="36226C3A" w14:textId="77777777">
      <w:pPr>
        <w:spacing w:line="240" w:lineRule="auto"/>
        <w:rPr>
          <w:szCs w:val="18"/>
        </w:rPr>
      </w:pPr>
      <w:r>
        <w:rPr>
          <w:szCs w:val="18"/>
        </w:rPr>
        <w:t xml:space="preserve">afhankelijk van een stabiele wereld, waarin landen op basis van multilaterale afspraken met elkaar samenwerken. Het Koninkrijk heeft ontegenzeggelijk baat bij het multilaterale systeem, omdat belangen en waarden van het Koninkrijk hierbinnen in gemeenschappelijkheid kunnen worden bevorderd. </w:t>
      </w:r>
    </w:p>
    <w:p w:rsidR="001F41EE" w:rsidP="001F41EE" w:rsidRDefault="001F41EE" w14:paraId="619EB021" w14:textId="77777777">
      <w:pPr>
        <w:spacing w:line="240" w:lineRule="auto"/>
        <w:rPr>
          <w:szCs w:val="18"/>
        </w:rPr>
      </w:pPr>
    </w:p>
    <w:p w:rsidR="001F41EE" w:rsidP="001F41EE" w:rsidRDefault="001F41EE" w14:paraId="1FD7D1A2" w14:textId="77777777">
      <w:pPr>
        <w:spacing w:line="240" w:lineRule="auto"/>
        <w:rPr>
          <w:szCs w:val="18"/>
        </w:rPr>
      </w:pPr>
      <w:r>
        <w:rPr>
          <w:szCs w:val="18"/>
        </w:rPr>
        <w:t>Binnen de multilaterale samenwerking concentreert Nederland zich op het werken met en het financieren van organisaties die relevant zijn voor het Nederlandse beleid en die effectief hun mandaat vervullen.</w:t>
      </w:r>
      <w:r w:rsidRPr="003A5FEE">
        <w:rPr>
          <w:szCs w:val="18"/>
        </w:rPr>
        <w:t xml:space="preserve"> </w:t>
      </w:r>
      <w:r>
        <w:rPr>
          <w:szCs w:val="18"/>
        </w:rPr>
        <w:t>Ontwikkelingsorganisaties van de Verenigde Naties (VN) en Internationale Financiële Instellingen (</w:t>
      </w:r>
      <w:proofErr w:type="spellStart"/>
      <w:r>
        <w:rPr>
          <w:szCs w:val="18"/>
        </w:rPr>
        <w:t>IFI’s</w:t>
      </w:r>
      <w:proofErr w:type="spellEnd"/>
      <w:r>
        <w:rPr>
          <w:szCs w:val="18"/>
        </w:rPr>
        <w:t>) hebben, met bijdragen van het Koninkrijk, wereldwijd armoede teruggedrongen en humanitaire noden gelenigd.</w:t>
      </w:r>
      <w:r>
        <w:rPr>
          <w:rStyle w:val="FootnoteReference"/>
          <w:szCs w:val="18"/>
        </w:rPr>
        <w:footnoteReference w:id="2"/>
      </w:r>
    </w:p>
    <w:p w:rsidR="001F41EE" w:rsidP="001F41EE" w:rsidRDefault="001F41EE" w14:paraId="3592000E" w14:textId="77777777">
      <w:pPr>
        <w:spacing w:line="240" w:lineRule="auto"/>
        <w:rPr>
          <w:szCs w:val="18"/>
        </w:rPr>
      </w:pPr>
    </w:p>
    <w:p w:rsidR="001F41EE" w:rsidP="001F41EE" w:rsidRDefault="001F41EE" w14:paraId="3D18E883" w14:textId="77777777">
      <w:pPr>
        <w:spacing w:line="240" w:lineRule="auto"/>
        <w:rPr>
          <w:szCs w:val="18"/>
        </w:rPr>
      </w:pPr>
      <w:r>
        <w:rPr>
          <w:szCs w:val="18"/>
        </w:rPr>
        <w:t xml:space="preserve">Deze samenwerking vraagt om regelmatige en zorgvuldige toetsing. Een voor Nederland belangrijk netwerk daarbij is het </w:t>
      </w:r>
      <w:proofErr w:type="spellStart"/>
      <w:r>
        <w:rPr>
          <w:i/>
          <w:szCs w:val="18"/>
        </w:rPr>
        <w:t>Multilateral</w:t>
      </w:r>
      <w:proofErr w:type="spellEnd"/>
      <w:r>
        <w:rPr>
          <w:i/>
          <w:szCs w:val="18"/>
        </w:rPr>
        <w:t xml:space="preserve"> </w:t>
      </w:r>
      <w:proofErr w:type="spellStart"/>
      <w:r>
        <w:rPr>
          <w:i/>
          <w:szCs w:val="18"/>
        </w:rPr>
        <w:t>Organisations</w:t>
      </w:r>
      <w:proofErr w:type="spellEnd"/>
      <w:r>
        <w:rPr>
          <w:i/>
          <w:szCs w:val="18"/>
        </w:rPr>
        <w:t xml:space="preserve">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bijgestaan door een secretariaat. </w:t>
      </w:r>
      <w:r>
        <w:rPr>
          <w:szCs w:val="18"/>
        </w:rPr>
        <w:t>Een groep geselecteerde externe dienstverleners voert de beoordeling uit. MOPAN leden bepalen welke organisaties beoordeeld dienen te worden en volgens welke tweejarige planning dit gebeurt. Gemiddeld worden geselecteerde organisaties elke vier à vijf jaar beoordeeld.</w:t>
      </w:r>
    </w:p>
    <w:p w:rsidR="001F41EE" w:rsidP="001F41EE" w:rsidRDefault="001F41EE" w14:paraId="7F9CB1BE" w14:textId="77777777">
      <w:pPr>
        <w:spacing w:line="240" w:lineRule="auto"/>
        <w:rPr>
          <w:szCs w:val="18"/>
        </w:rPr>
      </w:pPr>
    </w:p>
    <w:p w:rsidR="001F41EE" w:rsidP="001F41EE" w:rsidRDefault="001F41EE" w14:paraId="395BC328" w14:textId="77777777">
      <w:pPr>
        <w:spacing w:line="240" w:lineRule="auto"/>
        <w:rPr>
          <w:szCs w:val="18"/>
        </w:rPr>
      </w:pPr>
      <w:r>
        <w:rPr>
          <w:szCs w:val="18"/>
        </w:rPr>
        <w:t>De MOPAN beoordelingen vormen de basis van door het Ministerie van Buitenlandse Zaken opgestelde scorekaarten voor multilaterale organisaties</w:t>
      </w:r>
      <w:r>
        <w:rPr>
          <w:i/>
          <w:szCs w:val="18"/>
        </w:rPr>
        <w:t xml:space="preserve"> </w:t>
      </w:r>
      <w:r>
        <w:rPr>
          <w:szCs w:val="18"/>
        </w:rPr>
        <w:t xml:space="preserve">waaraan Nederland een substantiële ontwikkelingssamenwerking (ODA) bijdrage levert. Het gaat hierbij om VN-fondsen en -programma’s, </w:t>
      </w:r>
      <w:proofErr w:type="spellStart"/>
      <w:r>
        <w:rPr>
          <w:szCs w:val="18"/>
        </w:rPr>
        <w:t>IFI’s</w:t>
      </w:r>
      <w:proofErr w:type="spellEnd"/>
      <w:r>
        <w:rPr>
          <w:szCs w:val="18"/>
        </w:rPr>
        <w:t>, gespecialiseerde VN-organisaties en grote mondiale fondsen.</w:t>
      </w:r>
    </w:p>
    <w:p w:rsidR="001F41EE" w:rsidP="001F41EE" w:rsidRDefault="001F41EE" w14:paraId="105A9633" w14:textId="77777777">
      <w:pPr>
        <w:spacing w:line="240" w:lineRule="auto"/>
        <w:rPr>
          <w:szCs w:val="18"/>
        </w:rPr>
      </w:pPr>
    </w:p>
    <w:p w:rsidR="001F41EE" w:rsidP="001F41EE" w:rsidRDefault="001F41EE" w14:paraId="7E40CCA2" w14:textId="77777777">
      <w:pPr>
        <w:spacing w:line="240" w:lineRule="auto"/>
        <w:rPr>
          <w:szCs w:val="18"/>
        </w:rPr>
      </w:pPr>
      <w:r>
        <w:rPr>
          <w:szCs w:val="18"/>
        </w:rPr>
        <w:t xml:space="preserve">De MOPAN 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001F41EE" w:rsidP="001F41EE" w:rsidRDefault="001F41EE" w14:paraId="16F76634" w14:textId="77777777">
      <w:pPr>
        <w:spacing w:line="240" w:lineRule="auto"/>
        <w:rPr>
          <w:szCs w:val="18"/>
        </w:rPr>
      </w:pPr>
    </w:p>
    <w:p w:rsidR="003707BD" w:rsidP="003707BD" w:rsidRDefault="001F41EE" w14:paraId="23FFB348" w14:textId="5BD5FDEA">
      <w:pPr>
        <w:spacing w:line="240" w:lineRule="auto"/>
        <w:rPr>
          <w:szCs w:val="18"/>
        </w:rPr>
      </w:pPr>
      <w:r>
        <w:rPr>
          <w:szCs w:val="18"/>
        </w:rPr>
        <w:t xml:space="preserve">Eerst volgt een samenvatting van de scorekaart (hoofdstuk 2), waarna een achtergrond van de organisatie wordt geschetst op basis van de MOPAN beoordeling en de Nederlandse rol en invloed (hoofdstuk 3). Voorts bevatten de scorekaarten een samenvatting van de uitkomsten van de MOPAN beoordeling naar het Nederlands vertaald en een appreciatie van deze beoordeling op basis van kennis en ervaring vanuit het ministerie van Buitenlandse Zaken, en waar relevant vakdepartementen, Permanente Vertegenwoordigingen dan wel </w:t>
      </w:r>
      <w:proofErr w:type="spellStart"/>
      <w:r>
        <w:rPr>
          <w:szCs w:val="18"/>
        </w:rPr>
        <w:t>Kiesgroepkantoren</w:t>
      </w:r>
      <w:proofErr w:type="spellEnd"/>
      <w:r>
        <w:rPr>
          <w:szCs w:val="18"/>
        </w:rPr>
        <w:t xml:space="preserve"> (hoofdstuk 4). Ten slotte wordt in hoofdstuk 5 de relevantie van de organisatie voor Nederlands beleid toegelicht. </w:t>
      </w:r>
    </w:p>
    <w:p w:rsidR="003707BD" w:rsidP="003707BD" w:rsidRDefault="003707BD" w14:paraId="238D99FD" w14:textId="77777777">
      <w:pPr>
        <w:spacing w:line="240" w:lineRule="auto"/>
        <w:rPr>
          <w:szCs w:val="18"/>
        </w:rPr>
      </w:pPr>
    </w:p>
    <w:p w:rsidR="003707BD" w:rsidP="003707BD" w:rsidRDefault="003707BD" w14:paraId="0A5947AB" w14:textId="77777777">
      <w:pPr>
        <w:spacing w:line="240" w:lineRule="auto"/>
        <w:rPr>
          <w:szCs w:val="18"/>
        </w:rPr>
      </w:pPr>
    </w:p>
    <w:p w:rsidRPr="00871B8C" w:rsidR="001F41EE" w:rsidP="001F41EE" w:rsidRDefault="003707BD" w14:paraId="764D5665" w14:textId="77777777">
      <w:pPr>
        <w:pStyle w:val="Heading1"/>
        <w:tabs>
          <w:tab w:val="num" w:pos="0"/>
        </w:tabs>
        <w:spacing w:after="240" w:line="240" w:lineRule="auto"/>
        <w:ind w:hanging="1162"/>
      </w:pPr>
      <w:bookmarkStart w:name="_Toc410397639" w:id="6"/>
      <w:bookmarkStart w:name="_Toc531336302" w:id="7"/>
      <w:bookmarkStart w:name="_Toc205366635" w:id="8"/>
      <w:bookmarkStart w:name="_Toc199260809" w:id="9"/>
      <w:r>
        <w:lastRenderedPageBreak/>
        <w:t>2</w:t>
      </w:r>
      <w:r>
        <w:tab/>
      </w:r>
      <w:bookmarkEnd w:id="6"/>
      <w:bookmarkEnd w:id="7"/>
      <w:r w:rsidRPr="00871B8C" w:rsidR="001F41EE">
        <w:t>Samenvatting</w:t>
      </w:r>
      <w:bookmarkEnd w:id="8"/>
    </w:p>
    <w:p w:rsidRPr="00871B8C" w:rsidR="00B17D4D" w:rsidP="00B17D4D" w:rsidRDefault="00B17D4D" w14:paraId="42F7081E" w14:textId="77777777">
      <w:pPr>
        <w:spacing w:line="240" w:lineRule="auto"/>
      </w:pPr>
      <w:bookmarkStart w:name="_Toc531336306" w:id="10"/>
      <w:bookmarkStart w:name="_Toc199260810" w:id="11"/>
      <w:bookmarkStart w:name="_Toc205366636" w:id="12"/>
      <w:bookmarkEnd w:id="9"/>
      <w:r w:rsidRPr="00871B8C">
        <w:t>De Europese Bank voor Wederopbouw en Ontwikkeling (EBRD</w:t>
      </w:r>
      <w:r>
        <w:t xml:space="preserve">) </w:t>
      </w:r>
      <w:r w:rsidRPr="00871B8C">
        <w:t xml:space="preserve">heeft als mandaat het bevorderen van de transitie naar een openmarkteconomie in landen die democratische beginselen en een markteconomie omarmen. Sinds 2017 richt de EBRD zich op zes transitiekwaliteiten: concurrerend, goed bestuurd, groen, inclusief, </w:t>
      </w:r>
      <w:r>
        <w:t>weerbaar</w:t>
      </w:r>
      <w:r w:rsidRPr="00871B8C">
        <w:t xml:space="preserve"> en geïntegreerd. Deze kwaliteiten vormen de basis voor het resultatenkader van de bank. </w:t>
      </w:r>
    </w:p>
    <w:p w:rsidR="00B17D4D" w:rsidP="00B17D4D" w:rsidRDefault="00B17D4D" w14:paraId="19FF2E4F" w14:textId="77777777">
      <w:pPr>
        <w:spacing w:line="240" w:lineRule="auto"/>
      </w:pPr>
    </w:p>
    <w:p w:rsidR="00B17D4D" w:rsidP="00B17D4D" w:rsidRDefault="00B17D4D" w14:paraId="6DA04425" w14:textId="6CBD378E">
      <w:pPr>
        <w:spacing w:line="240" w:lineRule="auto"/>
      </w:pPr>
      <w:r w:rsidRPr="00871B8C">
        <w:t xml:space="preserve">Nederland is één van de stichtende leden van de EBRD en speelt een actieve rol binnen de Bank. Met een stemaandeel van 2,66% levert Nederland de Bewindvoerder voor een kiesgroep die </w:t>
      </w:r>
      <w:r>
        <w:t xml:space="preserve">verder bestaat uit </w:t>
      </w:r>
      <w:r w:rsidRPr="00871B8C">
        <w:t xml:space="preserve">Mongolië, Noord-Macedonië, Armenië en sinds 2016 ook China. Met dit aandeel is de EBRD een Bank die dus deels van Nederland is. Vorig jaar investeerde de EBRD ruim EUR 16,5 miljard waarvan het Nederlandse aandeel circa EUR 425 </w:t>
      </w:r>
      <w:r>
        <w:t xml:space="preserve">miljoen </w:t>
      </w:r>
      <w:r w:rsidRPr="00871B8C">
        <w:t xml:space="preserve">betreft. Daarnaast had de EBRD in 2024 een winst van EUR 1,7 miljard, waarbij het Nederlandse aandeel neerkomt op circa EUR 45 miljoen. </w:t>
      </w:r>
      <w:r w:rsidR="00400683">
        <w:t>Dit deel kan</w:t>
      </w:r>
      <w:r w:rsidRPr="00871B8C">
        <w:t xml:space="preserve"> de EBRD hergebruiken </w:t>
      </w:r>
      <w:r>
        <w:t>en</w:t>
      </w:r>
      <w:r w:rsidRPr="00871B8C">
        <w:t xml:space="preserve"> inzetten o</w:t>
      </w:r>
      <w:r>
        <w:t>m</w:t>
      </w:r>
      <w:r w:rsidRPr="00871B8C">
        <w:t xml:space="preserve"> relevante zaken te subsidiëren.</w:t>
      </w:r>
    </w:p>
    <w:p w:rsidR="00B17D4D" w:rsidP="00B17D4D" w:rsidRDefault="00B17D4D" w14:paraId="3863292B" w14:textId="77777777">
      <w:pPr>
        <w:spacing w:line="240" w:lineRule="auto"/>
      </w:pPr>
    </w:p>
    <w:p w:rsidRPr="00871B8C" w:rsidR="00B17D4D" w:rsidP="00B17D4D" w:rsidRDefault="00B17D4D" w14:paraId="4F2F157C" w14:textId="77777777">
      <w:pPr>
        <w:spacing w:line="240" w:lineRule="auto"/>
      </w:pPr>
      <w:r w:rsidRPr="00871B8C">
        <w:t xml:space="preserve">Nederland heeft </w:t>
      </w:r>
      <w:r>
        <w:t xml:space="preserve">daarnaast </w:t>
      </w:r>
      <w:r w:rsidRPr="00871B8C">
        <w:t xml:space="preserve">bijgedragen aan diverse </w:t>
      </w:r>
      <w:r w:rsidRPr="00871B8C">
        <w:rPr>
          <w:i/>
          <w:iCs/>
        </w:rPr>
        <w:t>trust funds</w:t>
      </w:r>
      <w:r w:rsidRPr="00871B8C">
        <w:t xml:space="preserve">, zoals het </w:t>
      </w:r>
      <w:r w:rsidRPr="00871B8C">
        <w:rPr>
          <w:i/>
          <w:iCs/>
        </w:rPr>
        <w:t xml:space="preserve">High-Impact Partnership on </w:t>
      </w:r>
      <w:proofErr w:type="spellStart"/>
      <w:r w:rsidRPr="00871B8C">
        <w:rPr>
          <w:i/>
          <w:iCs/>
        </w:rPr>
        <w:t>Climate</w:t>
      </w:r>
      <w:proofErr w:type="spellEnd"/>
      <w:r w:rsidRPr="00871B8C">
        <w:rPr>
          <w:i/>
          <w:iCs/>
        </w:rPr>
        <w:t xml:space="preserve"> Action </w:t>
      </w:r>
      <w:r w:rsidRPr="00871B8C">
        <w:t xml:space="preserve">(HIPCA) en het </w:t>
      </w:r>
      <w:r w:rsidRPr="00871B8C">
        <w:rPr>
          <w:i/>
          <w:iCs/>
        </w:rPr>
        <w:t>Crisis Response Special Fund</w:t>
      </w:r>
      <w:r w:rsidRPr="00871B8C">
        <w:t xml:space="preserve"> voor Oekraïne. Omdat Oekraïne de leningen van de EBRD aflost, kennen deze een </w:t>
      </w:r>
      <w:proofErr w:type="spellStart"/>
      <w:r w:rsidRPr="00871B8C">
        <w:t>revolverend</w:t>
      </w:r>
      <w:proofErr w:type="spellEnd"/>
      <w:r w:rsidRPr="00871B8C">
        <w:t xml:space="preserve"> karakter. </w:t>
      </w:r>
    </w:p>
    <w:p w:rsidRPr="00ED2542" w:rsidR="00B17D4D" w:rsidP="00B17D4D" w:rsidRDefault="00B17D4D" w14:paraId="5C581F18" w14:textId="77777777">
      <w:pPr>
        <w:spacing w:before="100" w:beforeAutospacing="1" w:after="100" w:afterAutospacing="1" w:line="240" w:lineRule="auto"/>
      </w:pPr>
      <w:r w:rsidRPr="00871B8C">
        <w:t xml:space="preserve">Het MOPAN-rapport richt de belangrijkste conclusies over het functioneren van de Bank op de thema’s wendbaarheid en interne processen. De EBRD heeft zich bewezen als een wendbare en resultaatgerichte instelling, met een sterke focus op duurzame, veerkrachtige en concurrerende markteconomieën. </w:t>
      </w:r>
      <w:r w:rsidRPr="00ED2542">
        <w:t xml:space="preserve">Tijdens de laatste </w:t>
      </w:r>
      <w:proofErr w:type="spellStart"/>
      <w:r w:rsidRPr="00ED2542">
        <w:t>meerjarenstrategie</w:t>
      </w:r>
      <w:proofErr w:type="spellEnd"/>
      <w:r w:rsidRPr="00ED2542">
        <w:t xml:space="preserve"> (SCF 2021-2025) toonde de Bank flexibiliteit door effectief in te spelen op diverse crises, zoals COVID-19, de oorlog in Oekraïne en aardbevingen in Turkije en Marokko. De EBRD beschikt over solide interne processen, sterke monitoring- en risicosystemen, en een duidelijke inzet voor klimaattransitie en kansengelijkheid.</w:t>
      </w:r>
      <w:r>
        <w:t xml:space="preserve"> </w:t>
      </w:r>
      <w:r w:rsidRPr="00ED2542">
        <w:t xml:space="preserve">Tegelijkertijd is er ruimte voor versterking van de strategie van de Bank door de strategische prioriteiten beter te verbinden met budgetten en operationele capaciteiten. Ook kan de resultatenstructuur beter aantonen hoe de EBRD bijdraagt aan het eigen transitiemandaat in haar operatielanden en resultaten boekt ten aanzien van </w:t>
      </w:r>
      <w:r w:rsidRPr="00A0361E">
        <w:t xml:space="preserve">de duurzame ontwikkelingsdoelen </w:t>
      </w:r>
      <w:r>
        <w:t>(</w:t>
      </w:r>
      <w:proofErr w:type="spellStart"/>
      <w:r>
        <w:t>S</w:t>
      </w:r>
      <w:r w:rsidRPr="00ED2542">
        <w:t>DG’s</w:t>
      </w:r>
      <w:proofErr w:type="spellEnd"/>
      <w:r>
        <w:t>)</w:t>
      </w:r>
      <w:r w:rsidRPr="00ED2542">
        <w:t xml:space="preserve">. Ook wordt aanbevolen de zelfevaluatie van de Bank te versterken, om een duidelijker beeld te krijgen van de prestaties in de hele instelling, waarbij verantwoording en het zelflerend vermogen van de Bank worden versterkt. </w:t>
      </w:r>
    </w:p>
    <w:p w:rsidRPr="00ED2542" w:rsidR="00B17D4D" w:rsidP="00B17D4D" w:rsidRDefault="00B17D4D" w14:paraId="3BADCEE2" w14:textId="4E66467F">
      <w:pPr>
        <w:spacing w:before="100" w:beforeAutospacing="1" w:after="100" w:afterAutospacing="1" w:line="240" w:lineRule="auto"/>
      </w:pPr>
      <w:r w:rsidRPr="00ED2542">
        <w:t xml:space="preserve">Nederland blijft zich als betrokken aandeelhouder inzetten om de effectiviteit en impact van de EBRD te vergroten. Daarbij ligt de focus op het verbeteren van de integratie tussen strategische planning, budgettering en resultaatbeheer. Nederland streeft naar betere impactmeting, het stimuleren van groene investeringen gericht op energie-onafhankelijkheid en concurrentievermogen, private kapitaal mobilisatie, ondersteuning van activiteiten in Oekraïne, een houdbare begrotingsontwikkeling en versterkte samenwerking tussen internationale financiële instellingen. Om deze doelen te bereiken, spoort Nederland de EBRD aan om systematische feedbackmechanismen voor cliënten te implementeren en de verslaglegging over milieu- en maatschappelijke resultaten te versterken. Daarnaast is het belangrijk dat de Bank </w:t>
      </w:r>
      <w:r w:rsidRPr="00D40C9E">
        <w:t>geavanceerde monitoring- en evaluatiesystemen inzet en innovatieve financieringsinstrumenten ontwikkelt om groene en inclusieve investeringen te bevorderen.</w:t>
      </w:r>
      <w:r w:rsidRPr="00D40C9E" w:rsidR="00D40C9E">
        <w:t xml:space="preserve"> Nederland ondersteunt dit in lijn met de Nederlandse prioriteiten zoals uiteengezet in de beleidsbrief.</w:t>
      </w:r>
    </w:p>
    <w:p w:rsidRPr="00ED2542" w:rsidR="00B17D4D" w:rsidP="00B17D4D" w:rsidRDefault="00B17D4D" w14:paraId="15E694E9" w14:textId="77777777">
      <w:r w:rsidRPr="00ED2542">
        <w:t xml:space="preserve">Nederland brengt deze prioriteiten actief in tijdens vergaderingen en besluitvormingsprocessen, samen met gelijkgestemde landen, om zo de EBRD te </w:t>
      </w:r>
      <w:r w:rsidRPr="00ED2542">
        <w:lastRenderedPageBreak/>
        <w:t xml:space="preserve">stimuleren onze voorstellen te integreren. Daarnaast staat Nederland in constante dialoog met het EBRD management en doet het scherpe interventies in de </w:t>
      </w:r>
      <w:r>
        <w:t>Raad van Bewindvoerders (</w:t>
      </w:r>
      <w:r w:rsidRPr="00ED2542">
        <w:t>Board of Directors</w:t>
      </w:r>
      <w:r>
        <w:t>)</w:t>
      </w:r>
      <w:r w:rsidRPr="00ED2542">
        <w:t xml:space="preserve">. Ook </w:t>
      </w:r>
      <w:r>
        <w:t>is</w:t>
      </w:r>
      <w:r w:rsidRPr="00ED2542">
        <w:t xml:space="preserve"> er op hoofdsteden niveau </w:t>
      </w:r>
      <w:r>
        <w:t>contact</w:t>
      </w:r>
      <w:r w:rsidRPr="00ED2542">
        <w:t>. Met deze gerichte aanpak wil Nederland bijdragen aan een duurzame en impactvolle ontwikkeling van de operatielanden van de Bank.</w:t>
      </w:r>
    </w:p>
    <w:p w:rsidR="003707BD" w:rsidP="003707BD" w:rsidRDefault="003707BD" w14:paraId="499A9EBE" w14:textId="77777777">
      <w:pPr>
        <w:pStyle w:val="Heading1"/>
        <w:tabs>
          <w:tab w:val="num" w:pos="0"/>
        </w:tabs>
        <w:spacing w:after="240" w:line="240" w:lineRule="auto"/>
        <w:ind w:hanging="1162"/>
      </w:pPr>
      <w:r>
        <w:lastRenderedPageBreak/>
        <w:t xml:space="preserve">3 </w:t>
      </w:r>
      <w:r>
        <w:tab/>
      </w:r>
      <w:bookmarkEnd w:id="10"/>
      <w:r>
        <w:t>Algemene achtergrond</w:t>
      </w:r>
      <w:bookmarkEnd w:id="11"/>
      <w:bookmarkEnd w:id="12"/>
      <w:r>
        <w:t xml:space="preserve">  </w:t>
      </w:r>
    </w:p>
    <w:p w:rsidRPr="00693C3B" w:rsidR="003707BD" w:rsidP="003707BD" w:rsidRDefault="003707BD" w14:paraId="4BC8CE4B"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0" w:id="13"/>
      <w:bookmarkStart w:name="_Toc158986996" w:id="14"/>
      <w:bookmarkStart w:name="_Toc158989082" w:id="15"/>
      <w:bookmarkStart w:name="_Toc158989152" w:id="16"/>
      <w:bookmarkStart w:name="_Toc198652012" w:id="17"/>
      <w:bookmarkStart w:name="_Toc198812753" w:id="18"/>
      <w:bookmarkStart w:name="_Toc198812769" w:id="19"/>
      <w:bookmarkStart w:name="_Toc199260740" w:id="20"/>
      <w:bookmarkStart w:name="_Toc199260811" w:id="21"/>
      <w:bookmarkStart w:name="_Toc203387644" w:id="22"/>
      <w:bookmarkStart w:name="_Toc203387660" w:id="23"/>
      <w:bookmarkStart w:name="_Toc203387678" w:id="24"/>
      <w:bookmarkStart w:name="_Toc203482997" w:id="25"/>
      <w:bookmarkStart w:name="_Toc205366462" w:id="26"/>
      <w:bookmarkStart w:name="_Toc205366637" w:id="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Pr="00693C3B" w:rsidR="003707BD" w:rsidP="003707BD" w:rsidRDefault="003707BD" w14:paraId="719EE2F8"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1" w:id="28"/>
      <w:bookmarkStart w:name="_Toc158986997" w:id="29"/>
      <w:bookmarkStart w:name="_Toc158989083" w:id="30"/>
      <w:bookmarkStart w:name="_Toc158989153" w:id="31"/>
      <w:bookmarkStart w:name="_Toc198652013" w:id="32"/>
      <w:bookmarkStart w:name="_Toc198812754" w:id="33"/>
      <w:bookmarkStart w:name="_Toc198812770" w:id="34"/>
      <w:bookmarkStart w:name="_Toc199260741" w:id="35"/>
      <w:bookmarkStart w:name="_Toc199260812" w:id="36"/>
      <w:bookmarkStart w:name="_Toc203387645" w:id="37"/>
      <w:bookmarkStart w:name="_Toc203387661" w:id="38"/>
      <w:bookmarkStart w:name="_Toc203387679" w:id="39"/>
      <w:bookmarkStart w:name="_Toc203482998" w:id="40"/>
      <w:bookmarkStart w:name="_Toc205366463" w:id="41"/>
      <w:bookmarkStart w:name="_Toc205366638" w:id="4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5642A" w:rsidP="0075642A" w:rsidRDefault="003707BD" w14:paraId="6295DCA8" w14:textId="015A4CB9">
      <w:pPr>
        <w:pStyle w:val="Heading2"/>
        <w:tabs>
          <w:tab w:val="left" w:pos="-1162"/>
          <w:tab w:val="left" w:pos="0"/>
          <w:tab w:val="num" w:pos="1160"/>
        </w:tabs>
        <w:spacing w:line="240" w:lineRule="auto"/>
        <w:ind w:hanging="1162"/>
      </w:pPr>
      <w:bookmarkStart w:name="_Toc410397640" w:id="43"/>
      <w:bookmarkStart w:name="_Toc531336303" w:id="44"/>
      <w:bookmarkStart w:name="_Toc199260813" w:id="45"/>
      <w:bookmarkStart w:name="_Toc205366639" w:id="46"/>
      <w:r>
        <w:t xml:space="preserve">3.1 </w:t>
      </w:r>
      <w:r>
        <w:tab/>
      </w:r>
      <w:bookmarkEnd w:id="43"/>
      <w:bookmarkEnd w:id="44"/>
      <w:r w:rsidR="0075642A">
        <w:t>Samenvattende beschrijving van de organisatie door MOPAN naar het Nederlands vertaald</w:t>
      </w:r>
      <w:bookmarkEnd w:id="45"/>
      <w:bookmarkEnd w:id="46"/>
      <w:r w:rsidR="0075642A">
        <w:t xml:space="preserve"> </w:t>
      </w:r>
    </w:p>
    <w:p w:rsidR="0075642A" w:rsidP="0075642A" w:rsidRDefault="0075642A" w14:paraId="2A3EFCD6" w14:textId="77777777"/>
    <w:p w:rsidRPr="00DC48EF" w:rsidR="0075642A" w:rsidP="0075642A" w:rsidRDefault="0075642A" w14:paraId="4D76757C" w14:textId="19FD6471">
      <w:bookmarkStart w:name="INTRODUCING_EBRD" w:id="47"/>
      <w:bookmarkStart w:name="_bookmark0" w:id="48"/>
      <w:bookmarkEnd w:id="47"/>
      <w:bookmarkEnd w:id="48"/>
      <w:r>
        <w:t>De Europese Bank voor Wederopbouw en Ontwikkeling (</w:t>
      </w:r>
      <w:r w:rsidR="00553084">
        <w:t>EBRD</w:t>
      </w:r>
      <w:r>
        <w:t xml:space="preserve">), opgericht in 1991, heeft een uniek mandaat om “de </w:t>
      </w:r>
      <w:r w:rsidR="006578A0">
        <w:t>transitie</w:t>
      </w:r>
      <w:r>
        <w:t xml:space="preserve"> naar een openmarkteconomie te bevorderen en het particuliere initiatief en de ondernemingsgeest aan te moedigen in de [...] landen die de beginselen van een democratie met een meerpartijenstelsel, pluralisme en een markteconomie aanhangen en toepassen</w:t>
      </w:r>
      <w:r w:rsidR="00D54F8A">
        <w:t>”</w:t>
      </w:r>
      <w:r>
        <w:t xml:space="preserve">. De </w:t>
      </w:r>
      <w:r w:rsidR="00553084">
        <w:t>EBRD</w:t>
      </w:r>
      <w:r w:rsidR="004264DC">
        <w:rPr>
          <w:rStyle w:val="FootnoteReference"/>
        </w:rPr>
        <w:footnoteReference w:id="3"/>
      </w:r>
      <w:r>
        <w:t xml:space="preserve"> streeft het door haar mandaat vereiste </w:t>
      </w:r>
      <w:r w:rsidR="006578A0">
        <w:t>transitie effect</w:t>
      </w:r>
      <w:r>
        <w:t xml:space="preserve"> na met inachtneming van de beginselen van gezond bankbeleid, </w:t>
      </w:r>
      <w:proofErr w:type="spellStart"/>
      <w:r>
        <w:t>additionaliteit</w:t>
      </w:r>
      <w:proofErr w:type="spellEnd"/>
      <w:r>
        <w:t xml:space="preserve"> en ecologisch verantwoorde en duurzame ontwikkeling, zoals uiteengezet in de Overeenkomst tot oprichting van de Bank (OOB) (</w:t>
      </w:r>
      <w:r w:rsidR="004168AE">
        <w:t>EBRD</w:t>
      </w:r>
      <w:r>
        <w:t>, 2013)</w:t>
      </w:r>
      <w:r w:rsidRPr="00123F48" w:rsidR="00123F48">
        <w:rPr>
          <w:rStyle w:val="FootnoteReference"/>
        </w:rPr>
        <w:t xml:space="preserve"> </w:t>
      </w:r>
      <w:r w:rsidR="00123F48">
        <w:rPr>
          <w:rStyle w:val="FootnoteReference"/>
        </w:rPr>
        <w:footnoteReference w:id="4"/>
      </w:r>
      <w:r>
        <w:t>.</w:t>
      </w:r>
      <w:r w:rsidDel="00045E5C" w:rsidR="00045E5C">
        <w:t xml:space="preserve"> </w:t>
      </w:r>
    </w:p>
    <w:p w:rsidRPr="009A69A5" w:rsidR="0075642A" w:rsidP="0075642A" w:rsidRDefault="0075642A" w14:paraId="5485E46C" w14:textId="77777777"/>
    <w:p w:rsidRPr="00DC48EF" w:rsidR="0075642A" w:rsidP="0075642A" w:rsidRDefault="0075642A" w14:paraId="2F98DCED" w14:textId="4F8B5777">
      <w:r>
        <w:t xml:space="preserve">Het </w:t>
      </w:r>
      <w:r w:rsidR="006578A0">
        <w:t>transitiemandaat</w:t>
      </w:r>
      <w:r>
        <w:t xml:space="preserve"> van de </w:t>
      </w:r>
      <w:r w:rsidR="001505FB">
        <w:t>EBRD</w:t>
      </w:r>
      <w:r>
        <w:t xml:space="preserve"> en de wijze waarop dit in de praktijk wordt gebracht, zijn in de loop van de beoordelingsperiode (2016-</w:t>
      </w:r>
      <w:r w:rsidR="009F42A2">
        <w:t>20</w:t>
      </w:r>
      <w:r>
        <w:t xml:space="preserve">23) geëvolueerd. Sinds 2017 worden de activiteiten en het effect van de </w:t>
      </w:r>
      <w:r w:rsidR="001505FB">
        <w:t>EBRD</w:t>
      </w:r>
      <w:r>
        <w:t xml:space="preserve"> </w:t>
      </w:r>
      <w:proofErr w:type="spellStart"/>
      <w:r>
        <w:t>geconceptualiseerd</w:t>
      </w:r>
      <w:proofErr w:type="spellEnd"/>
      <w:r>
        <w:t xml:space="preserve"> als vooruitgang in de richting van zes </w:t>
      </w:r>
      <w:r w:rsidR="006578A0">
        <w:t>transitiekwaliteiten</w:t>
      </w:r>
      <w:r>
        <w:t>, die worden beschouwd als kenmerkend voor een duurzame, goed functionerende markteconomie</w:t>
      </w:r>
      <w:r w:rsidR="007F3F43">
        <w:t>:</w:t>
      </w:r>
      <w:r>
        <w:t xml:space="preserve"> concurrerend, goed bestuurd, groen, inclusief, veerkrachtig en geïntegreerd. Deze </w:t>
      </w:r>
      <w:r w:rsidR="006578A0">
        <w:t xml:space="preserve">transitiekwaliteiten </w:t>
      </w:r>
      <w:r>
        <w:t xml:space="preserve">liggen ten grondslag aan de bedrijfsresultatenarchitectuur van de </w:t>
      </w:r>
      <w:r w:rsidR="001505FB">
        <w:t>EBRD</w:t>
      </w:r>
      <w:r w:rsidR="004264DC">
        <w:t>.</w:t>
      </w:r>
    </w:p>
    <w:p w:rsidRPr="009A69A5" w:rsidR="0075642A" w:rsidP="0075642A" w:rsidRDefault="0075642A" w14:paraId="166033D6" w14:textId="77777777"/>
    <w:p w:rsidR="0075642A" w:rsidP="0075642A" w:rsidRDefault="0075642A" w14:paraId="44F0C491" w14:textId="1403096F">
      <w:r>
        <w:t xml:space="preserve">De </w:t>
      </w:r>
      <w:r w:rsidR="001505FB">
        <w:t>EBRD</w:t>
      </w:r>
      <w:r>
        <w:t xml:space="preserve"> maakt gebruik van een vijfjarig strategisch planningsdocument – het strategisch en kapitaalkader (SCF) – om:  i) strategische richtingen op hoog niveau te bepalen door middel van prioriteiten op middellange termijn; ii) hun kapitaalcapaciteit te herzien om deze prioriteiten te verwezenlijken; en iii) een controlekader voor de uitvoering vaststellen (</w:t>
      </w:r>
      <w:r w:rsidR="001505FB">
        <w:t>EBRD</w:t>
      </w:r>
      <w:r>
        <w:t xml:space="preserve">, 2015). De prioriteiten in het kader van het SCF 2021-2025 werden sterk beïnvloed door de COVID-19-crisis, waarbij de </w:t>
      </w:r>
      <w:r w:rsidR="001505FB">
        <w:t>EBRD</w:t>
      </w:r>
      <w:r>
        <w:t xml:space="preserve"> in eerste instantie haar financiële kracht richtte op het behoud van </w:t>
      </w:r>
      <w:r w:rsidR="006578A0">
        <w:t>transitie</w:t>
      </w:r>
      <w:r>
        <w:t xml:space="preserve">winsten tegen de achtergrond van de crisis. Deze activiteiten werden gevolgd door een herstelfase met steun voor een versnelling van de </w:t>
      </w:r>
      <w:r w:rsidR="006578A0">
        <w:t>transitie</w:t>
      </w:r>
      <w:r>
        <w:t>, die relevant is gebleven, zelfs met de evoluerende omstandigheden (</w:t>
      </w:r>
      <w:r w:rsidR="001505FB">
        <w:t>EBRD</w:t>
      </w:r>
      <w:r>
        <w:t>, 2020a). Alle activiteiten tijdens de SCF-periode 2021-</w:t>
      </w:r>
      <w:r w:rsidR="009F42A2">
        <w:t>20</w:t>
      </w:r>
      <w:r>
        <w:t>25</w:t>
      </w:r>
      <w:r w:rsidR="001505FB">
        <w:t xml:space="preserve"> </w:t>
      </w:r>
      <w:r>
        <w:t>waren gericht op een meer veerkrachtige en duurzame toekomst op te bouwen</w:t>
      </w:r>
      <w:r w:rsidR="00683C15">
        <w:t xml:space="preserve"> voor landen waar de bank actief is</w:t>
      </w:r>
      <w:r w:rsidR="00123F48">
        <w:t>,</w:t>
      </w:r>
      <w:r w:rsidRPr="00123F48" w:rsidR="00123F48">
        <w:t xml:space="preserve"> inclusief de reactie op de latere ontwikkelingen zoals de oorlog in Oekraïne.</w:t>
      </w:r>
      <w:r w:rsidR="00683C15">
        <w:t xml:space="preserve"> </w:t>
      </w:r>
      <w:r w:rsidRPr="000968DA" w:rsidR="000968DA">
        <w:t>Deze inzet werd vertaald naar verschillende thematische en sectorale aandachtsgebieden, waaronder:</w:t>
      </w:r>
    </w:p>
    <w:p w:rsidR="00683C15" w:rsidP="0075642A" w:rsidRDefault="00683C15" w14:paraId="4061BD2C" w14:textId="77777777"/>
    <w:p w:rsidRPr="009A69A5" w:rsidR="0075642A" w:rsidP="0075642A" w:rsidRDefault="0075642A" w14:paraId="63B1C178" w14:textId="77777777"/>
    <w:p w:rsidRPr="00DC48EF" w:rsidR="0075642A" w:rsidP="00EE7E82" w:rsidRDefault="0075642A" w14:paraId="35580DC8" w14:textId="3A4AC742">
      <w:pPr>
        <w:pStyle w:val="ListParagraph"/>
        <w:numPr>
          <w:ilvl w:val="0"/>
          <w:numId w:val="40"/>
        </w:numPr>
      </w:pPr>
      <w:r w:rsidRPr="00EE7E82">
        <w:rPr>
          <w:b/>
        </w:rPr>
        <w:t xml:space="preserve">Sectorale richtsnoeren voor crisisrespons en -herstel in belangrijke sectoren (financiële instellingen, industrie, handel en agro-industrie, en duurzame infrastructuur): </w:t>
      </w:r>
      <w:r>
        <w:t xml:space="preserve">Dit omvatte een aanpak van leningen in lokale valuta en de ontwikkeling van de lokale kapitaalmarkt, een breed en flexibel pakket van financiering en advies voor het mkb en sub-soevereine leningen. De </w:t>
      </w:r>
      <w:r w:rsidR="001505FB">
        <w:t>EBRD</w:t>
      </w:r>
      <w:r>
        <w:t xml:space="preserve"> heeft zich er ook toe verbonden te innoveren door nieuwe en verschillende benaderingen toe te passen om de </w:t>
      </w:r>
      <w:proofErr w:type="spellStart"/>
      <w:r w:rsidR="006578A0">
        <w:t>transitie</w:t>
      </w:r>
      <w:r w:rsidR="004264DC">
        <w:t>van</w:t>
      </w:r>
      <w:proofErr w:type="spellEnd"/>
      <w:r w:rsidR="004264DC">
        <w:t xml:space="preserve"> landen naar een openmarkteconomie </w:t>
      </w:r>
      <w:r>
        <w:t>tot stand te brengen.</w:t>
      </w:r>
    </w:p>
    <w:p w:rsidRPr="009A69A5" w:rsidR="0075642A" w:rsidP="0075642A" w:rsidRDefault="0075642A" w14:paraId="0E158ECC" w14:textId="77777777"/>
    <w:p w:rsidRPr="00DC48EF" w:rsidR="0075642A" w:rsidP="00EE7E82" w:rsidRDefault="0075642A" w14:paraId="6C13D31E" w14:textId="10DC034E">
      <w:pPr>
        <w:pStyle w:val="ListParagraph"/>
        <w:numPr>
          <w:ilvl w:val="0"/>
          <w:numId w:val="40"/>
        </w:numPr>
      </w:pPr>
      <w:r w:rsidRPr="00EE7E82">
        <w:rPr>
          <w:b/>
        </w:rPr>
        <w:t xml:space="preserve">Transversale thema’s: </w:t>
      </w:r>
      <w:r>
        <w:t xml:space="preserve">Deze omvatten de </w:t>
      </w:r>
      <w:r w:rsidR="006578A0">
        <w:t>transitie</w:t>
      </w:r>
      <w:r>
        <w:t xml:space="preserve"> naar een groene economie (GET), gelijke kansen (</w:t>
      </w:r>
      <w:proofErr w:type="spellStart"/>
      <w:r>
        <w:t>EoO</w:t>
      </w:r>
      <w:proofErr w:type="spellEnd"/>
      <w:r>
        <w:t>) en het versnellen van de digitale transitie.</w:t>
      </w:r>
    </w:p>
    <w:p w:rsidRPr="009A69A5" w:rsidR="0075642A" w:rsidP="0075642A" w:rsidRDefault="0075642A" w14:paraId="4F9709C7" w14:textId="77777777"/>
    <w:p w:rsidRPr="00DC48EF" w:rsidR="0075642A" w:rsidP="00EE7E82" w:rsidRDefault="0075642A" w14:paraId="705EF613" w14:textId="12F5A988">
      <w:pPr>
        <w:pStyle w:val="ListParagraph"/>
        <w:numPr>
          <w:ilvl w:val="0"/>
          <w:numId w:val="40"/>
        </w:numPr>
      </w:pPr>
      <w:r w:rsidRPr="00EE7E82">
        <w:rPr>
          <w:b/>
        </w:rPr>
        <w:t xml:space="preserve">Economisch bestuur: </w:t>
      </w:r>
      <w:r>
        <w:t>De kwaliteit van het bestuur werd gezien als een belangrijke bepalende factor voor de economische prestaties tussen de landen en in de landen, en werd crucialer gezien de toegenomen betrokkenheid van de staat in de economie om in te spelen op de COVID-19-crisis.</w:t>
      </w:r>
    </w:p>
    <w:p w:rsidRPr="009A69A5" w:rsidR="0075642A" w:rsidP="0075642A" w:rsidRDefault="0075642A" w14:paraId="06132E7E" w14:textId="77777777"/>
    <w:p w:rsidRPr="0075642A" w:rsidR="003707BD" w:rsidP="003B17D6" w:rsidRDefault="0075642A" w14:paraId="0D97C1D1" w14:textId="7C0FEA9B">
      <w:r>
        <w:t xml:space="preserve">De </w:t>
      </w:r>
      <w:r w:rsidR="001505FB">
        <w:t>EBRD</w:t>
      </w:r>
      <w:r>
        <w:t xml:space="preserve"> heeft deze prioriteiten op middellange termijn operationeel gemaakt door middel van driejarige voortschrijdende uitvoeringsplannen voor de strategie (</w:t>
      </w:r>
      <w:proofErr w:type="spellStart"/>
      <w:r>
        <w:t>SIP's</w:t>
      </w:r>
      <w:proofErr w:type="spellEnd"/>
      <w:r>
        <w:t xml:space="preserve">).  Elk SIP bepaalt de context voor het jaarlijkse begrotingsvoorstel en de doelstellingen van de Corporate Scorecard. De Corporate Scorecard is een instrument voor het vaststellen en meten van de jaarlijkse doelstellingen en impact van de </w:t>
      </w:r>
      <w:r w:rsidR="001505FB">
        <w:t>EBRD</w:t>
      </w:r>
      <w:r>
        <w:t xml:space="preserve">, zoals overeengekomen met haar aandeelhouders. Het stelt belangrijke parameters vast voor het beheer van het proces voor het bereiken en in evenwicht brengen van de tweeledige doelstellingen van de Bank, namelijk het realiseren van </w:t>
      </w:r>
      <w:r w:rsidR="006578A0">
        <w:t>transitie effecten</w:t>
      </w:r>
      <w:r>
        <w:t xml:space="preserve"> en het financieel duurzaam zijn op portefeuilleniveau. De doelstellingen van de Scorecard worden jaarlijks vastgesteld om te zorgen voor een evenwichtige reeks stimulansen om de doelstellingen van het SCF te verwezenlijken.</w:t>
      </w:r>
    </w:p>
    <w:p w:rsidR="003707BD" w:rsidP="003707BD" w:rsidRDefault="003707BD" w14:paraId="11F33091" w14:textId="77777777">
      <w:pPr>
        <w:pStyle w:val="Heading2"/>
        <w:tabs>
          <w:tab w:val="left" w:pos="-1162"/>
          <w:tab w:val="left" w:pos="0"/>
          <w:tab w:val="num" w:pos="1160"/>
        </w:tabs>
        <w:spacing w:line="240" w:lineRule="auto"/>
        <w:ind w:hanging="1162"/>
      </w:pPr>
      <w:bookmarkStart w:name="_Toc410397641" w:id="50"/>
      <w:bookmarkStart w:name="_Toc531336304" w:id="51"/>
      <w:bookmarkStart w:name="_Toc199260814" w:id="52"/>
      <w:bookmarkStart w:name="_Toc205366640" w:id="53"/>
      <w:r>
        <w:t xml:space="preserve">3.2 </w:t>
      </w:r>
      <w:r>
        <w:tab/>
      </w:r>
      <w:bookmarkEnd w:id="50"/>
      <w:bookmarkEnd w:id="51"/>
      <w:r>
        <w:t>Nederlandse rol en invloed</w:t>
      </w:r>
      <w:bookmarkEnd w:id="52"/>
      <w:bookmarkEnd w:id="53"/>
      <w:r>
        <w:t xml:space="preserve"> </w:t>
      </w:r>
    </w:p>
    <w:p w:rsidRPr="00562963" w:rsidR="003707BD" w:rsidP="00562963" w:rsidRDefault="003707BD" w14:paraId="27C9D688" w14:textId="77777777">
      <w:pPr>
        <w:spacing w:before="100" w:beforeAutospacing="1" w:after="100" w:afterAutospacing="1" w:line="240" w:lineRule="auto"/>
        <w:rPr>
          <w:color w:val="000000"/>
          <w:szCs w:val="18"/>
        </w:rPr>
      </w:pPr>
      <w:r w:rsidRPr="00562963">
        <w:rPr>
          <w:color w:val="000000"/>
          <w:szCs w:val="18"/>
        </w:rPr>
        <w:t xml:space="preserve">Nederland is een van de stichtende leden van de EBRD en is sinds 28 maart 1991 lid van de bank. De Nederlandse gouverneur bij de EBRD is de minister van Financiën. De minister voor Buitenlandse Handel en Ontwikkelingshulp is plaatsvervangend gouverneur. </w:t>
      </w:r>
    </w:p>
    <w:p w:rsidRPr="00562963" w:rsidR="003707BD" w:rsidP="00562963" w:rsidRDefault="003707BD" w14:paraId="0537D7AE" w14:textId="7763E689">
      <w:pPr>
        <w:spacing w:before="100" w:beforeAutospacing="1" w:after="100" w:afterAutospacing="1" w:line="240" w:lineRule="auto"/>
        <w:rPr>
          <w:color w:val="000000"/>
          <w:szCs w:val="18"/>
        </w:rPr>
      </w:pPr>
      <w:r w:rsidRPr="00562963">
        <w:rPr>
          <w:color w:val="000000"/>
          <w:szCs w:val="18"/>
        </w:rPr>
        <w:t xml:space="preserve">Nederland </w:t>
      </w:r>
      <w:r w:rsidRPr="00562963" w:rsidR="004264DC">
        <w:rPr>
          <w:color w:val="000000"/>
          <w:szCs w:val="18"/>
        </w:rPr>
        <w:t xml:space="preserve">is met </w:t>
      </w:r>
      <w:r w:rsidRPr="00562963">
        <w:rPr>
          <w:color w:val="000000"/>
          <w:szCs w:val="18"/>
        </w:rPr>
        <w:t xml:space="preserve">een stemaandeel van 2,66% in de Bank </w:t>
      </w:r>
      <w:r w:rsidRPr="00562963" w:rsidR="004264DC">
        <w:rPr>
          <w:color w:val="000000"/>
          <w:szCs w:val="18"/>
        </w:rPr>
        <w:t xml:space="preserve">een relatief grote aandeelhouder en speelt daarin bovendien een zeer actieve en constructieve rol met focus op thema’s als goed financieel bestuur, private kapitaal mobilisatie, klimaat, inclusiviteit en de steun aan Oekraïne. Nederland </w:t>
      </w:r>
      <w:r w:rsidRPr="00562963">
        <w:rPr>
          <w:color w:val="000000"/>
          <w:szCs w:val="18"/>
        </w:rPr>
        <w:t>levert de Bewindvoerder voor de kiesgroep waarin ook Mongolië, Noord-Macedonië, Armenië en sinds 2016 ook China zijn vertegenwoordigd. Het stemaandeel van de kiesgroep is 2,72%. China levert afwisselend met Nederland de plaatsvervangend bewindvoerder</w:t>
      </w:r>
      <w:r w:rsidRPr="00562963" w:rsidR="007D650E">
        <w:rPr>
          <w:color w:val="000000"/>
          <w:szCs w:val="18"/>
        </w:rPr>
        <w:t xml:space="preserve">, waarbij Nederland deze steeds voor een periode van vier jaar levert en China voor een periode van twee jaar. </w:t>
      </w:r>
      <w:r w:rsidRPr="00562963" w:rsidR="004264DC">
        <w:rPr>
          <w:color w:val="000000"/>
          <w:szCs w:val="18"/>
        </w:rPr>
        <w:t>De samenstelling van de kiesgroep is het gevolg van de geleidelijke organische groei van de EBRD waarbij steeds pragmatisch wordt beoordeeld bij welke kiesgroep een nieuwe aandeelhouder aansluit.</w:t>
      </w:r>
    </w:p>
    <w:p w:rsidRPr="00562963" w:rsidR="003707BD" w:rsidP="00562963" w:rsidRDefault="003707BD" w14:paraId="4A59F17F" w14:textId="77777777">
      <w:pPr>
        <w:spacing w:before="100" w:beforeAutospacing="1" w:after="100" w:afterAutospacing="1" w:line="240" w:lineRule="auto"/>
        <w:rPr>
          <w:color w:val="000000"/>
          <w:szCs w:val="18"/>
        </w:rPr>
      </w:pPr>
      <w:r w:rsidRPr="00562963">
        <w:rPr>
          <w:color w:val="000000"/>
          <w:szCs w:val="18"/>
        </w:rPr>
        <w:t>De Europese Commissie heeft een eigen stoel in de Raad van Bewindvoerders. Daarnaast is er een tweewekelijks informeel coördinatieoverleg tussen alle EU-lidstaten onder leiding van de voorzitter van de EU.</w:t>
      </w:r>
    </w:p>
    <w:p w:rsidRPr="00562963" w:rsidR="003707BD" w:rsidP="00562963" w:rsidRDefault="003707BD" w14:paraId="77927352" w14:textId="77777777">
      <w:pPr>
        <w:spacing w:before="100" w:beforeAutospacing="1" w:after="100" w:afterAutospacing="1" w:line="240" w:lineRule="auto"/>
        <w:rPr>
          <w:color w:val="000000"/>
          <w:szCs w:val="18"/>
        </w:rPr>
      </w:pPr>
      <w:r w:rsidRPr="00562963">
        <w:rPr>
          <w:color w:val="000000"/>
          <w:szCs w:val="18"/>
        </w:rPr>
        <w:t>Nederland heeft door de jaren heen bijgedragen aan verschillende trust funds en heeft daarmee invloed op de manier waarop deze middelen worden ingezet. Via zijn aandeelhouderschap, draagt Nederland bovendien indirect bij aan trust funds die worden aangevuld vanuit de nettowinst van de Bank. Voorbeelden van dit soort funds zijn:</w:t>
      </w:r>
    </w:p>
    <w:p w:rsidRPr="00FB5B8D" w:rsidR="003707BD" w:rsidP="003707BD" w:rsidRDefault="003707BD" w14:paraId="485EF6FE" w14:textId="77777777">
      <w:pPr>
        <w:pStyle w:val="ListParagraph"/>
        <w:numPr>
          <w:ilvl w:val="1"/>
          <w:numId w:val="8"/>
        </w:numPr>
        <w:spacing w:before="100" w:beforeAutospacing="1" w:after="100" w:afterAutospacing="1" w:line="240" w:lineRule="auto"/>
        <w:rPr>
          <w:i/>
          <w:iCs/>
          <w:color w:val="000000"/>
          <w:szCs w:val="18"/>
          <w:lang w:val="en-US"/>
        </w:rPr>
      </w:pPr>
      <w:r w:rsidRPr="00FB5B8D">
        <w:rPr>
          <w:i/>
          <w:iCs/>
          <w:color w:val="000000"/>
          <w:szCs w:val="18"/>
          <w:lang w:val="en-US"/>
        </w:rPr>
        <w:t>Northern Dimension Environmental Partnership (NDEP);</w:t>
      </w:r>
    </w:p>
    <w:p w:rsidRPr="00FB5B8D" w:rsidR="003707BD" w:rsidP="003707BD" w:rsidRDefault="003707BD" w14:paraId="7E363ED1" w14:textId="77777777">
      <w:pPr>
        <w:pStyle w:val="ListParagraph"/>
        <w:numPr>
          <w:ilvl w:val="1"/>
          <w:numId w:val="8"/>
        </w:numPr>
        <w:spacing w:before="100" w:beforeAutospacing="1" w:after="100" w:afterAutospacing="1" w:line="240" w:lineRule="auto"/>
        <w:rPr>
          <w:i/>
          <w:iCs/>
          <w:color w:val="000000"/>
          <w:szCs w:val="18"/>
          <w:lang w:val="en-US"/>
        </w:rPr>
      </w:pPr>
      <w:r w:rsidRPr="00FB5B8D">
        <w:rPr>
          <w:i/>
          <w:iCs/>
          <w:color w:val="000000"/>
          <w:szCs w:val="18"/>
          <w:lang w:val="en-US"/>
        </w:rPr>
        <w:t>Sustainable Infrastructure Fund (SIF);</w:t>
      </w:r>
    </w:p>
    <w:p w:rsidRPr="00FB5B8D" w:rsidR="003707BD" w:rsidP="003707BD" w:rsidRDefault="003707BD" w14:paraId="0214E23F" w14:textId="77777777">
      <w:pPr>
        <w:pStyle w:val="ListParagraph"/>
        <w:numPr>
          <w:ilvl w:val="1"/>
          <w:numId w:val="8"/>
        </w:numPr>
        <w:spacing w:before="100" w:beforeAutospacing="1" w:after="100" w:afterAutospacing="1" w:line="240" w:lineRule="auto"/>
        <w:rPr>
          <w:i/>
          <w:iCs/>
          <w:color w:val="000000"/>
          <w:szCs w:val="18"/>
          <w:lang w:val="en-US"/>
        </w:rPr>
      </w:pPr>
      <w:r w:rsidRPr="00FB5B8D">
        <w:rPr>
          <w:i/>
          <w:iCs/>
          <w:color w:val="000000"/>
          <w:szCs w:val="18"/>
          <w:lang w:val="en-US"/>
        </w:rPr>
        <w:t>European Western Balkans Joint Fund;</w:t>
      </w:r>
    </w:p>
    <w:p w:rsidRPr="00FB5B8D" w:rsidR="003707BD" w:rsidP="003707BD" w:rsidRDefault="003707BD" w14:paraId="76384A59" w14:textId="77777777">
      <w:pPr>
        <w:pStyle w:val="ListParagraph"/>
        <w:numPr>
          <w:ilvl w:val="1"/>
          <w:numId w:val="8"/>
        </w:numPr>
        <w:spacing w:before="100" w:beforeAutospacing="1" w:after="100" w:afterAutospacing="1" w:line="240" w:lineRule="auto"/>
        <w:rPr>
          <w:i/>
          <w:iCs/>
          <w:color w:val="000000"/>
          <w:szCs w:val="18"/>
          <w:lang w:val="en-US"/>
        </w:rPr>
      </w:pPr>
      <w:r w:rsidRPr="00FB5B8D">
        <w:rPr>
          <w:i/>
          <w:iCs/>
          <w:color w:val="000000"/>
          <w:szCs w:val="18"/>
          <w:lang w:val="en-US"/>
        </w:rPr>
        <w:lastRenderedPageBreak/>
        <w:t xml:space="preserve">Ukraine </w:t>
      </w:r>
      <w:proofErr w:type="spellStart"/>
      <w:r w:rsidRPr="00FB5B8D">
        <w:rPr>
          <w:i/>
          <w:iCs/>
          <w:color w:val="000000"/>
          <w:szCs w:val="18"/>
          <w:lang w:val="en-US"/>
        </w:rPr>
        <w:t>Stabilisation</w:t>
      </w:r>
      <w:proofErr w:type="spellEnd"/>
      <w:r w:rsidRPr="00FB5B8D">
        <w:rPr>
          <w:i/>
          <w:iCs/>
          <w:color w:val="000000"/>
          <w:szCs w:val="18"/>
          <w:lang w:val="en-US"/>
        </w:rPr>
        <w:t xml:space="preserve"> and Sustainable Growth Multi-Donor Account (Ukraine MDA);</w:t>
      </w:r>
    </w:p>
    <w:p w:rsidRPr="00FB5B8D" w:rsidR="003707BD" w:rsidP="003707BD" w:rsidRDefault="003707BD" w14:paraId="688932C4" w14:textId="77777777">
      <w:pPr>
        <w:pStyle w:val="ListParagraph"/>
        <w:numPr>
          <w:ilvl w:val="1"/>
          <w:numId w:val="8"/>
        </w:numPr>
        <w:spacing w:before="100" w:beforeAutospacing="1" w:after="100" w:afterAutospacing="1" w:line="240" w:lineRule="auto"/>
        <w:rPr>
          <w:i/>
          <w:iCs/>
          <w:color w:val="000000"/>
          <w:szCs w:val="18"/>
          <w:lang w:val="en-US"/>
        </w:rPr>
      </w:pPr>
      <w:r w:rsidRPr="00FB5B8D">
        <w:rPr>
          <w:i/>
          <w:iCs/>
          <w:color w:val="000000"/>
          <w:szCs w:val="18"/>
          <w:lang w:val="en-US"/>
        </w:rPr>
        <w:t>Southern and Eastern Mediterranean (SEMED) Multi-Donor Account;</w:t>
      </w:r>
    </w:p>
    <w:p w:rsidRPr="00FB5B8D" w:rsidR="003707BD" w:rsidP="003707BD" w:rsidRDefault="003707BD" w14:paraId="726D727A" w14:textId="77777777">
      <w:pPr>
        <w:pStyle w:val="ListParagraph"/>
        <w:numPr>
          <w:ilvl w:val="1"/>
          <w:numId w:val="8"/>
        </w:numPr>
        <w:spacing w:before="100" w:beforeAutospacing="1" w:after="100" w:afterAutospacing="1" w:line="240" w:lineRule="auto"/>
        <w:rPr>
          <w:i/>
          <w:iCs/>
          <w:color w:val="000000"/>
          <w:szCs w:val="18"/>
          <w:lang w:val="en-US"/>
        </w:rPr>
      </w:pPr>
      <w:r w:rsidRPr="00FB5B8D">
        <w:rPr>
          <w:i/>
          <w:iCs/>
          <w:color w:val="000000"/>
          <w:szCs w:val="18"/>
          <w:lang w:val="en-US"/>
        </w:rPr>
        <w:t>High-Impact Partnership on Climate Action (HIPCA);</w:t>
      </w:r>
    </w:p>
    <w:p w:rsidR="004264DC" w:rsidP="004264DC" w:rsidRDefault="003707BD" w14:paraId="4637A919" w14:textId="77777777">
      <w:pPr>
        <w:pStyle w:val="ListParagraph"/>
        <w:numPr>
          <w:ilvl w:val="1"/>
          <w:numId w:val="8"/>
        </w:numPr>
        <w:spacing w:before="100" w:beforeAutospacing="1" w:after="100" w:afterAutospacing="1" w:line="240" w:lineRule="auto"/>
        <w:rPr>
          <w:color w:val="000000"/>
          <w:szCs w:val="18"/>
        </w:rPr>
      </w:pPr>
      <w:r w:rsidRPr="00FB5B8D">
        <w:rPr>
          <w:i/>
          <w:iCs/>
          <w:color w:val="000000"/>
          <w:szCs w:val="18"/>
        </w:rPr>
        <w:t>Crisis Response Special Fund</w:t>
      </w:r>
      <w:r w:rsidRPr="000D78E3">
        <w:rPr>
          <w:color w:val="000000"/>
          <w:szCs w:val="18"/>
        </w:rPr>
        <w:t>, waar Nederland sinds 2022 EUR 157 milj</w:t>
      </w:r>
      <w:r>
        <w:rPr>
          <w:color w:val="000000"/>
          <w:szCs w:val="18"/>
        </w:rPr>
        <w:t>oen aan heeft bijgedragen ter ondersteuning van Oekraïne</w:t>
      </w:r>
      <w:r w:rsidR="004264DC">
        <w:rPr>
          <w:color w:val="000000"/>
          <w:szCs w:val="18"/>
        </w:rPr>
        <w:t xml:space="preserve"> en daarmee één van de grootste donoren is. </w:t>
      </w:r>
    </w:p>
    <w:p w:rsidRPr="00562963" w:rsidR="003707BD" w:rsidP="00683C15" w:rsidRDefault="003707BD" w14:paraId="552A4CA9" w14:textId="72FF52B8">
      <w:pPr>
        <w:spacing w:before="100" w:beforeAutospacing="1" w:after="100" w:afterAutospacing="1" w:line="240" w:lineRule="auto"/>
        <w:rPr>
          <w:color w:val="000000"/>
          <w:szCs w:val="18"/>
        </w:rPr>
      </w:pPr>
      <w:r w:rsidRPr="00562963">
        <w:rPr>
          <w:color w:val="000000"/>
          <w:szCs w:val="18"/>
        </w:rPr>
        <w:t>Nederland was de eerste donor voor het West Bank &amp; Gaza Multi Donor Trust Fund (MDTF) in 2018 en heeft sindsdien EUR 800</w:t>
      </w:r>
      <w:r w:rsidRPr="00562963" w:rsidR="000220C2">
        <w:rPr>
          <w:color w:val="000000"/>
          <w:szCs w:val="18"/>
        </w:rPr>
        <w:t>.</w:t>
      </w:r>
      <w:r w:rsidRPr="00562963">
        <w:rPr>
          <w:color w:val="000000"/>
          <w:szCs w:val="18"/>
        </w:rPr>
        <w:t xml:space="preserve">000 bijgedragen aan dit fonds. Ook is Nederland een van de belangrijkste </w:t>
      </w:r>
      <w:r w:rsidRPr="00562963" w:rsidR="008B0868">
        <w:rPr>
          <w:color w:val="000000"/>
          <w:szCs w:val="18"/>
        </w:rPr>
        <w:t xml:space="preserve">herkomstlanden </w:t>
      </w:r>
      <w:r w:rsidRPr="00562963">
        <w:rPr>
          <w:color w:val="000000"/>
          <w:szCs w:val="18"/>
        </w:rPr>
        <w:t>van buitenlandse directe investeringen in de landen waar de EBRD actief is.</w:t>
      </w:r>
      <w:r>
        <w:rPr>
          <w:rStyle w:val="FootnoteReference"/>
          <w:color w:val="000000"/>
          <w:szCs w:val="18"/>
        </w:rPr>
        <w:footnoteReference w:id="5"/>
      </w:r>
      <w:r w:rsidRPr="00562963">
        <w:rPr>
          <w:color w:val="000000"/>
          <w:szCs w:val="18"/>
        </w:rPr>
        <w:t xml:space="preserve"> </w:t>
      </w:r>
    </w:p>
    <w:p w:rsidR="003707BD" w:rsidP="00562963" w:rsidRDefault="003707BD" w14:paraId="52CBC590" w14:textId="77777777">
      <w:r>
        <w:t xml:space="preserve">Nederlandse banken zijn ook betrokken bij het </w:t>
      </w:r>
      <w:r w:rsidRPr="00562963">
        <w:rPr>
          <w:i/>
          <w:iCs/>
        </w:rPr>
        <w:t xml:space="preserve">Trade </w:t>
      </w:r>
      <w:proofErr w:type="spellStart"/>
      <w:r w:rsidRPr="00562963">
        <w:rPr>
          <w:i/>
          <w:iCs/>
        </w:rPr>
        <w:t>Facilitation</w:t>
      </w:r>
      <w:proofErr w:type="spellEnd"/>
      <w:r w:rsidRPr="00562963">
        <w:rPr>
          <w:i/>
          <w:iCs/>
        </w:rPr>
        <w:t xml:space="preserve"> </w:t>
      </w:r>
      <w:proofErr w:type="spellStart"/>
      <w:r w:rsidRPr="00562963">
        <w:rPr>
          <w:i/>
          <w:iCs/>
        </w:rPr>
        <w:t>Programme</w:t>
      </w:r>
      <w:proofErr w:type="spellEnd"/>
      <w:r>
        <w:t xml:space="preserve"> (TFP), waarmee de EBRD de betaling garandeert van handelsfinancieringsinstrumenten die zijn uitgegeven door banken in de ontvangende landen van de EBRD aan buitenlandse banken. </w:t>
      </w:r>
    </w:p>
    <w:p w:rsidR="003707BD" w:rsidP="003707BD" w:rsidRDefault="003707BD" w14:paraId="6E66FACE" w14:textId="0161FC6E">
      <w:pPr>
        <w:pStyle w:val="ListParagraph"/>
        <w:numPr>
          <w:ilvl w:val="1"/>
          <w:numId w:val="8"/>
        </w:numPr>
      </w:pPr>
      <w:r>
        <w:t>Sinds de oprichting heeft het TFP 670 export- en importtransacties voor Nederlandse bedrijven ondersteund</w:t>
      </w:r>
      <w:r w:rsidR="0008685F">
        <w:t>,</w:t>
      </w:r>
      <w:r>
        <w:t xml:space="preserve"> voor een totaalbedrag van EUR </w:t>
      </w:r>
      <w:r w:rsidR="0008685F">
        <w:t>461</w:t>
      </w:r>
      <w:r>
        <w:t xml:space="preserve"> miljoen. </w:t>
      </w:r>
    </w:p>
    <w:p w:rsidR="003707BD" w:rsidP="003707BD" w:rsidRDefault="003707BD" w14:paraId="7FB09456" w14:textId="01E8BF2A">
      <w:pPr>
        <w:pStyle w:val="ListParagraph"/>
        <w:numPr>
          <w:ilvl w:val="1"/>
          <w:numId w:val="8"/>
        </w:numPr>
      </w:pPr>
      <w:r>
        <w:t xml:space="preserve">Veertien Nederlandse banken en bijkantoren van banken hebben zich bij het programma aangesloten (alle cijfers per december 2022). Van 2018 tot 2023 hebben entiteiten uit Nederland </w:t>
      </w:r>
      <w:r w:rsidR="0008685F">
        <w:t xml:space="preserve">ruim </w:t>
      </w:r>
      <w:r>
        <w:t xml:space="preserve">400 </w:t>
      </w:r>
      <w:proofErr w:type="spellStart"/>
      <w:r>
        <w:t>aanbestedings</w:t>
      </w:r>
      <w:proofErr w:type="spellEnd"/>
      <w:r>
        <w:t>- en consultancycontracten gewonnen</w:t>
      </w:r>
      <w:r w:rsidR="0008685F">
        <w:t>,</w:t>
      </w:r>
      <w:r>
        <w:t xml:space="preserve"> ter waarde van ca. EUR 88,82 miljoen.</w:t>
      </w:r>
      <w:r>
        <w:rPr>
          <w:rStyle w:val="FootnoteReference"/>
        </w:rPr>
        <w:footnoteReference w:id="6"/>
      </w:r>
    </w:p>
    <w:p w:rsidR="00562963" w:rsidP="00562963" w:rsidRDefault="00562963" w14:paraId="1EFDC20B" w14:textId="77777777"/>
    <w:p w:rsidRPr="00D87FF1" w:rsidR="003707BD" w:rsidP="00562963" w:rsidRDefault="003707BD" w14:paraId="3437AFD6" w14:textId="1DD211B3">
      <w:r w:rsidRPr="00DB2AF2">
        <w:t xml:space="preserve">NL heeft sinds 2022 EUR 209 mln. aan steun voor </w:t>
      </w:r>
      <w:r w:rsidRPr="00DB2AF2" w:rsidR="0008685F">
        <w:t>O</w:t>
      </w:r>
      <w:r w:rsidR="0008685F">
        <w:t>ekraïne</w:t>
      </w:r>
      <w:r w:rsidRPr="00DB2AF2" w:rsidR="0008685F">
        <w:t xml:space="preserve"> </w:t>
      </w:r>
      <w:r w:rsidRPr="00DB2AF2">
        <w:t>geleverd via de EBRD</w:t>
      </w:r>
      <w:r w:rsidR="0008685F">
        <w:t>,</w:t>
      </w:r>
      <w:r>
        <w:t xml:space="preserve"> via verschillende fondsen van de Bank zoals het </w:t>
      </w:r>
      <w:r w:rsidRPr="00562963">
        <w:rPr>
          <w:color w:val="000000"/>
          <w:szCs w:val="18"/>
        </w:rPr>
        <w:t xml:space="preserve">Crisis Response Special Fund en het Ukraine MDA. </w:t>
      </w:r>
    </w:p>
    <w:p w:rsidR="003707BD" w:rsidP="003707BD" w:rsidRDefault="003707BD" w14:paraId="576183AD" w14:textId="77777777"/>
    <w:p w:rsidRPr="004D372F" w:rsidR="00722A0C" w:rsidP="00722A0C" w:rsidRDefault="00722A0C" w14:paraId="34E6E36F" w14:textId="77777777">
      <w:r w:rsidRPr="004D372F">
        <w:t>Overzicht bijdragen en ranking grootste</w:t>
      </w:r>
      <w:r>
        <w:t xml:space="preserve"> bilaterale</w:t>
      </w:r>
      <w:r w:rsidRPr="004D372F">
        <w:t xml:space="preserve"> donoren</w:t>
      </w:r>
    </w:p>
    <w:p w:rsidR="00722A0C" w:rsidP="00722A0C" w:rsidRDefault="00722A0C" w14:paraId="18AFE395" w14:textId="53994602">
      <w:r>
        <w:t>(bedragen in EUR miljoen)</w:t>
      </w:r>
      <w:r>
        <w:rPr>
          <w:rStyle w:val="FootnoteReference"/>
        </w:rPr>
        <w:footnoteReference w:id="7"/>
      </w:r>
      <w:r>
        <w:t xml:space="preserve">. </w:t>
      </w:r>
      <w:r w:rsidRPr="00DC012C">
        <w:t>"</w:t>
      </w:r>
      <w:proofErr w:type="spellStart"/>
      <w:r w:rsidRPr="00DC012C">
        <w:rPr>
          <w:i/>
          <w:iCs/>
        </w:rPr>
        <w:t>Secured</w:t>
      </w:r>
      <w:proofErr w:type="spellEnd"/>
      <w:r w:rsidRPr="00DC012C">
        <w:t>" betekent financiering die is vastgelegd voor gebruik door de EBRD, terwijl "</w:t>
      </w:r>
      <w:proofErr w:type="spellStart"/>
      <w:r w:rsidRPr="00DC012C">
        <w:rPr>
          <w:i/>
          <w:iCs/>
        </w:rPr>
        <w:t>managed</w:t>
      </w:r>
      <w:proofErr w:type="spellEnd"/>
      <w:r w:rsidRPr="00DC012C">
        <w:t xml:space="preserve">" </w:t>
      </w:r>
      <w:r>
        <w:t>gaat over EBRD</w:t>
      </w:r>
      <w:r w:rsidRPr="00DC012C">
        <w:t xml:space="preserve"> fondsen waarbij de Bank alleen optreedt als fondsbeheerder</w:t>
      </w:r>
      <w:r w:rsidR="004264DC">
        <w:t>, de uitvoering van de projecten worden uitbesteed aan derden</w:t>
      </w:r>
      <w:r w:rsidRPr="00DC012C">
        <w:t>.</w:t>
      </w:r>
    </w:p>
    <w:p w:rsidR="00722A0C" w:rsidP="00722A0C" w:rsidRDefault="00722A0C" w14:paraId="2EBA7ED5" w14:textId="77777777"/>
    <w:tbl>
      <w:tblPr>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5"/>
        <w:gridCol w:w="2014"/>
        <w:gridCol w:w="3022"/>
        <w:gridCol w:w="1995"/>
      </w:tblGrid>
      <w:tr w:rsidR="00722A0C" w:rsidTr="26FFF9B3" w14:paraId="568CA717" w14:textId="77777777">
        <w:tc>
          <w:tcPr>
            <w:tcW w:w="444" w:type="pct"/>
            <w:tcBorders>
              <w:top w:val="single" w:color="auto" w:sz="4" w:space="0"/>
              <w:left w:val="single" w:color="auto" w:sz="4" w:space="0"/>
              <w:bottom w:val="single" w:color="auto" w:sz="4" w:space="0"/>
              <w:right w:val="single" w:color="auto" w:sz="4" w:space="0"/>
            </w:tcBorders>
            <w:hideMark/>
          </w:tcPr>
          <w:p w:rsidRPr="00A13499" w:rsidR="00722A0C" w:rsidP="002B5627" w:rsidRDefault="00722A0C" w14:paraId="43A07198" w14:textId="77777777">
            <w:pPr>
              <w:rPr>
                <w:b/>
              </w:rPr>
            </w:pPr>
            <w:r>
              <w:rPr>
                <w:b/>
              </w:rPr>
              <w:t>Jaar</w:t>
            </w:r>
          </w:p>
        </w:tc>
        <w:tc>
          <w:tcPr>
            <w:tcW w:w="1305" w:type="pct"/>
            <w:tcBorders>
              <w:top w:val="single" w:color="auto" w:sz="4" w:space="0"/>
              <w:left w:val="single" w:color="auto" w:sz="4" w:space="0"/>
              <w:bottom w:val="single" w:color="auto" w:sz="4" w:space="0"/>
              <w:right w:val="single" w:color="auto" w:sz="4" w:space="0"/>
            </w:tcBorders>
            <w:hideMark/>
          </w:tcPr>
          <w:p w:rsidRPr="00A13499" w:rsidR="00722A0C" w:rsidP="002B5627" w:rsidRDefault="00722A0C" w14:paraId="7D32A13E" w14:textId="77777777">
            <w:pPr>
              <w:rPr>
                <w:b/>
              </w:rPr>
            </w:pPr>
            <w:r w:rsidRPr="00A13499">
              <w:rPr>
                <w:b/>
              </w:rPr>
              <w:t>Bijdrage</w:t>
            </w:r>
          </w:p>
        </w:tc>
        <w:tc>
          <w:tcPr>
            <w:tcW w:w="1958" w:type="pct"/>
            <w:tcBorders>
              <w:top w:val="single" w:color="auto" w:sz="4" w:space="0"/>
              <w:left w:val="single" w:color="auto" w:sz="4" w:space="0"/>
              <w:bottom w:val="single" w:color="auto" w:sz="4" w:space="0"/>
              <w:right w:val="single" w:color="auto" w:sz="4" w:space="0"/>
            </w:tcBorders>
            <w:hideMark/>
          </w:tcPr>
          <w:p w:rsidRPr="00A13499" w:rsidR="00722A0C" w:rsidP="002B5627" w:rsidRDefault="00722A0C" w14:paraId="1A60BD3D" w14:textId="77777777">
            <w:pPr>
              <w:rPr>
                <w:b/>
              </w:rPr>
            </w:pPr>
            <w:r w:rsidRPr="00A13499">
              <w:rPr>
                <w:b/>
              </w:rPr>
              <w:t>Ranking/donor</w:t>
            </w:r>
          </w:p>
        </w:tc>
        <w:tc>
          <w:tcPr>
            <w:tcW w:w="1293" w:type="pct"/>
            <w:tcBorders>
              <w:top w:val="single" w:color="auto" w:sz="4" w:space="0"/>
              <w:left w:val="single" w:color="auto" w:sz="4" w:space="0"/>
              <w:bottom w:val="single" w:color="auto" w:sz="4" w:space="0"/>
              <w:right w:val="single" w:color="auto" w:sz="4" w:space="0"/>
            </w:tcBorders>
            <w:hideMark/>
          </w:tcPr>
          <w:p w:rsidRPr="00A13499" w:rsidR="00722A0C" w:rsidP="002B5627" w:rsidRDefault="00722A0C" w14:paraId="0C488E6D" w14:textId="77777777">
            <w:pPr>
              <w:jc w:val="center"/>
              <w:rPr>
                <w:b/>
              </w:rPr>
            </w:pPr>
            <w:r w:rsidRPr="00A13499">
              <w:rPr>
                <w:b/>
              </w:rPr>
              <w:t>Bedrag</w:t>
            </w:r>
          </w:p>
        </w:tc>
      </w:tr>
      <w:tr w:rsidR="00722A0C" w:rsidTr="26FFF9B3" w14:paraId="77052495" w14:textId="77777777">
        <w:tc>
          <w:tcPr>
            <w:tcW w:w="4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22A0C" w:rsidP="002B5627" w:rsidRDefault="00722A0C" w14:paraId="6CF2FFBC" w14:textId="77777777"/>
        </w:tc>
        <w:tc>
          <w:tcPr>
            <w:tcW w:w="130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22A0C" w:rsidP="002B5627" w:rsidRDefault="00722A0C" w14:paraId="4149BC18" w14:textId="77777777"/>
        </w:tc>
        <w:tc>
          <w:tcPr>
            <w:tcW w:w="1958"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22A0C" w:rsidP="002B5627" w:rsidRDefault="00722A0C" w14:paraId="44C1B4AB" w14:textId="77777777"/>
        </w:tc>
        <w:tc>
          <w:tcPr>
            <w:tcW w:w="129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22A0C" w:rsidP="002B5627" w:rsidRDefault="00722A0C" w14:paraId="563CD6B1" w14:textId="77777777"/>
        </w:tc>
      </w:tr>
      <w:tr w:rsidR="00722A0C" w:rsidTr="26FFF9B3" w14:paraId="420DC649" w14:textId="77777777">
        <w:tc>
          <w:tcPr>
            <w:tcW w:w="444" w:type="pct"/>
            <w:tcBorders>
              <w:top w:val="single" w:color="auto" w:sz="4" w:space="0"/>
              <w:left w:val="single" w:color="auto" w:sz="4" w:space="0"/>
              <w:bottom w:val="single" w:color="auto" w:sz="4" w:space="0"/>
              <w:right w:val="single" w:color="auto" w:sz="4" w:space="0"/>
            </w:tcBorders>
            <w:hideMark/>
          </w:tcPr>
          <w:p w:rsidR="00722A0C" w:rsidP="002B5627" w:rsidRDefault="00722A0C" w14:paraId="1B5951A1" w14:textId="77777777">
            <w:r>
              <w:t>2024</w:t>
            </w:r>
          </w:p>
        </w:tc>
        <w:tc>
          <w:tcPr>
            <w:tcW w:w="1305" w:type="pct"/>
            <w:tcBorders>
              <w:top w:val="single" w:color="auto" w:sz="4" w:space="0"/>
              <w:left w:val="single" w:color="auto" w:sz="4" w:space="0"/>
              <w:bottom w:val="single" w:color="auto" w:sz="4" w:space="0"/>
              <w:right w:val="single" w:color="auto" w:sz="4" w:space="0"/>
            </w:tcBorders>
            <w:hideMark/>
          </w:tcPr>
          <w:p w:rsidR="00722A0C" w:rsidP="002B5627" w:rsidRDefault="00722A0C" w14:paraId="4C9D5DBC"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4C21E3BE" w14:textId="77777777">
            <w:r>
              <w:t>1. EU</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00722A0C" w14:paraId="4B2ABFD2" w14:textId="77777777">
            <w:pPr>
              <w:tabs>
                <w:tab w:val="decimal" w:pos="1026"/>
              </w:tabs>
            </w:pPr>
            <w:r>
              <w:t xml:space="preserve">985m </w:t>
            </w:r>
            <w:proofErr w:type="spellStart"/>
            <w:r>
              <w:t>secured</w:t>
            </w:r>
            <w:proofErr w:type="spellEnd"/>
            <w:r>
              <w:t xml:space="preserve">, 475m </w:t>
            </w:r>
            <w:proofErr w:type="spellStart"/>
            <w:r>
              <w:t>managed</w:t>
            </w:r>
            <w:proofErr w:type="spellEnd"/>
          </w:p>
        </w:tc>
      </w:tr>
      <w:tr w:rsidR="00722A0C" w:rsidTr="26FFF9B3" w14:paraId="4BE61D24" w14:textId="77777777">
        <w:tc>
          <w:tcPr>
            <w:tcW w:w="1749" w:type="pct"/>
            <w:gridSpan w:val="2"/>
            <w:vMerge w:val="restart"/>
            <w:tcBorders>
              <w:top w:val="single" w:color="auto" w:sz="4" w:space="0"/>
              <w:left w:val="single" w:color="auto" w:sz="4" w:space="0"/>
              <w:right w:val="single" w:color="auto" w:sz="4" w:space="0"/>
            </w:tcBorders>
          </w:tcPr>
          <w:p w:rsidR="00722A0C" w:rsidP="002B5627" w:rsidRDefault="00722A0C" w14:paraId="257CC70C"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3EECD9BF" w14:textId="77777777">
            <w:r>
              <w:t>2. Frankrijk</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00722A0C" w14:paraId="1F6A4BAE" w14:textId="77777777">
            <w:pPr>
              <w:tabs>
                <w:tab w:val="decimal" w:pos="1026"/>
              </w:tabs>
            </w:pPr>
            <w:r>
              <w:t xml:space="preserve">250m </w:t>
            </w:r>
            <w:proofErr w:type="spellStart"/>
            <w:r>
              <w:t>secured</w:t>
            </w:r>
            <w:proofErr w:type="spellEnd"/>
            <w:r>
              <w:t xml:space="preserve">, 6,5m </w:t>
            </w:r>
            <w:proofErr w:type="spellStart"/>
            <w:r>
              <w:t>managed</w:t>
            </w:r>
            <w:proofErr w:type="spellEnd"/>
          </w:p>
        </w:tc>
      </w:tr>
      <w:tr w:rsidR="00722A0C" w:rsidTr="26FFF9B3" w14:paraId="4C1015E1" w14:textId="77777777">
        <w:tc>
          <w:tcPr>
            <w:tcW w:w="1749" w:type="pct"/>
            <w:gridSpan w:val="2"/>
            <w:vMerge/>
            <w:tcBorders>
              <w:left w:val="single" w:color="auto" w:sz="4" w:space="0"/>
              <w:right w:val="single" w:color="auto" w:sz="4" w:space="0"/>
            </w:tcBorders>
          </w:tcPr>
          <w:p w:rsidR="00722A0C" w:rsidP="002B5627" w:rsidRDefault="00722A0C" w14:paraId="55F8BA21"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42096BD7" w14:textId="77777777">
            <w:r>
              <w:t>3. Noorwegen</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00722A0C" w14:paraId="7E7AE780" w14:textId="77777777">
            <w:pPr>
              <w:tabs>
                <w:tab w:val="decimal" w:pos="1026"/>
              </w:tabs>
            </w:pPr>
            <w:r>
              <w:t xml:space="preserve">47,2m </w:t>
            </w:r>
            <w:proofErr w:type="spellStart"/>
            <w:r>
              <w:t>secured</w:t>
            </w:r>
            <w:proofErr w:type="spellEnd"/>
            <w:r>
              <w:t xml:space="preserve">, 8,6m </w:t>
            </w:r>
            <w:proofErr w:type="spellStart"/>
            <w:r>
              <w:t>managed</w:t>
            </w:r>
            <w:proofErr w:type="spellEnd"/>
          </w:p>
        </w:tc>
      </w:tr>
      <w:tr w:rsidR="00722A0C" w:rsidTr="26FFF9B3" w14:paraId="5245CED5" w14:textId="77777777">
        <w:tc>
          <w:tcPr>
            <w:tcW w:w="1749" w:type="pct"/>
            <w:gridSpan w:val="2"/>
            <w:vMerge/>
            <w:tcBorders>
              <w:left w:val="single" w:color="auto" w:sz="4" w:space="0"/>
              <w:bottom w:val="single" w:color="auto" w:sz="4" w:space="0"/>
              <w:right w:val="single" w:color="auto" w:sz="4" w:space="0"/>
            </w:tcBorders>
          </w:tcPr>
          <w:p w:rsidR="00722A0C" w:rsidP="002B5627" w:rsidRDefault="00722A0C" w14:paraId="202446A9"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2AB786C8" w14:textId="77777777">
            <w:r>
              <w:t>8. Nederland (niet in top 3)</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00722A0C" w14:paraId="5DBA61C6" w14:textId="77777777">
            <w:pPr>
              <w:tabs>
                <w:tab w:val="decimal" w:pos="1026"/>
              </w:tabs>
            </w:pPr>
            <w:r>
              <w:t xml:space="preserve">29,5m </w:t>
            </w:r>
            <w:proofErr w:type="spellStart"/>
            <w:r>
              <w:t>secured</w:t>
            </w:r>
            <w:proofErr w:type="spellEnd"/>
            <w:r>
              <w:t xml:space="preserve">, 0,5m </w:t>
            </w:r>
            <w:proofErr w:type="spellStart"/>
            <w:r>
              <w:t>managed</w:t>
            </w:r>
            <w:proofErr w:type="spellEnd"/>
          </w:p>
        </w:tc>
      </w:tr>
      <w:tr w:rsidR="00722A0C" w:rsidTr="26FFF9B3" w14:paraId="3232E531" w14:textId="77777777">
        <w:tc>
          <w:tcPr>
            <w:tcW w:w="444" w:type="pct"/>
            <w:tcBorders>
              <w:top w:val="single" w:color="auto" w:sz="4" w:space="0"/>
              <w:left w:val="single" w:color="auto" w:sz="4" w:space="0"/>
              <w:bottom w:val="single" w:color="auto" w:sz="4" w:space="0"/>
              <w:right w:val="single" w:color="auto" w:sz="4" w:space="0"/>
            </w:tcBorders>
          </w:tcPr>
          <w:p w:rsidR="00722A0C" w:rsidP="002B5627" w:rsidRDefault="00722A0C" w14:paraId="5B1C9C6A" w14:textId="77777777">
            <w:r>
              <w:t>2023</w:t>
            </w:r>
          </w:p>
        </w:tc>
        <w:tc>
          <w:tcPr>
            <w:tcW w:w="1305" w:type="pct"/>
            <w:tcBorders>
              <w:top w:val="single" w:color="auto" w:sz="4" w:space="0"/>
              <w:left w:val="single" w:color="auto" w:sz="4" w:space="0"/>
              <w:bottom w:val="single" w:color="auto" w:sz="4" w:space="0"/>
              <w:right w:val="single" w:color="auto" w:sz="4" w:space="0"/>
            </w:tcBorders>
          </w:tcPr>
          <w:p w:rsidR="00722A0C" w:rsidP="002B5627" w:rsidRDefault="00722A0C" w14:paraId="73A982F2" w14:textId="77777777">
            <w:r>
              <w:t>Totaal-bijdrage</w:t>
            </w:r>
          </w:p>
        </w:tc>
        <w:tc>
          <w:tcPr>
            <w:tcW w:w="1958" w:type="pct"/>
            <w:tcBorders>
              <w:top w:val="single" w:color="auto" w:sz="4" w:space="0"/>
              <w:left w:val="single" w:color="auto" w:sz="4" w:space="0"/>
              <w:bottom w:val="single" w:color="auto" w:sz="4" w:space="0"/>
              <w:right w:val="single" w:color="auto" w:sz="4" w:space="0"/>
            </w:tcBorders>
          </w:tcPr>
          <w:p w:rsidRPr="00DC012C" w:rsidR="00722A0C" w:rsidP="002B5627" w:rsidRDefault="00722A0C" w14:paraId="49116218" w14:textId="77777777">
            <w:r>
              <w:t xml:space="preserve">1. EU </w:t>
            </w:r>
          </w:p>
        </w:tc>
        <w:tc>
          <w:tcPr>
            <w:tcW w:w="1293" w:type="pct"/>
            <w:tcBorders>
              <w:top w:val="single" w:color="auto" w:sz="4" w:space="0"/>
              <w:left w:val="single" w:color="auto" w:sz="4" w:space="0"/>
              <w:bottom w:val="single" w:color="auto" w:sz="4" w:space="0"/>
              <w:right w:val="single" w:color="auto" w:sz="4" w:space="0"/>
            </w:tcBorders>
          </w:tcPr>
          <w:p w:rsidRPr="00DC012C" w:rsidR="00722A0C" w:rsidP="002B5627" w:rsidRDefault="00722A0C" w14:paraId="3AED0704" w14:textId="77777777">
            <w:pPr>
              <w:tabs>
                <w:tab w:val="decimal" w:pos="1026"/>
              </w:tabs>
            </w:pPr>
            <w:r>
              <w:t xml:space="preserve">715m </w:t>
            </w:r>
            <w:proofErr w:type="spellStart"/>
            <w:r>
              <w:t>secured</w:t>
            </w:r>
            <w:proofErr w:type="spellEnd"/>
            <w:r>
              <w:t xml:space="preserve">, 537,6m </w:t>
            </w:r>
            <w:proofErr w:type="spellStart"/>
            <w:r>
              <w:t>managed</w:t>
            </w:r>
            <w:proofErr w:type="spellEnd"/>
          </w:p>
        </w:tc>
      </w:tr>
      <w:tr w:rsidR="00722A0C" w:rsidTr="26FFF9B3" w14:paraId="6AAC4250" w14:textId="77777777">
        <w:tc>
          <w:tcPr>
            <w:tcW w:w="1749" w:type="pct"/>
            <w:gridSpan w:val="2"/>
            <w:vMerge w:val="restart"/>
            <w:tcBorders>
              <w:top w:val="single" w:color="auto" w:sz="4" w:space="0"/>
              <w:left w:val="single" w:color="auto" w:sz="4" w:space="0"/>
              <w:right w:val="single" w:color="auto" w:sz="4" w:space="0"/>
            </w:tcBorders>
          </w:tcPr>
          <w:p w:rsidR="00722A0C" w:rsidP="002B5627" w:rsidRDefault="00722A0C" w14:paraId="658F603D"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486C0363" w14:textId="77777777">
            <w:r>
              <w:t>2. Canada</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26FFF9B3" w14:paraId="66E69C9B" w14:textId="7F43BDF4">
            <w:pPr>
              <w:tabs>
                <w:tab w:val="decimal" w:pos="1026"/>
              </w:tabs>
            </w:pPr>
            <w:r>
              <w:t xml:space="preserve">192m </w:t>
            </w:r>
            <w:proofErr w:type="spellStart"/>
            <w:r>
              <w:t>secured</w:t>
            </w:r>
            <w:proofErr w:type="spellEnd"/>
          </w:p>
          <w:p w:rsidR="00722A0C" w:rsidP="26FFF9B3" w:rsidRDefault="26FFF9B3" w14:paraId="72CAD723" w14:textId="265543CC">
            <w:pPr>
              <w:tabs>
                <w:tab w:val="decimal" w:pos="1026"/>
              </w:tabs>
            </w:pPr>
            <w:r>
              <w:t xml:space="preserve">0m </w:t>
            </w:r>
            <w:proofErr w:type="spellStart"/>
            <w:r>
              <w:t>managed</w:t>
            </w:r>
            <w:proofErr w:type="spellEnd"/>
          </w:p>
        </w:tc>
      </w:tr>
      <w:tr w:rsidR="00722A0C" w:rsidTr="26FFF9B3" w14:paraId="22340310" w14:textId="77777777">
        <w:tc>
          <w:tcPr>
            <w:tcW w:w="1749" w:type="pct"/>
            <w:gridSpan w:val="2"/>
            <w:vMerge/>
            <w:tcBorders>
              <w:left w:val="single" w:color="auto" w:sz="4" w:space="0"/>
              <w:right w:val="single" w:color="auto" w:sz="4" w:space="0"/>
            </w:tcBorders>
          </w:tcPr>
          <w:p w:rsidR="00722A0C" w:rsidP="002B5627" w:rsidRDefault="00722A0C" w14:paraId="6D78E6C7"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523A59D3" w14:textId="77777777">
            <w:r>
              <w:t>3. Noorwegen</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00722A0C" w14:paraId="2394E578" w14:textId="77777777">
            <w:pPr>
              <w:tabs>
                <w:tab w:val="decimal" w:pos="1026"/>
              </w:tabs>
            </w:pPr>
            <w:r>
              <w:t xml:space="preserve">168,7m </w:t>
            </w:r>
            <w:proofErr w:type="spellStart"/>
            <w:r>
              <w:t>secured</w:t>
            </w:r>
            <w:proofErr w:type="spellEnd"/>
            <w:r>
              <w:t xml:space="preserve">, 5m </w:t>
            </w:r>
            <w:proofErr w:type="spellStart"/>
            <w:r>
              <w:t>managed</w:t>
            </w:r>
            <w:proofErr w:type="spellEnd"/>
            <w:r>
              <w:t xml:space="preserve"> </w:t>
            </w:r>
          </w:p>
        </w:tc>
      </w:tr>
      <w:tr w:rsidR="00722A0C" w:rsidTr="26FFF9B3" w14:paraId="3E7E5CB7" w14:textId="77777777">
        <w:tc>
          <w:tcPr>
            <w:tcW w:w="1749" w:type="pct"/>
            <w:gridSpan w:val="2"/>
            <w:vMerge/>
            <w:tcBorders>
              <w:left w:val="single" w:color="auto" w:sz="4" w:space="0"/>
              <w:bottom w:val="single" w:color="auto" w:sz="4" w:space="0"/>
              <w:right w:val="single" w:color="auto" w:sz="4" w:space="0"/>
            </w:tcBorders>
          </w:tcPr>
          <w:p w:rsidR="00722A0C" w:rsidP="002B5627" w:rsidRDefault="00722A0C" w14:paraId="406647D1"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2EDDEFF3" w14:textId="77777777">
            <w:r>
              <w:t xml:space="preserve">5. Nederland (niet in top 3) </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26FFF9B3" w14:paraId="134AFAA6" w14:textId="47056EC4">
            <w:pPr>
              <w:tabs>
                <w:tab w:val="decimal" w:pos="1026"/>
              </w:tabs>
            </w:pPr>
            <w:r>
              <w:t xml:space="preserve"> 85m </w:t>
            </w:r>
            <w:proofErr w:type="spellStart"/>
            <w:r>
              <w:t>secured</w:t>
            </w:r>
            <w:proofErr w:type="spellEnd"/>
            <w:r>
              <w:t xml:space="preserve">, </w:t>
            </w:r>
            <w:r w:rsidR="002D5A57">
              <w:br/>
            </w:r>
            <w:r>
              <w:t xml:space="preserve">0m </w:t>
            </w:r>
            <w:proofErr w:type="spellStart"/>
            <w:r>
              <w:t>managed</w:t>
            </w:r>
            <w:proofErr w:type="spellEnd"/>
          </w:p>
        </w:tc>
      </w:tr>
      <w:tr w:rsidR="00722A0C" w:rsidTr="26FFF9B3" w14:paraId="48BC4F5B" w14:textId="77777777">
        <w:tc>
          <w:tcPr>
            <w:tcW w:w="444" w:type="pct"/>
            <w:tcBorders>
              <w:top w:val="single" w:color="auto" w:sz="4" w:space="0"/>
              <w:left w:val="single" w:color="auto" w:sz="4" w:space="0"/>
              <w:bottom w:val="single" w:color="auto" w:sz="4" w:space="0"/>
              <w:right w:val="single" w:color="auto" w:sz="4" w:space="0"/>
            </w:tcBorders>
          </w:tcPr>
          <w:p w:rsidR="00722A0C" w:rsidP="002B5627" w:rsidRDefault="00722A0C" w14:paraId="10B7AAFB" w14:textId="77777777">
            <w:r>
              <w:t>2022</w:t>
            </w:r>
          </w:p>
        </w:tc>
        <w:tc>
          <w:tcPr>
            <w:tcW w:w="1305" w:type="pct"/>
            <w:tcBorders>
              <w:top w:val="single" w:color="auto" w:sz="4" w:space="0"/>
              <w:left w:val="single" w:color="auto" w:sz="4" w:space="0"/>
              <w:bottom w:val="single" w:color="auto" w:sz="4" w:space="0"/>
              <w:right w:val="single" w:color="auto" w:sz="4" w:space="0"/>
            </w:tcBorders>
          </w:tcPr>
          <w:p w:rsidR="00722A0C" w:rsidP="002B5627" w:rsidRDefault="00722A0C" w14:paraId="71271222" w14:textId="77777777">
            <w:r>
              <w:t>Totaal-bijdrage</w:t>
            </w:r>
          </w:p>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02EF8FFA" w14:textId="77777777">
            <w:r>
              <w:t xml:space="preserve">1. EU </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00722A0C" w14:paraId="3B731368" w14:textId="77777777">
            <w:pPr>
              <w:tabs>
                <w:tab w:val="decimal" w:pos="1026"/>
              </w:tabs>
            </w:pPr>
            <w:r>
              <w:t xml:space="preserve">998m </w:t>
            </w:r>
            <w:proofErr w:type="spellStart"/>
            <w:r>
              <w:t>secured</w:t>
            </w:r>
            <w:proofErr w:type="spellEnd"/>
            <w:r>
              <w:t xml:space="preserve">, 532m </w:t>
            </w:r>
            <w:proofErr w:type="spellStart"/>
            <w:r>
              <w:t>managed</w:t>
            </w:r>
            <w:proofErr w:type="spellEnd"/>
          </w:p>
        </w:tc>
      </w:tr>
      <w:tr w:rsidR="00722A0C" w:rsidTr="26FFF9B3" w14:paraId="45E672E9" w14:textId="77777777">
        <w:tc>
          <w:tcPr>
            <w:tcW w:w="1749" w:type="pct"/>
            <w:gridSpan w:val="2"/>
            <w:vMerge w:val="restart"/>
            <w:tcBorders>
              <w:top w:val="single" w:color="auto" w:sz="4" w:space="0"/>
              <w:left w:val="single" w:color="auto" w:sz="4" w:space="0"/>
              <w:right w:val="single" w:color="auto" w:sz="4" w:space="0"/>
            </w:tcBorders>
          </w:tcPr>
          <w:p w:rsidR="00722A0C" w:rsidP="002B5627" w:rsidRDefault="00722A0C" w14:paraId="7B3D26FA"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740D4B9D" w14:textId="77777777">
            <w:r>
              <w:t>2. USA</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26FFF9B3" w14:paraId="3D1ABD8C" w14:textId="33290083">
            <w:pPr>
              <w:tabs>
                <w:tab w:val="decimal" w:pos="1026"/>
              </w:tabs>
            </w:pPr>
            <w:r>
              <w:t xml:space="preserve">479m </w:t>
            </w:r>
            <w:proofErr w:type="spellStart"/>
            <w:r>
              <w:t>secured</w:t>
            </w:r>
            <w:proofErr w:type="spellEnd"/>
            <w:r>
              <w:t xml:space="preserve">, </w:t>
            </w:r>
            <w:r w:rsidR="002D5A57">
              <w:br/>
            </w:r>
            <w:r>
              <w:t xml:space="preserve">0m </w:t>
            </w:r>
            <w:proofErr w:type="spellStart"/>
            <w:r>
              <w:t>managed</w:t>
            </w:r>
            <w:proofErr w:type="spellEnd"/>
          </w:p>
        </w:tc>
      </w:tr>
      <w:tr w:rsidR="00722A0C" w:rsidTr="26FFF9B3" w14:paraId="0B7ACDB4" w14:textId="77777777">
        <w:tc>
          <w:tcPr>
            <w:tcW w:w="1749" w:type="pct"/>
            <w:gridSpan w:val="2"/>
            <w:vMerge/>
            <w:tcBorders>
              <w:left w:val="single" w:color="auto" w:sz="4" w:space="0"/>
              <w:right w:val="single" w:color="auto" w:sz="4" w:space="0"/>
            </w:tcBorders>
          </w:tcPr>
          <w:p w:rsidR="00722A0C" w:rsidP="002B5627" w:rsidRDefault="00722A0C" w14:paraId="34D32053"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228BD52A" w14:textId="77777777">
            <w:r>
              <w:t>3. Noorwegen</w:t>
            </w:r>
          </w:p>
        </w:tc>
        <w:tc>
          <w:tcPr>
            <w:tcW w:w="1293" w:type="pct"/>
            <w:tcBorders>
              <w:top w:val="single" w:color="auto" w:sz="4" w:space="0"/>
              <w:left w:val="single" w:color="auto" w:sz="4" w:space="0"/>
              <w:bottom w:val="single" w:color="auto" w:sz="4" w:space="0"/>
              <w:right w:val="single" w:color="auto" w:sz="4" w:space="0"/>
            </w:tcBorders>
          </w:tcPr>
          <w:p w:rsidR="00C96037" w:rsidP="002B5627" w:rsidRDefault="00722A0C" w14:paraId="10679E8C" w14:textId="77777777">
            <w:pPr>
              <w:tabs>
                <w:tab w:val="decimal" w:pos="1026"/>
              </w:tabs>
            </w:pPr>
            <w:r>
              <w:t xml:space="preserve">196m </w:t>
            </w:r>
            <w:proofErr w:type="spellStart"/>
            <w:r>
              <w:t>secured</w:t>
            </w:r>
            <w:proofErr w:type="spellEnd"/>
            <w:r>
              <w:t xml:space="preserve">, </w:t>
            </w:r>
          </w:p>
          <w:p w:rsidR="00722A0C" w:rsidP="002B5627" w:rsidRDefault="00722A0C" w14:paraId="697D6AE5" w14:textId="43EA5910">
            <w:pPr>
              <w:tabs>
                <w:tab w:val="decimal" w:pos="1026"/>
              </w:tabs>
            </w:pPr>
            <w:r>
              <w:t xml:space="preserve">8m </w:t>
            </w:r>
            <w:proofErr w:type="spellStart"/>
            <w:r>
              <w:t>managed</w:t>
            </w:r>
            <w:proofErr w:type="spellEnd"/>
          </w:p>
        </w:tc>
      </w:tr>
      <w:tr w:rsidR="00722A0C" w:rsidTr="26FFF9B3" w14:paraId="0A08A2A7" w14:textId="77777777">
        <w:tc>
          <w:tcPr>
            <w:tcW w:w="1749" w:type="pct"/>
            <w:gridSpan w:val="2"/>
            <w:vMerge/>
            <w:tcBorders>
              <w:left w:val="single" w:color="auto" w:sz="4" w:space="0"/>
              <w:bottom w:val="single" w:color="auto" w:sz="4" w:space="0"/>
              <w:right w:val="single" w:color="auto" w:sz="4" w:space="0"/>
            </w:tcBorders>
          </w:tcPr>
          <w:p w:rsidR="00722A0C" w:rsidP="002B5627" w:rsidRDefault="00722A0C" w14:paraId="01322532" w14:textId="77777777"/>
        </w:tc>
        <w:tc>
          <w:tcPr>
            <w:tcW w:w="1958" w:type="pct"/>
            <w:tcBorders>
              <w:top w:val="single" w:color="auto" w:sz="4" w:space="0"/>
              <w:left w:val="single" w:color="auto" w:sz="4" w:space="0"/>
              <w:bottom w:val="single" w:color="auto" w:sz="4" w:space="0"/>
              <w:right w:val="single" w:color="auto" w:sz="4" w:space="0"/>
            </w:tcBorders>
          </w:tcPr>
          <w:p w:rsidR="00722A0C" w:rsidP="002B5627" w:rsidRDefault="00722A0C" w14:paraId="7BC9A87B" w14:textId="77777777">
            <w:r>
              <w:t>6. Nederland (niet in top 3)</w:t>
            </w:r>
          </w:p>
        </w:tc>
        <w:tc>
          <w:tcPr>
            <w:tcW w:w="1293" w:type="pct"/>
            <w:tcBorders>
              <w:top w:val="single" w:color="auto" w:sz="4" w:space="0"/>
              <w:left w:val="single" w:color="auto" w:sz="4" w:space="0"/>
              <w:bottom w:val="single" w:color="auto" w:sz="4" w:space="0"/>
              <w:right w:val="single" w:color="auto" w:sz="4" w:space="0"/>
            </w:tcBorders>
          </w:tcPr>
          <w:p w:rsidR="00722A0C" w:rsidP="002B5627" w:rsidRDefault="26FFF9B3" w14:paraId="0251752B" w14:textId="37FFA27B">
            <w:pPr>
              <w:tabs>
                <w:tab w:val="decimal" w:pos="1026"/>
              </w:tabs>
            </w:pPr>
            <w:r>
              <w:t xml:space="preserve">74,5m </w:t>
            </w:r>
            <w:proofErr w:type="spellStart"/>
            <w:r>
              <w:t>secured</w:t>
            </w:r>
            <w:proofErr w:type="spellEnd"/>
            <w:r w:rsidR="002D5A57">
              <w:t>,</w:t>
            </w:r>
            <w:r>
              <w:t xml:space="preserve"> </w:t>
            </w:r>
            <w:r w:rsidR="002D5A57">
              <w:br/>
            </w:r>
            <w:r>
              <w:t xml:space="preserve">0m </w:t>
            </w:r>
            <w:proofErr w:type="spellStart"/>
            <w:r>
              <w:t>managed</w:t>
            </w:r>
            <w:proofErr w:type="spellEnd"/>
          </w:p>
        </w:tc>
      </w:tr>
    </w:tbl>
    <w:p w:rsidR="003707BD" w:rsidP="003707BD" w:rsidRDefault="003707BD" w14:paraId="0B54E7C7" w14:textId="77777777">
      <w:pPr>
        <w:rPr>
          <w:rFonts w:ascii="Calibri" w:hAnsi="Calibri"/>
          <w:sz w:val="22"/>
          <w:szCs w:val="22"/>
        </w:rPr>
      </w:pPr>
    </w:p>
    <w:p w:rsidR="003707BD" w:rsidP="003707BD" w:rsidRDefault="003707BD" w14:paraId="534C80BA" w14:textId="77777777">
      <w:pPr>
        <w:rPr>
          <w:rFonts w:ascii="Calibri" w:hAnsi="Calibri"/>
          <w:sz w:val="22"/>
          <w:szCs w:val="22"/>
        </w:rPr>
      </w:pPr>
    </w:p>
    <w:p w:rsidR="003707BD" w:rsidP="003707BD" w:rsidRDefault="003707BD" w14:paraId="38F34BB1" w14:textId="77777777">
      <w:pPr>
        <w:rPr>
          <w:rFonts w:ascii="Calibri" w:hAnsi="Calibri"/>
          <w:sz w:val="22"/>
          <w:szCs w:val="22"/>
        </w:rPr>
      </w:pPr>
    </w:p>
    <w:p w:rsidR="003707BD" w:rsidP="003707BD" w:rsidRDefault="003707BD" w14:paraId="68ABA342" w14:textId="77777777">
      <w:pPr>
        <w:rPr>
          <w:rFonts w:ascii="Calibri" w:hAnsi="Calibri"/>
          <w:sz w:val="22"/>
          <w:szCs w:val="22"/>
        </w:rPr>
      </w:pPr>
    </w:p>
    <w:p w:rsidR="003707BD" w:rsidP="003707BD" w:rsidRDefault="003707BD" w14:paraId="1BA312A4" w14:textId="77777777">
      <w:pPr>
        <w:rPr>
          <w:rFonts w:ascii="Calibri" w:hAnsi="Calibri"/>
          <w:sz w:val="22"/>
          <w:szCs w:val="22"/>
        </w:rPr>
      </w:pPr>
    </w:p>
    <w:p w:rsidR="003707BD" w:rsidP="003707BD" w:rsidRDefault="003707BD" w14:paraId="5A0ED420" w14:textId="77777777">
      <w:pPr>
        <w:rPr>
          <w:rFonts w:ascii="Calibri" w:hAnsi="Calibri"/>
          <w:sz w:val="22"/>
          <w:szCs w:val="22"/>
        </w:rPr>
      </w:pPr>
    </w:p>
    <w:p w:rsidR="003707BD" w:rsidP="003707BD" w:rsidRDefault="003707BD" w14:paraId="05ECB276" w14:textId="77777777">
      <w:pPr>
        <w:rPr>
          <w:rFonts w:ascii="Calibri" w:hAnsi="Calibri"/>
          <w:sz w:val="22"/>
          <w:szCs w:val="22"/>
        </w:rPr>
      </w:pPr>
    </w:p>
    <w:p w:rsidR="003707BD" w:rsidP="003707BD" w:rsidRDefault="003707BD" w14:paraId="6486FC62" w14:textId="77777777">
      <w:pPr>
        <w:rPr>
          <w:rFonts w:ascii="Calibri" w:hAnsi="Calibri"/>
          <w:sz w:val="22"/>
          <w:szCs w:val="22"/>
        </w:rPr>
      </w:pPr>
    </w:p>
    <w:p w:rsidRPr="009C7C85" w:rsidR="003707BD" w:rsidP="003707BD" w:rsidRDefault="003707BD" w14:paraId="298D1930" w14:textId="77777777">
      <w:pPr>
        <w:rPr>
          <w:rFonts w:ascii="Calibri" w:hAnsi="Calibri"/>
          <w:sz w:val="22"/>
          <w:szCs w:val="22"/>
        </w:rPr>
        <w:sectPr w:rsidRPr="009C7C85" w:rsidR="003707BD" w:rsidSect="003707BD">
          <w:headerReference w:type="default" r:id="rId13"/>
          <w:footerReference w:type="default" r:id="rId14"/>
          <w:headerReference w:type="first" r:id="rId15"/>
          <w:footerReference w:type="first" r:id="rId16"/>
          <w:type w:val="continuous"/>
          <w:pgSz w:w="11906" w:h="16838" w:code="9"/>
          <w:pgMar w:top="2520" w:right="960" w:bottom="1080" w:left="3220" w:header="200" w:footer="660" w:gutter="0"/>
          <w:cols w:space="708"/>
          <w:titlePg/>
          <w:docGrid w:linePitch="360"/>
        </w:sectPr>
      </w:pPr>
    </w:p>
    <w:p w:rsidRPr="00B95FC2" w:rsidR="003707BD" w:rsidP="003707BD" w:rsidRDefault="003707BD" w14:paraId="250C1B42" w14:textId="77777777">
      <w:bookmarkStart w:name="_Toc238533654" w:id="57"/>
      <w:bookmarkStart w:name="_Toc238537583" w:id="58"/>
      <w:bookmarkStart w:name="_Toc238538136" w:id="59"/>
      <w:bookmarkStart w:name="_Toc238538151" w:id="60"/>
      <w:bookmarkEnd w:id="57"/>
      <w:bookmarkEnd w:id="58"/>
      <w:bookmarkEnd w:id="59"/>
      <w:bookmarkEnd w:id="60"/>
    </w:p>
    <w:p w:rsidR="003707BD" w:rsidP="003707BD" w:rsidRDefault="003707BD" w14:paraId="5C7E7E21" w14:textId="57831BF0">
      <w:pPr>
        <w:pStyle w:val="Heading1"/>
        <w:numPr>
          <w:ilvl w:val="0"/>
          <w:numId w:val="12"/>
        </w:numPr>
        <w:spacing w:after="240" w:line="240" w:lineRule="auto"/>
      </w:pPr>
      <w:bookmarkStart w:name="_Toc531336311" w:id="61"/>
      <w:r>
        <w:lastRenderedPageBreak/>
        <w:tab/>
      </w:r>
      <w:bookmarkStart w:name="_Toc199260815" w:id="62"/>
      <w:bookmarkStart w:name="_Toc205366641" w:id="63"/>
      <w:bookmarkEnd w:id="61"/>
      <w:r>
        <w:t xml:space="preserve">MOPAN-beoordeling van </w:t>
      </w:r>
      <w:r w:rsidR="007E2A51">
        <w:t>de EBRD</w:t>
      </w:r>
      <w:bookmarkEnd w:id="62"/>
      <w:bookmarkEnd w:id="63"/>
      <w:r w:rsidR="007E2A51">
        <w:t xml:space="preserve"> </w:t>
      </w:r>
    </w:p>
    <w:p w:rsidR="003707BD" w:rsidP="003707BD" w:rsidRDefault="003707BD" w14:paraId="1A2D5767" w14:textId="006033E3">
      <w:pPr>
        <w:pStyle w:val="Heading2"/>
        <w:tabs>
          <w:tab w:val="left" w:pos="-1162"/>
          <w:tab w:val="left" w:pos="0"/>
          <w:tab w:val="num" w:pos="1160"/>
        </w:tabs>
        <w:spacing w:line="240" w:lineRule="auto"/>
        <w:ind w:hanging="1162"/>
      </w:pPr>
      <w:bookmarkStart w:name="_Toc199260816" w:id="64"/>
      <w:bookmarkStart w:name="_Toc205366642" w:id="65"/>
      <w:r>
        <w:t>4.1 Kernpunten van de MOPAN-beoordeling naar het Nederlands vertaal</w:t>
      </w:r>
      <w:r w:rsidR="0008685F">
        <w:t>d</w:t>
      </w:r>
      <w:bookmarkEnd w:id="64"/>
      <w:bookmarkEnd w:id="65"/>
    </w:p>
    <w:p w:rsidR="003707BD" w:rsidP="003707BD" w:rsidRDefault="003707BD" w14:paraId="587EDC04" w14:textId="77777777">
      <w:pPr>
        <w:pStyle w:val="Heading2"/>
        <w:tabs>
          <w:tab w:val="left" w:pos="-1162"/>
          <w:tab w:val="left" w:pos="0"/>
          <w:tab w:val="num" w:pos="1160"/>
        </w:tabs>
        <w:spacing w:line="240" w:lineRule="auto"/>
        <w:ind w:hanging="1162"/>
        <w:rPr>
          <w:color w:val="000000"/>
          <w:szCs w:val="18"/>
        </w:rPr>
      </w:pPr>
    </w:p>
    <w:p w:rsidRPr="00DC48EF" w:rsidR="00060FD4" w:rsidP="008725F6" w:rsidRDefault="003707BD" w14:paraId="60025154" w14:textId="77777777">
      <w:pPr>
        <w:rPr>
          <w:b/>
          <w:bCs/>
        </w:rPr>
      </w:pPr>
      <w:r>
        <w:rPr>
          <w:color w:val="000000"/>
          <w:szCs w:val="18"/>
        </w:rPr>
        <w:tab/>
      </w:r>
      <w:r w:rsidR="00060FD4">
        <w:rPr>
          <w:b/>
        </w:rPr>
        <w:t xml:space="preserve">Belangrijkste sterke punten </w:t>
      </w:r>
    </w:p>
    <w:p w:rsidR="00060FD4" w:rsidP="00EE7E82" w:rsidRDefault="00D5565B" w14:paraId="53F6E4B2" w14:textId="403B2CEE">
      <w:pPr>
        <w:pStyle w:val="ListParagraph"/>
        <w:numPr>
          <w:ilvl w:val="0"/>
          <w:numId w:val="41"/>
        </w:numPr>
      </w:pPr>
      <w:r w:rsidRPr="007B7975">
        <w:rPr>
          <w:b/>
          <w:bCs/>
        </w:rPr>
        <w:t>Decentralisatie en lokale expertise</w:t>
      </w:r>
      <w:r>
        <w:t xml:space="preserve">: </w:t>
      </w:r>
      <w:r w:rsidRPr="007B7975" w:rsidR="007B7975">
        <w:t>Het bedrijfsmodel is versterkt door middel van decentralisatie en ondersteuning via beleidsdialoog. Dit geeft de Bank een comparatief voordeel ten opzichte van andere instellingen.</w:t>
      </w:r>
      <w:r w:rsidR="007B7975">
        <w:t xml:space="preserve"> </w:t>
      </w:r>
    </w:p>
    <w:p w:rsidRPr="00DC48EF" w:rsidR="00060FD4" w:rsidP="00EE7E82" w:rsidRDefault="00D5565B" w14:paraId="41B0710F" w14:textId="7C978EF7">
      <w:pPr>
        <w:pStyle w:val="ListParagraph"/>
        <w:numPr>
          <w:ilvl w:val="0"/>
          <w:numId w:val="41"/>
        </w:numPr>
      </w:pPr>
      <w:r w:rsidRPr="007B7975">
        <w:rPr>
          <w:b/>
          <w:bCs/>
        </w:rPr>
        <w:t xml:space="preserve">Opschaling mondiale kwesties en horizontale thema’s: </w:t>
      </w:r>
      <w:r>
        <w:t>A</w:t>
      </w:r>
      <w:r w:rsidRPr="00C67D4B">
        <w:t>anzienlijke vooruitgang geboekt bij het verlenen van steun voor gendergelijkheid en de transitie naar een groene economie.</w:t>
      </w:r>
      <w:r>
        <w:t xml:space="preserve"> </w:t>
      </w:r>
    </w:p>
    <w:p w:rsidRPr="00DC48EF" w:rsidR="00060FD4" w:rsidP="00EE7E82" w:rsidRDefault="00D5565B" w14:paraId="28EE119C" w14:textId="1617AE18">
      <w:pPr>
        <w:pStyle w:val="ListParagraph"/>
        <w:numPr>
          <w:ilvl w:val="0"/>
          <w:numId w:val="41"/>
        </w:numPr>
      </w:pPr>
      <w:r>
        <w:rPr>
          <w:b/>
          <w:bCs/>
        </w:rPr>
        <w:t xml:space="preserve">Sterk kader </w:t>
      </w:r>
      <w:proofErr w:type="spellStart"/>
      <w:r>
        <w:rPr>
          <w:b/>
          <w:bCs/>
        </w:rPr>
        <w:t>kapitaaltoereikendheid</w:t>
      </w:r>
      <w:proofErr w:type="spellEnd"/>
      <w:r>
        <w:rPr>
          <w:b/>
          <w:bCs/>
        </w:rPr>
        <w:t xml:space="preserve">: </w:t>
      </w:r>
      <w:r w:rsidRPr="004264DC" w:rsidR="00060FD4">
        <w:rPr>
          <w:i/>
          <w:iCs/>
        </w:rPr>
        <w:t>Best-in-clas</w:t>
      </w:r>
      <w:r w:rsidR="007B7975">
        <w:t xml:space="preserve">s </w:t>
      </w:r>
      <w:r w:rsidR="00060FD4">
        <w:t xml:space="preserve">kader voor het beheer van de </w:t>
      </w:r>
      <w:proofErr w:type="spellStart"/>
      <w:r w:rsidR="00060FD4">
        <w:t>kapitaaltoereikendheid</w:t>
      </w:r>
      <w:proofErr w:type="spellEnd"/>
      <w:r w:rsidR="00060FD4">
        <w:t xml:space="preserve"> en het waarborgen van de financiële houdbaarheid op middellange termijn.</w:t>
      </w:r>
    </w:p>
    <w:p w:rsidR="00D5565B" w:rsidP="00EE7E82" w:rsidRDefault="00D5565B" w14:paraId="051A1C93" w14:textId="144E22B8">
      <w:pPr>
        <w:pStyle w:val="ListParagraph"/>
        <w:numPr>
          <w:ilvl w:val="0"/>
          <w:numId w:val="41"/>
        </w:numPr>
      </w:pPr>
      <w:r w:rsidRPr="00EE7E82">
        <w:rPr>
          <w:b/>
          <w:bCs/>
        </w:rPr>
        <w:t>Robuust operationeel risicobeheer</w:t>
      </w:r>
      <w:r>
        <w:t>:</w:t>
      </w:r>
      <w:r w:rsidRPr="00D5565B">
        <w:t xml:space="preserve"> </w:t>
      </w:r>
      <w:r>
        <w:t>Een robuuste cultuur van operationeel risicobeheer die een betere naleving van het kader voor operationele risico's ondersteunt.</w:t>
      </w:r>
    </w:p>
    <w:p w:rsidRPr="00DC48EF" w:rsidR="00060FD4" w:rsidP="00EE7E82" w:rsidRDefault="00D5565B" w14:paraId="50265A3F" w14:textId="13B31FC7">
      <w:pPr>
        <w:pStyle w:val="ListParagraph"/>
        <w:numPr>
          <w:ilvl w:val="0"/>
          <w:numId w:val="41"/>
        </w:numPr>
      </w:pPr>
      <w:r w:rsidRPr="00EE7E82">
        <w:rPr>
          <w:b/>
          <w:bCs/>
        </w:rPr>
        <w:t>Private Kapitaal Mobilisatie</w:t>
      </w:r>
      <w:r>
        <w:t xml:space="preserve">: </w:t>
      </w:r>
      <w:r w:rsidR="00060FD4">
        <w:t xml:space="preserve">Forse uitbreiding van de jaarlijkse vrijgemaakte investeringen in het kader van de </w:t>
      </w:r>
      <w:r w:rsidR="00446D46">
        <w:t>‘</w:t>
      </w:r>
      <w:proofErr w:type="spellStart"/>
      <w:r w:rsidR="00060FD4">
        <w:t>Mobilisation</w:t>
      </w:r>
      <w:proofErr w:type="spellEnd"/>
      <w:r w:rsidR="00060FD4">
        <w:t xml:space="preserve"> Approach</w:t>
      </w:r>
      <w:r w:rsidR="00446D46">
        <w:t>’</w:t>
      </w:r>
      <w:r w:rsidR="00060FD4">
        <w:t>,</w:t>
      </w:r>
      <w:r w:rsidRPr="00D5565B">
        <w:t xml:space="preserve"> </w:t>
      </w:r>
      <w:r w:rsidR="00060FD4">
        <w:t>onder meer door middel van innovatieve nieuwe instrumenten en betrekkingen.</w:t>
      </w:r>
    </w:p>
    <w:p w:rsidR="007C7B47" w:rsidP="007C7B47" w:rsidRDefault="007B7975" w14:paraId="59E141C8" w14:textId="26FCC0E6">
      <w:pPr>
        <w:pStyle w:val="ListParagraph"/>
        <w:numPr>
          <w:ilvl w:val="0"/>
          <w:numId w:val="41"/>
        </w:numPr>
      </w:pPr>
      <w:r w:rsidRPr="007B7975">
        <w:rPr>
          <w:b/>
          <w:bCs/>
        </w:rPr>
        <w:t>Wendbaarheid:</w:t>
      </w:r>
      <w:r>
        <w:t xml:space="preserve"> </w:t>
      </w:r>
      <w:r w:rsidR="00060FD4">
        <w:t>Wendbare respons op crises, waaronder COVID-19 en de oorlog in Oekraïne, waarbij de instelling lessen trekt om door te gaan met een nieuwe aanpak om in kwetsbare contexten actief te zijn.</w:t>
      </w:r>
    </w:p>
    <w:p w:rsidRPr="009A69A5" w:rsidR="007C7B47" w:rsidP="007C7B47" w:rsidRDefault="007C7B47" w14:paraId="0A1315CC" w14:textId="77777777"/>
    <w:p w:rsidRPr="00DC48EF" w:rsidR="00060FD4" w:rsidP="00060FD4" w:rsidRDefault="007C7B47" w14:paraId="67FF9D55" w14:textId="7F8EDA02">
      <w:pPr>
        <w:rPr>
          <w:b/>
          <w:bCs/>
        </w:rPr>
      </w:pPr>
      <w:r>
        <w:rPr>
          <w:b/>
        </w:rPr>
        <w:t>Belangrijkste verbeterpunten</w:t>
      </w:r>
    </w:p>
    <w:p w:rsidRPr="00DC48EF" w:rsidR="00060FD4" w:rsidP="00EE7E82" w:rsidRDefault="007E0656" w14:paraId="5443BAD7" w14:textId="1FC6FCC9">
      <w:pPr>
        <w:pStyle w:val="ListParagraph"/>
        <w:numPr>
          <w:ilvl w:val="0"/>
          <w:numId w:val="42"/>
        </w:numPr>
      </w:pPr>
      <w:r>
        <w:rPr>
          <w:b/>
          <w:bCs/>
        </w:rPr>
        <w:t xml:space="preserve">Versterking van impactmeting op landenniveau: </w:t>
      </w:r>
      <w:r w:rsidR="00060FD4">
        <w:t xml:space="preserve">Versterking van de strategie en de resultatenstructuur om beter aan te tonen hoe de </w:t>
      </w:r>
      <w:r w:rsidR="0015316C">
        <w:t>EBRD</w:t>
      </w:r>
      <w:r w:rsidR="00060FD4">
        <w:t xml:space="preserve"> bijdraagt aan de </w:t>
      </w:r>
      <w:r w:rsidR="004E611E">
        <w:t>transitie-</w:t>
      </w:r>
      <w:r w:rsidR="006578A0">
        <w:t>effecten</w:t>
      </w:r>
      <w:r w:rsidR="00060FD4">
        <w:t xml:space="preserve"> in landen en resultaten boekt voor </w:t>
      </w:r>
      <w:r w:rsidRPr="00A0361E" w:rsidR="00AB4A30">
        <w:t>de duurzame ontwikkelingsdoelen (</w:t>
      </w:r>
      <w:proofErr w:type="spellStart"/>
      <w:r w:rsidRPr="00A0361E" w:rsidR="00AB4A30">
        <w:t>SDG's</w:t>
      </w:r>
      <w:proofErr w:type="spellEnd"/>
      <w:r w:rsidRPr="00A0361E" w:rsidR="00AB4A30">
        <w:t>)</w:t>
      </w:r>
      <w:r w:rsidR="00060FD4">
        <w:t>.</w:t>
      </w:r>
    </w:p>
    <w:p w:rsidRPr="00DC48EF" w:rsidR="00060FD4" w:rsidP="00EE7E82" w:rsidRDefault="007E0656" w14:paraId="4563B8B3" w14:textId="58A1C7D0">
      <w:pPr>
        <w:pStyle w:val="ListParagraph"/>
        <w:numPr>
          <w:ilvl w:val="0"/>
          <w:numId w:val="42"/>
        </w:numPr>
      </w:pPr>
      <w:r>
        <w:rPr>
          <w:b/>
          <w:bCs/>
        </w:rPr>
        <w:t xml:space="preserve">Betere integratie strategie, budget en resultaten: </w:t>
      </w:r>
      <w:r w:rsidR="00060FD4">
        <w:t>Verbetering van de integratie tussen strategische planning, budgettering en resultaatbeheer ter ondersteuning van duurzame levering.</w:t>
      </w:r>
    </w:p>
    <w:p w:rsidRPr="00DC48EF" w:rsidR="00060FD4" w:rsidP="00EE7E82" w:rsidRDefault="007E0656" w14:paraId="1DB188C4" w14:textId="5C371EB7">
      <w:pPr>
        <w:pStyle w:val="ListParagraph"/>
        <w:numPr>
          <w:ilvl w:val="0"/>
          <w:numId w:val="42"/>
        </w:numPr>
      </w:pPr>
      <w:r>
        <w:rPr>
          <w:b/>
          <w:bCs/>
        </w:rPr>
        <w:t xml:space="preserve">Clientgerichtheid structureel veranderen: </w:t>
      </w:r>
      <w:r w:rsidR="00945C5F">
        <w:t>Beter positioneren van klantgerichte advisering</w:t>
      </w:r>
      <w:r w:rsidR="00060FD4">
        <w:t xml:space="preserve"> als een strategische troef voor het werken in uitdagende markten en het versnellen van </w:t>
      </w:r>
      <w:r w:rsidR="006578A0">
        <w:t xml:space="preserve">transitie </w:t>
      </w:r>
      <w:r w:rsidR="00060FD4">
        <w:t>effecten.</w:t>
      </w:r>
    </w:p>
    <w:p w:rsidRPr="00DC48EF" w:rsidR="00060FD4" w:rsidP="00EE7E82" w:rsidRDefault="007E0656" w14:paraId="3ED88399" w14:textId="1F755ADF">
      <w:pPr>
        <w:pStyle w:val="ListParagraph"/>
        <w:numPr>
          <w:ilvl w:val="0"/>
          <w:numId w:val="42"/>
        </w:numPr>
      </w:pPr>
      <w:r>
        <w:rPr>
          <w:b/>
          <w:bCs/>
        </w:rPr>
        <w:t xml:space="preserve">Vergroten van institutioneel leren en kennisdeling: </w:t>
      </w:r>
      <w:r w:rsidR="00060FD4">
        <w:t>Versterking van de zelfevaluatie om een duidelijker beeld te geven van de prestaties in de hele instelling, waarbij verantwoording en leren in evenwicht worden gebracht.</w:t>
      </w:r>
    </w:p>
    <w:p w:rsidRPr="00DC48EF" w:rsidR="00060FD4" w:rsidP="00EE7E82" w:rsidRDefault="007E0656" w14:paraId="133D477F" w14:textId="454CE96C">
      <w:pPr>
        <w:pStyle w:val="ListParagraph"/>
        <w:numPr>
          <w:ilvl w:val="0"/>
          <w:numId w:val="42"/>
        </w:numPr>
      </w:pPr>
      <w:r>
        <w:rPr>
          <w:b/>
          <w:bCs/>
        </w:rPr>
        <w:t xml:space="preserve">Systematische klantfeedbackmechanismen: </w:t>
      </w:r>
      <w:r w:rsidR="00060FD4">
        <w:t xml:space="preserve">Vaststellen van </w:t>
      </w:r>
      <w:r>
        <w:t xml:space="preserve">structurele </w:t>
      </w:r>
      <w:r w:rsidR="00060FD4">
        <w:t xml:space="preserve">feedbackmechanismen voor cliënten om inzicht te krijgen in de behoeften van cliënten en in het gebruik van het groeiende scala aan instrumenten en kennis van de </w:t>
      </w:r>
      <w:r w:rsidR="0015316C">
        <w:t>EBRD</w:t>
      </w:r>
      <w:r w:rsidR="00060FD4">
        <w:t>.</w:t>
      </w:r>
    </w:p>
    <w:p w:rsidRPr="00DC48EF" w:rsidR="00060FD4" w:rsidP="00EE7E82" w:rsidRDefault="007E0656" w14:paraId="30EC8E7B" w14:textId="4F8E7BE1">
      <w:pPr>
        <w:pStyle w:val="ListParagraph"/>
        <w:numPr>
          <w:ilvl w:val="0"/>
          <w:numId w:val="42"/>
        </w:numPr>
      </w:pPr>
      <w:r>
        <w:rPr>
          <w:b/>
          <w:bCs/>
        </w:rPr>
        <w:t xml:space="preserve">Versterken van ESG-rapportage en omgaan met opkomende risico’s: </w:t>
      </w:r>
      <w:r w:rsidR="00060FD4">
        <w:t>Versterking van de verslaglegging over milieu- en maatschappelijke resultaten en positionering om te reageren op nieuwe uitdagingen.</w:t>
      </w:r>
    </w:p>
    <w:p w:rsidR="001F41EE" w:rsidRDefault="001F41EE" w14:paraId="4A708818" w14:textId="77777777">
      <w:pPr>
        <w:spacing w:line="240" w:lineRule="auto"/>
        <w:rPr>
          <w:rFonts w:cs="Arial"/>
          <w:bCs/>
          <w:i/>
          <w:kern w:val="32"/>
          <w:szCs w:val="28"/>
        </w:rPr>
      </w:pPr>
      <w:bookmarkStart w:name="_Toc199260746" w:id="66"/>
      <w:bookmarkStart w:name="_Toc199260817" w:id="67"/>
      <w:r>
        <w:rPr>
          <w:b/>
          <w:bCs/>
          <w:i/>
          <w:iCs/>
        </w:rPr>
        <w:br w:type="page"/>
      </w:r>
    </w:p>
    <w:p w:rsidR="003707BD" w:rsidP="00BF3D32" w:rsidRDefault="00E37F4A" w14:paraId="2A1CCF8B" w14:textId="7A452A31">
      <w:pPr>
        <w:pStyle w:val="Heading2"/>
        <w:tabs>
          <w:tab w:val="left" w:pos="-1162"/>
          <w:tab w:val="left" w:pos="0"/>
          <w:tab w:val="num" w:pos="1160"/>
        </w:tabs>
        <w:spacing w:line="240" w:lineRule="auto"/>
        <w:rPr>
          <w:b w:val="0"/>
          <w:bCs/>
        </w:rPr>
      </w:pPr>
      <w:bookmarkStart w:name="_Toc205366643" w:id="68"/>
      <w:r>
        <w:rPr>
          <w:b w:val="0"/>
          <w:bCs/>
          <w:i/>
          <w:iCs w:val="0"/>
        </w:rPr>
        <w:lastRenderedPageBreak/>
        <w:t>Toelichting op figuur</w:t>
      </w:r>
      <w:bookmarkEnd w:id="66"/>
      <w:bookmarkEnd w:id="67"/>
      <w:bookmarkEnd w:id="68"/>
    </w:p>
    <w:p w:rsidR="00E37F4A" w:rsidP="00E37F4A" w:rsidRDefault="00E37F4A" w14:paraId="3B555480" w14:textId="6D24E1AE">
      <w:r>
        <w:t xml:space="preserve">De hierop volgende figuur geeft een overzicht van de prestaties van de EBRD op kernpunten in het MOPAN-beoordelingskader. Het wordt afgeraden om een vergelijking te maken met andere beoordeelde organisaties en met eerdere MOPAN-beoordelingen, vanwege het feit dat de methodologie in de loop der tijd is veranderd en vanwege de verschillen tussen de organisaties wat betreft schaal, operationele context en relatieve voordelen. In de grote figuur staat organisatieprestatie centraal, onderverdeeld in acht indicatoren met een groot aantal sub-indicatoren. </w:t>
      </w:r>
    </w:p>
    <w:p w:rsidR="00E37F4A" w:rsidP="00E37F4A" w:rsidRDefault="00E37F4A" w14:paraId="3CD8C18C" w14:textId="77777777"/>
    <w:p w:rsidRPr="00524EAB" w:rsidR="007E0656" w:rsidP="007E0656" w:rsidRDefault="007E0656" w14:paraId="51F01AE2" w14:textId="347BFF4A">
      <w:pPr>
        <w:jc w:val="both"/>
      </w:pPr>
      <w:r w:rsidRPr="00A147D1">
        <w:t>De EBRD scoort ‘</w:t>
      </w:r>
      <w:proofErr w:type="spellStart"/>
      <w:r w:rsidRPr="00A147D1">
        <w:t>highly</w:t>
      </w:r>
      <w:proofErr w:type="spellEnd"/>
      <w:r w:rsidRPr="00273F6A">
        <w:t xml:space="preserve"> </w:t>
      </w:r>
      <w:proofErr w:type="spellStart"/>
      <w:r w:rsidRPr="00273F6A">
        <w:t>satisfactory</w:t>
      </w:r>
      <w:proofErr w:type="spellEnd"/>
      <w:r w:rsidRPr="00273F6A">
        <w:t xml:space="preserve">’ op </w:t>
      </w:r>
      <w:r>
        <w:t xml:space="preserve">de </w:t>
      </w:r>
      <w:proofErr w:type="spellStart"/>
      <w:r w:rsidRPr="00273F6A">
        <w:t>KP</w:t>
      </w:r>
      <w:r>
        <w:t>I’s</w:t>
      </w:r>
      <w:proofErr w:type="spellEnd"/>
      <w:r>
        <w:t xml:space="preserve"> ‘</w:t>
      </w:r>
      <w:proofErr w:type="spellStart"/>
      <w:r>
        <w:t>Sustainability</w:t>
      </w:r>
      <w:proofErr w:type="spellEnd"/>
      <w:r>
        <w:t>’ en ‘Efficiency’ en</w:t>
      </w:r>
      <w:r w:rsidRPr="00A147D1">
        <w:t xml:space="preserve"> ‘</w:t>
      </w:r>
      <w:proofErr w:type="spellStart"/>
      <w:r w:rsidRPr="00A147D1">
        <w:rPr>
          <w:i/>
          <w:iCs/>
        </w:rPr>
        <w:t>satisfactory</w:t>
      </w:r>
      <w:proofErr w:type="spellEnd"/>
      <w:r w:rsidRPr="00A147D1">
        <w:t xml:space="preserve">’ op </w:t>
      </w:r>
      <w:r>
        <w:t>de overige</w:t>
      </w:r>
      <w:r w:rsidRPr="00A147D1">
        <w:t xml:space="preserve"> hoofdindicatoren</w:t>
      </w:r>
      <w:r>
        <w:t>.</w:t>
      </w:r>
      <w:r w:rsidRPr="00A147D1">
        <w:t xml:space="preserve">  </w:t>
      </w:r>
      <w:r>
        <w:t xml:space="preserve">Specifieke </w:t>
      </w:r>
      <w:r w:rsidRPr="00A147D1">
        <w:t>sub-indicatoren</w:t>
      </w:r>
      <w:r>
        <w:t xml:space="preserve"> waarop</w:t>
      </w:r>
      <w:r w:rsidRPr="00A147D1">
        <w:t xml:space="preserve"> ‘</w:t>
      </w:r>
      <w:proofErr w:type="spellStart"/>
      <w:r w:rsidRPr="00A147D1">
        <w:rPr>
          <w:i/>
          <w:iCs/>
        </w:rPr>
        <w:t>highly</w:t>
      </w:r>
      <w:proofErr w:type="spellEnd"/>
      <w:r w:rsidRPr="00A147D1">
        <w:rPr>
          <w:i/>
          <w:iCs/>
        </w:rPr>
        <w:t xml:space="preserve"> </w:t>
      </w:r>
      <w:proofErr w:type="spellStart"/>
      <w:r w:rsidRPr="00A147D1">
        <w:rPr>
          <w:i/>
          <w:iCs/>
        </w:rPr>
        <w:t>satisfactory</w:t>
      </w:r>
      <w:proofErr w:type="spellEnd"/>
      <w:r w:rsidRPr="00A147D1">
        <w:t xml:space="preserve">’ </w:t>
      </w:r>
      <w:r>
        <w:t xml:space="preserve">wordt gescoord </w:t>
      </w:r>
      <w:r w:rsidRPr="00A147D1">
        <w:t>z</w:t>
      </w:r>
      <w:r>
        <w:t>ijn o.a.</w:t>
      </w:r>
      <w:r w:rsidRPr="00A147D1">
        <w:t xml:space="preserve"> 1.1 </w:t>
      </w:r>
      <w:r w:rsidRPr="00A147D1">
        <w:rPr>
          <w:i/>
          <w:iCs/>
        </w:rPr>
        <w:t xml:space="preserve">long term </w:t>
      </w:r>
      <w:proofErr w:type="spellStart"/>
      <w:r w:rsidRPr="00A147D1">
        <w:rPr>
          <w:i/>
          <w:iCs/>
        </w:rPr>
        <w:t>vision</w:t>
      </w:r>
      <w:proofErr w:type="spellEnd"/>
      <w:r w:rsidRPr="00A147D1">
        <w:t xml:space="preserve">, 3.2 </w:t>
      </w:r>
      <w:r w:rsidRPr="00A147D1">
        <w:rPr>
          <w:i/>
          <w:iCs/>
        </w:rPr>
        <w:t xml:space="preserve">resource </w:t>
      </w:r>
      <w:proofErr w:type="spellStart"/>
      <w:r w:rsidRPr="00A147D1">
        <w:rPr>
          <w:i/>
          <w:iCs/>
        </w:rPr>
        <w:t>mobilisation</w:t>
      </w:r>
      <w:proofErr w:type="spellEnd"/>
      <w:r w:rsidRPr="00A147D1">
        <w:t xml:space="preserve">, 4.1 </w:t>
      </w:r>
      <w:r w:rsidRPr="00A147D1">
        <w:rPr>
          <w:i/>
          <w:iCs/>
        </w:rPr>
        <w:t xml:space="preserve">transparant </w:t>
      </w:r>
      <w:proofErr w:type="spellStart"/>
      <w:r w:rsidRPr="00A147D1">
        <w:rPr>
          <w:i/>
          <w:iCs/>
        </w:rPr>
        <w:t>decision</w:t>
      </w:r>
      <w:proofErr w:type="spellEnd"/>
      <w:r w:rsidRPr="00A147D1">
        <w:rPr>
          <w:i/>
          <w:iCs/>
        </w:rPr>
        <w:t xml:space="preserve"> making</w:t>
      </w:r>
      <w:r w:rsidRPr="00A147D1">
        <w:t xml:space="preserve"> en 5.4 </w:t>
      </w:r>
      <w:r w:rsidRPr="00A147D1">
        <w:rPr>
          <w:i/>
          <w:iCs/>
        </w:rPr>
        <w:t>risk management</w:t>
      </w:r>
      <w:r w:rsidRPr="00A147D1">
        <w:t xml:space="preserve">. </w:t>
      </w:r>
      <w:r>
        <w:t xml:space="preserve">Op de onderdelen 1.3 </w:t>
      </w:r>
      <w:r>
        <w:rPr>
          <w:i/>
          <w:iCs/>
        </w:rPr>
        <w:t xml:space="preserve">support </w:t>
      </w:r>
      <w:proofErr w:type="spellStart"/>
      <w:r>
        <w:rPr>
          <w:i/>
          <w:iCs/>
        </w:rPr>
        <w:t>normative</w:t>
      </w:r>
      <w:proofErr w:type="spellEnd"/>
      <w:r>
        <w:rPr>
          <w:i/>
          <w:iCs/>
        </w:rPr>
        <w:t xml:space="preserve"> </w:t>
      </w:r>
      <w:proofErr w:type="spellStart"/>
      <w:r w:rsidRPr="00524EAB">
        <w:rPr>
          <w:i/>
          <w:iCs/>
        </w:rPr>
        <w:t>frameworks</w:t>
      </w:r>
      <w:proofErr w:type="spellEnd"/>
      <w:r>
        <w:t xml:space="preserve"> en 6.9 </w:t>
      </w:r>
      <w:proofErr w:type="spellStart"/>
      <w:r>
        <w:rPr>
          <w:i/>
          <w:iCs/>
        </w:rPr>
        <w:t>knowledge</w:t>
      </w:r>
      <w:proofErr w:type="spellEnd"/>
      <w:r>
        <w:t xml:space="preserve"> </w:t>
      </w:r>
      <w:r w:rsidRPr="00524EAB">
        <w:t>scoort</w:t>
      </w:r>
      <w:r>
        <w:t xml:space="preserve"> de EBRD ‘</w:t>
      </w:r>
      <w:proofErr w:type="spellStart"/>
      <w:r>
        <w:rPr>
          <w:i/>
          <w:iCs/>
        </w:rPr>
        <w:t>unsatisfactory</w:t>
      </w:r>
      <w:proofErr w:type="spellEnd"/>
      <w:r>
        <w:t>’.</w:t>
      </w:r>
    </w:p>
    <w:p w:rsidRPr="00E37F4A" w:rsidR="00E37F4A" w:rsidP="00E37F4A" w:rsidRDefault="00E37F4A" w14:paraId="1E84476C" w14:textId="71F197C3"/>
    <w:p w:rsidR="00BF3D32" w:rsidP="00BF3D32" w:rsidRDefault="00BF3D32" w14:paraId="75A0F534" w14:textId="7560C2AF"/>
    <w:p w:rsidR="00E37F4A" w:rsidP="00BF3D32" w:rsidRDefault="00E37F4A" w14:paraId="29780BE3" w14:textId="710DB228"/>
    <w:p w:rsidR="00E37F4A" w:rsidP="00BF3D32" w:rsidRDefault="00E37F4A" w14:paraId="1DE722C5" w14:textId="77777777"/>
    <w:p w:rsidR="00E37F4A" w:rsidP="00BF3D32" w:rsidRDefault="00E37F4A" w14:paraId="68403EA0" w14:textId="77777777"/>
    <w:p w:rsidR="00E37F4A" w:rsidP="00BF3D32" w:rsidRDefault="00E37F4A" w14:paraId="5C789396" w14:textId="77777777"/>
    <w:p w:rsidR="00E37F4A" w:rsidP="00BF3D32" w:rsidRDefault="00E37F4A" w14:paraId="6CF8BFF2" w14:textId="77777777"/>
    <w:p w:rsidR="00E37F4A" w:rsidP="00BF3D32" w:rsidRDefault="001F41EE" w14:paraId="489FA2F9" w14:textId="7C518A09">
      <w:r w:rsidRPr="000930B0">
        <w:rPr>
          <w:b/>
          <w:bCs/>
          <w:noProof/>
        </w:rPr>
        <w:lastRenderedPageBreak/>
        <w:drawing>
          <wp:anchor distT="0" distB="0" distL="114300" distR="114300" simplePos="0" relativeHeight="251658240" behindDoc="0" locked="0" layoutInCell="1" allowOverlap="0" wp14:editId="5AA292CA" wp14:anchorId="27E01F33">
            <wp:simplePos x="0" y="0"/>
            <wp:positionH relativeFrom="page">
              <wp:posOffset>1447800</wp:posOffset>
            </wp:positionH>
            <wp:positionV relativeFrom="margin">
              <wp:posOffset>-788670</wp:posOffset>
            </wp:positionV>
            <wp:extent cx="5318760" cy="7419975"/>
            <wp:effectExtent l="0" t="0" r="0" b="9525"/>
            <wp:wrapSquare wrapText="bothSides"/>
            <wp:docPr id="1320287278" name="Picture 1320287278"/>
            <wp:cNvGraphicFramePr/>
            <a:graphic xmlns:a="http://schemas.openxmlformats.org/drawingml/2006/main">
              <a:graphicData uri="http://schemas.openxmlformats.org/drawingml/2006/picture">
                <pic:pic xmlns:pic="http://schemas.openxmlformats.org/drawingml/2006/picture">
                  <pic:nvPicPr>
                    <pic:cNvPr id="1320287278" name="Picture 132028727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18760" cy="7419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editId="070EB5DA" wp14:anchorId="30484B50">
                <wp:simplePos x="0" y="0"/>
                <wp:positionH relativeFrom="column">
                  <wp:posOffset>-240665</wp:posOffset>
                </wp:positionH>
                <wp:positionV relativeFrom="paragraph">
                  <wp:posOffset>6292850</wp:posOffset>
                </wp:positionV>
                <wp:extent cx="4966335" cy="635"/>
                <wp:effectExtent l="0" t="0" r="0" b="0"/>
                <wp:wrapSquare wrapText="bothSides"/>
                <wp:docPr id="909600153" name="Text Box 1"/>
                <wp:cNvGraphicFramePr/>
                <a:graphic xmlns:a="http://schemas.openxmlformats.org/drawingml/2006/main">
                  <a:graphicData uri="http://schemas.microsoft.com/office/word/2010/wordprocessingShape">
                    <wps:wsp>
                      <wps:cNvSpPr txBox="1"/>
                      <wps:spPr>
                        <a:xfrm>
                          <a:off x="0" y="0"/>
                          <a:ext cx="4966335" cy="635"/>
                        </a:xfrm>
                        <a:prstGeom prst="rect">
                          <a:avLst/>
                        </a:prstGeom>
                        <a:solidFill>
                          <a:prstClr val="white"/>
                        </a:solidFill>
                        <a:ln>
                          <a:noFill/>
                        </a:ln>
                      </wps:spPr>
                      <wps:txbx>
                        <w:txbxContent>
                          <w:p w:rsidRPr="00856732" w:rsidR="001F41EE" w:rsidP="001F41EE" w:rsidRDefault="001F41EE" w14:paraId="241F0410" w14:textId="760B173F">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902198">
                              <w:t xml:space="preserve">Beoordeling van de prestaties van </w:t>
                            </w:r>
                            <w:r>
                              <w:t>EBRD</w:t>
                            </w:r>
                            <w:r w:rsidRPr="00902198">
                              <w:t xml:space="preserve"> op basis van MOPAN-indicatoren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0484B50">
                <v:stroke joinstyle="miter"/>
                <v:path gradientshapeok="t" o:connecttype="rect"/>
              </v:shapetype>
              <v:shape id="Text Box 1" style="position:absolute;margin-left:-18.95pt;margin-top:495.5pt;width:391.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">
                <v:textbox style="mso-fit-shape-to-text:t" inset="0,0,0,0">
                  <w:txbxContent>
                    <w:p w:rsidRPr="00856732" w:rsidR="001F41EE" w:rsidP="001F41EE" w:rsidRDefault="001F41EE" w14:paraId="241F0410" w14:textId="760B173F">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902198">
                        <w:t xml:space="preserve">Beoordeling van de prestaties van </w:t>
                      </w:r>
                      <w:r>
                        <w:t>EBRD</w:t>
                      </w:r>
                      <w:r w:rsidRPr="00902198">
                        <w:t xml:space="preserve"> op basis van MOPAN-indicatoren</w:t>
                      </w:r>
                    </w:p>
                  </w:txbxContent>
                </v:textbox>
                <w10:wrap type="square"/>
              </v:shape>
            </w:pict>
          </mc:Fallback>
        </mc:AlternateContent>
      </w:r>
    </w:p>
    <w:p w:rsidR="001F41EE" w:rsidRDefault="001F41EE" w14:paraId="5C5D6B7B" w14:textId="5765C34B">
      <w:pPr>
        <w:spacing w:line="240" w:lineRule="auto"/>
      </w:pPr>
      <w:r>
        <w:br w:type="page"/>
      </w:r>
    </w:p>
    <w:p w:rsidR="003707BD" w:rsidP="00E45F84" w:rsidRDefault="003707BD" w14:paraId="3BFA7928" w14:textId="5E495FE2">
      <w:pPr>
        <w:pStyle w:val="Heading2"/>
        <w:tabs>
          <w:tab w:val="left" w:pos="-1162"/>
          <w:tab w:val="left" w:pos="0"/>
          <w:tab w:val="num" w:pos="1160"/>
        </w:tabs>
        <w:spacing w:line="240" w:lineRule="auto"/>
        <w:ind w:hanging="1162"/>
      </w:pPr>
      <w:bookmarkStart w:name="_Toc199260818" w:id="69"/>
      <w:bookmarkStart w:name="_Toc205366644" w:id="70"/>
      <w:r>
        <w:lastRenderedPageBreak/>
        <w:t xml:space="preserve">4.2 </w:t>
      </w:r>
      <w:r w:rsidRPr="00874A11">
        <w:t>Appreciatie van de MOPAN-b</w:t>
      </w:r>
      <w:r>
        <w:t>eoordeling</w:t>
      </w:r>
      <w:bookmarkEnd w:id="69"/>
      <w:bookmarkEnd w:id="70"/>
    </w:p>
    <w:p w:rsidR="00751D15" w:rsidP="00751D15" w:rsidRDefault="00751D15" w14:paraId="6E49962D" w14:textId="1E4F7C1E"/>
    <w:p w:rsidR="00751D15" w:rsidP="00751D15" w:rsidRDefault="00751D15" w14:paraId="333513EC" w14:textId="7B7093CA">
      <w:r>
        <w:t xml:space="preserve">Onderstaand </w:t>
      </w:r>
      <w:r w:rsidR="007E0656">
        <w:t>volgt een appreciatie van</w:t>
      </w:r>
      <w:r w:rsidR="002D5A57">
        <w:t xml:space="preserve"> </w:t>
      </w:r>
      <w:r>
        <w:t xml:space="preserve">de </w:t>
      </w:r>
      <w:r w:rsidR="007E0656">
        <w:t xml:space="preserve">kernpunten </w:t>
      </w:r>
      <w:r>
        <w:t xml:space="preserve"> </w:t>
      </w:r>
      <w:r w:rsidR="0008685F">
        <w:t xml:space="preserve">uit </w:t>
      </w:r>
      <w:r>
        <w:t xml:space="preserve">het </w:t>
      </w:r>
      <w:r w:rsidR="004A05D0">
        <w:t>MOPAN-</w:t>
      </w:r>
      <w:r>
        <w:t>rapport</w:t>
      </w:r>
      <w:r w:rsidR="0008685F">
        <w:t>.</w:t>
      </w:r>
      <w:r w:rsidR="00E55AD1">
        <w:t xml:space="preserve"> </w:t>
      </w:r>
    </w:p>
    <w:p w:rsidR="007B0EE2" w:rsidP="00751D15" w:rsidRDefault="007B0EE2" w14:paraId="3183D74A" w14:textId="77777777"/>
    <w:p w:rsidRPr="007B0EE2" w:rsidR="007B0EE2" w:rsidP="00751D15" w:rsidRDefault="007B0EE2" w14:paraId="1E15DCC3" w14:textId="089D27C4">
      <w:pPr>
        <w:rPr>
          <w:u w:val="single"/>
        </w:rPr>
      </w:pPr>
      <w:r>
        <w:rPr>
          <w:u w:val="single"/>
        </w:rPr>
        <w:t xml:space="preserve">Belangrijkste </w:t>
      </w:r>
      <w:r w:rsidR="00904DB4">
        <w:rPr>
          <w:u w:val="single"/>
        </w:rPr>
        <w:t>conclusies</w:t>
      </w:r>
    </w:p>
    <w:p w:rsidRPr="00751D15" w:rsidR="00751D15" w:rsidP="00751D15" w:rsidRDefault="00751D15" w14:paraId="3DD13B34" w14:textId="77777777"/>
    <w:p w:rsidRPr="00834F3C" w:rsidR="00834F3C" w:rsidP="008725F6" w:rsidRDefault="00834F3C" w14:paraId="03660025" w14:textId="357152EC">
      <w:pPr>
        <w:spacing w:line="240" w:lineRule="auto"/>
        <w:rPr>
          <w:szCs w:val="18"/>
        </w:rPr>
      </w:pPr>
      <w:r w:rsidRPr="00EE7E82">
        <w:rPr>
          <w:b/>
          <w:bCs/>
          <w:u w:val="single"/>
        </w:rPr>
        <w:t>Decentralisatie en lokale expertise</w:t>
      </w:r>
      <w:r w:rsidRPr="00EE7E82">
        <w:rPr>
          <w:szCs w:val="18"/>
        </w:rPr>
        <w:t>: De conclusies uit de MOPAN worden onderschreven. De EBRD combineert beleidsdialoog met investeringsactiviteiten op een effectieve wijze. Deze integratie stelt de Bank in staat om structurele hervormingen in landen te ondersteunen en tegelijkertijd het investeringsklimaat en de economische activiteit te stimuleren. De beleidsdialoog die de EBRD voert met overheden en partijen uit de publieke en private sector is een essentieel instrument om “top-down” beleid te bevorderen en zo een gunstig klimaat te creëren voor duurzame investeringen. Tegelijkertijd ondersteunt de Bank ook “bottom-up” beleidsontwikkeling, waarbij lessen uit de praktijk worden teruggekoppeld naar overheden en investeerders om obstakels voor verdere sectorontwikkeling weg te nemen. De gedecentraliseerde aanpak, met regionale kantoren en sterke lokale expertise, levert daarbij grote toegevoegde waarde doordat deze kennis zorgt voor een diepgaand begrip van de lokale context en daardoor gerichtere en effectievere beleids- en investeringsactiviteiten mogelijk maakt. Dit geeft de EBRD een comparatief voordeel.</w:t>
      </w:r>
    </w:p>
    <w:p w:rsidRPr="00EE7E82" w:rsidR="00834F3C" w:rsidP="008725F6" w:rsidRDefault="00834F3C" w14:paraId="7B2044AF" w14:textId="2FD5F966">
      <w:pPr>
        <w:spacing w:before="100" w:beforeAutospacing="1" w:after="100" w:afterAutospacing="1" w:line="240" w:lineRule="auto"/>
        <w:rPr>
          <w:szCs w:val="18"/>
        </w:rPr>
      </w:pPr>
      <w:r w:rsidRPr="00EE7E82">
        <w:rPr>
          <w:b/>
          <w:bCs/>
        </w:rPr>
        <w:t>Opschaling mondiale kwesties en horizontale thema’s:</w:t>
      </w:r>
      <w:r w:rsidRPr="00EE7E82">
        <w:rPr>
          <w:szCs w:val="18"/>
        </w:rPr>
        <w:t xml:space="preserve"> De EBRD is actief in een van de minst energie-efficiënte regio’s ter wereld, waar de afhankelijkheid van fossiele brandstoffen groot is. De transitie van steenkool naar schonere energie is dan ook een topprioriteit. Met haar focus op de private sector stimuleert de EBRD commercieel aantrekkelijke emissiereducties en mobiliseert zij financiering voor duurzame energie. In 2024 investeerde de Bank een recordbedrag van €9,7 miljard in groene projecten, waarmee zij per geïnvesteerde euro</w:t>
      </w:r>
      <w:r w:rsidR="005B56E6">
        <w:rPr>
          <w:szCs w:val="18"/>
        </w:rPr>
        <w:t>, twee euro</w:t>
      </w:r>
      <w:r w:rsidRPr="00EE7E82">
        <w:rPr>
          <w:szCs w:val="18"/>
        </w:rPr>
        <w:t xml:space="preserve"> aan private (co)financiering aantrok. De doelstelling om vanaf 2025 ten minste 50% van de investeringen ‘groen’ te maken, is met 75% in 2024 al ruimschoots behaald. Wel is verdere inzet nodig op klimaatadaptatie en de implementatie van een adaptatiestrategie. </w:t>
      </w:r>
    </w:p>
    <w:p w:rsidRPr="00983CE3" w:rsidR="00834F3C" w:rsidP="00893EC9" w:rsidRDefault="00834F3C" w14:paraId="05D55A3A" w14:textId="1A788F45">
      <w:pPr>
        <w:spacing w:before="100" w:beforeAutospacing="1" w:after="100" w:afterAutospacing="1" w:line="240" w:lineRule="auto"/>
        <w:rPr>
          <w:szCs w:val="18"/>
        </w:rPr>
      </w:pPr>
      <w:r w:rsidRPr="00EE7E82">
        <w:rPr>
          <w:szCs w:val="18"/>
        </w:rPr>
        <w:t xml:space="preserve">Ook op gender is vooruitgang geboekt: het aandeel projecten met een gender-tag steeg van 6,8% (2017) naar 44% (2023). De EBRD ontwikkelt daarnaast haar aanpak rond gelijke kansen verder, met aandacht voor menselijk kapitaal, regionale ongelijkheden en respons op grote schokken als COVID-19 en Oekraïne. </w:t>
      </w:r>
      <w:r w:rsidRPr="00EE7E82">
        <w:rPr>
          <w:szCs w:val="18"/>
          <w:lang w:val="en-US"/>
        </w:rPr>
        <w:t xml:space="preserve">In de SCF 2026–2030 is ‘equality of opportunity for all’ </w:t>
      </w:r>
      <w:proofErr w:type="spellStart"/>
      <w:r w:rsidRPr="00EE7E82">
        <w:rPr>
          <w:szCs w:val="18"/>
          <w:lang w:val="en-US"/>
        </w:rPr>
        <w:t>een</w:t>
      </w:r>
      <w:proofErr w:type="spellEnd"/>
      <w:r w:rsidRPr="00EE7E82">
        <w:rPr>
          <w:szCs w:val="18"/>
          <w:lang w:val="en-US"/>
        </w:rPr>
        <w:t xml:space="preserve"> </w:t>
      </w:r>
      <w:proofErr w:type="spellStart"/>
      <w:r w:rsidRPr="00EE7E82">
        <w:rPr>
          <w:szCs w:val="18"/>
          <w:lang w:val="en-US"/>
        </w:rPr>
        <w:t>strategisch</w:t>
      </w:r>
      <w:proofErr w:type="spellEnd"/>
      <w:r w:rsidRPr="00EE7E82">
        <w:rPr>
          <w:szCs w:val="18"/>
          <w:lang w:val="en-US"/>
        </w:rPr>
        <w:t xml:space="preserve"> </w:t>
      </w:r>
      <w:proofErr w:type="spellStart"/>
      <w:r w:rsidRPr="00EE7E82">
        <w:rPr>
          <w:szCs w:val="18"/>
          <w:lang w:val="en-US"/>
        </w:rPr>
        <w:t>kernthema</w:t>
      </w:r>
      <w:proofErr w:type="spellEnd"/>
      <w:r w:rsidRPr="00EE7E82">
        <w:rPr>
          <w:szCs w:val="18"/>
          <w:lang w:val="en-US"/>
        </w:rPr>
        <w:t xml:space="preserve">. </w:t>
      </w:r>
      <w:r w:rsidRPr="00EE7E82">
        <w:rPr>
          <w:szCs w:val="18"/>
        </w:rPr>
        <w:t>Nederland blijft zich inzetten voor de internationale klimaat- en genderambities en zoekt actief de samenwerking met gelijkgezinden om deze inzet te versterken.</w:t>
      </w:r>
    </w:p>
    <w:p w:rsidR="00834F3C" w:rsidP="00893EC9" w:rsidRDefault="00834F3C" w14:paraId="5B02BE0F" w14:textId="58A62B20">
      <w:pPr>
        <w:spacing w:after="160" w:line="259" w:lineRule="auto"/>
        <w:contextualSpacing/>
        <w:rPr>
          <w:sz w:val="20"/>
          <w:szCs w:val="20"/>
        </w:rPr>
      </w:pPr>
      <w:r w:rsidRPr="00EE7E82">
        <w:rPr>
          <w:b/>
          <w:bCs/>
        </w:rPr>
        <w:t xml:space="preserve">Sterk kader </w:t>
      </w:r>
      <w:proofErr w:type="spellStart"/>
      <w:r w:rsidRPr="00EE7E82">
        <w:rPr>
          <w:b/>
          <w:bCs/>
        </w:rPr>
        <w:t>kapitaaltoereikendheid</w:t>
      </w:r>
      <w:proofErr w:type="spellEnd"/>
      <w:r w:rsidRPr="00EE7E82">
        <w:rPr>
          <w:b/>
          <w:bCs/>
        </w:rPr>
        <w:t>:</w:t>
      </w:r>
      <w:r w:rsidRPr="00EE7E82">
        <w:rPr>
          <w:szCs w:val="18"/>
        </w:rPr>
        <w:t xml:space="preserve"> De EBRD beschikt over een geavanceerd risicobeheerbeleid met duidelijke, geactualiseerde systemen. Het </w:t>
      </w:r>
      <w:proofErr w:type="spellStart"/>
      <w:r w:rsidRPr="00EE7E82">
        <w:rPr>
          <w:szCs w:val="18"/>
        </w:rPr>
        <w:t>Capital</w:t>
      </w:r>
      <w:proofErr w:type="spellEnd"/>
      <w:r w:rsidRPr="00EE7E82">
        <w:rPr>
          <w:szCs w:val="18"/>
        </w:rPr>
        <w:t xml:space="preserve"> </w:t>
      </w:r>
      <w:proofErr w:type="spellStart"/>
      <w:r w:rsidRPr="00EE7E82">
        <w:rPr>
          <w:szCs w:val="18"/>
        </w:rPr>
        <w:t>Adequacy</w:t>
      </w:r>
      <w:proofErr w:type="spellEnd"/>
      <w:r w:rsidRPr="00EE7E82">
        <w:rPr>
          <w:szCs w:val="18"/>
        </w:rPr>
        <w:t xml:space="preserve"> Policy </w:t>
      </w:r>
      <w:proofErr w:type="spellStart"/>
      <w:r w:rsidRPr="00EE7E82">
        <w:rPr>
          <w:szCs w:val="18"/>
        </w:rPr>
        <w:t>and</w:t>
      </w:r>
      <w:proofErr w:type="spellEnd"/>
      <w:r w:rsidRPr="00EE7E82">
        <w:rPr>
          <w:szCs w:val="18"/>
        </w:rPr>
        <w:t xml:space="preserve"> Framework (CAP) waarborgt voldoende kapitaal om strategische doelen te realiseren, met behoud van een conservatieve buffer ter bescherming tegen verliezen en ter handhaving van de AAA-rating. Regelmatige stresstests, een gedegen kapitalisatiebeleid en een solide investeringsmodel zorgen voor een gezonde financiële positie, ook in onzekere tijden. Tegelijkertijd streeft de EBRD naar een optimale balans tussen financiële stabiliteit en maximale impact door verantwoorde inzet van </w:t>
      </w:r>
      <w:proofErr w:type="spellStart"/>
      <w:r w:rsidRPr="00EE7E82">
        <w:rPr>
          <w:szCs w:val="18"/>
        </w:rPr>
        <w:t>leverage</w:t>
      </w:r>
      <w:proofErr w:type="spellEnd"/>
      <w:r w:rsidRPr="00EE7E82">
        <w:rPr>
          <w:szCs w:val="18"/>
        </w:rPr>
        <w:t xml:space="preserve"> binnen acceptabele risicogrenzen. </w:t>
      </w:r>
    </w:p>
    <w:p w:rsidRPr="00893EC9" w:rsidR="00893EC9" w:rsidP="00893EC9" w:rsidRDefault="00893EC9" w14:paraId="6C9E1681" w14:textId="77777777">
      <w:pPr>
        <w:spacing w:after="160" w:line="259" w:lineRule="auto"/>
        <w:contextualSpacing/>
        <w:rPr>
          <w:sz w:val="20"/>
          <w:szCs w:val="20"/>
        </w:rPr>
      </w:pPr>
    </w:p>
    <w:p w:rsidRPr="00EE7E82" w:rsidR="00834F3C" w:rsidP="008725F6" w:rsidRDefault="00834F3C" w14:paraId="1342274F" w14:textId="77777777">
      <w:pPr>
        <w:spacing w:after="160" w:line="259" w:lineRule="auto"/>
        <w:contextualSpacing/>
        <w:rPr>
          <w:sz w:val="20"/>
          <w:szCs w:val="20"/>
        </w:rPr>
      </w:pPr>
      <w:r w:rsidRPr="00EE7E82">
        <w:rPr>
          <w:szCs w:val="18"/>
        </w:rPr>
        <w:t xml:space="preserve">NL vindt een duurzaam houdbare ontwikkeling van de begroting en het verdienvermogen van de EBRD noodzakelijk om een nieuwe kapitaalverhoging te voorkomen. Het is voor NL belangrijk om een goed beeld te krijgen van de factoren die van invloed zijn een duurzaam houdbaar financieel pad en van de </w:t>
      </w:r>
      <w:proofErr w:type="spellStart"/>
      <w:r w:rsidRPr="00EE7E82">
        <w:rPr>
          <w:szCs w:val="18"/>
        </w:rPr>
        <w:t>trade-offs</w:t>
      </w:r>
      <w:proofErr w:type="spellEnd"/>
      <w:r w:rsidRPr="00EE7E82">
        <w:rPr>
          <w:szCs w:val="18"/>
        </w:rPr>
        <w:t xml:space="preserve"> die gepaard gaan met de activiteiten van de EBRD tussen impact, winstgevendheid en </w:t>
      </w:r>
      <w:r w:rsidRPr="00EE7E82">
        <w:rPr>
          <w:szCs w:val="18"/>
        </w:rPr>
        <w:lastRenderedPageBreak/>
        <w:t>kosten. Gegeven de vele prioriteiten van de Bank, waaronder de hoge noden in Oekraïne en de uitbreiding naar SSA en Irak, is het van belang te begrijpen waar de grenzen liggen (bv. in termen van meer aandacht voor minder geavanceerde landen of meer mobilisatie) zonder af te stevenen op een nieuwe kapitaalverhoging.</w:t>
      </w:r>
    </w:p>
    <w:p w:rsidR="00834F3C" w:rsidP="008725F6" w:rsidRDefault="00834F3C" w14:paraId="6BEABDB7" w14:textId="77777777">
      <w:pPr>
        <w:pStyle w:val="ListParagraph"/>
        <w:spacing w:line="240" w:lineRule="auto"/>
        <w:ind w:left="360"/>
        <w:rPr>
          <w:szCs w:val="18"/>
        </w:rPr>
      </w:pPr>
    </w:p>
    <w:p w:rsidRPr="00893EC9" w:rsidR="00834F3C" w:rsidP="008725F6" w:rsidRDefault="00834F3C" w14:paraId="277D0247" w14:textId="77777777">
      <w:pPr>
        <w:spacing w:line="240" w:lineRule="auto"/>
      </w:pPr>
      <w:r w:rsidRPr="00EE7E82">
        <w:rPr>
          <w:b/>
          <w:bCs/>
        </w:rPr>
        <w:t>Robuust operationeel risicobeheer:</w:t>
      </w:r>
      <w:r w:rsidRPr="00EE7E82">
        <w:rPr>
          <w:szCs w:val="18"/>
        </w:rPr>
        <w:t xml:space="preserve"> De bevindingen uit de MOPAN worden onderschreven. De EBRD heeft een sterke risicomanagementcultuur ontwikkeld door eerdere knelpunten aan te pakken en de structuur, </w:t>
      </w:r>
      <w:proofErr w:type="spellStart"/>
      <w:r w:rsidRPr="00EE7E82">
        <w:rPr>
          <w:szCs w:val="18"/>
        </w:rPr>
        <w:t>governance</w:t>
      </w:r>
      <w:proofErr w:type="spellEnd"/>
      <w:r w:rsidRPr="00EE7E82">
        <w:rPr>
          <w:szCs w:val="18"/>
        </w:rPr>
        <w:t xml:space="preserve"> en institutionele inbedding van operationeel risicobeheer te versterken. Dit draagt bij aan de veerkracht van de organisatie. De interne auditafdeling van de Bank zag deze cultuur in 2020 nog als onvoldoende. Verbeteringen sindsdien zijn onder meer: helderdere taakverdeling tussen teams, versterkt toezicht en betere documentatie van risico’s en de beheersmaatregelen. De bank heeft een duidelijke “risk </w:t>
      </w:r>
      <w:proofErr w:type="spellStart"/>
      <w:r w:rsidRPr="00EE7E82">
        <w:rPr>
          <w:szCs w:val="18"/>
        </w:rPr>
        <w:t>appetite</w:t>
      </w:r>
      <w:proofErr w:type="spellEnd"/>
      <w:r w:rsidRPr="00EE7E82">
        <w:rPr>
          <w:szCs w:val="18"/>
        </w:rPr>
        <w:t xml:space="preserve"> statement” vastgesteld en haar beleid geactualiseerd om beter in te spelen op risico’s. Ook interne audit speelt hierin een rol door behaalde resultaten te toetsen en verbeterpunten te signaleren. De aanpak van de EBRD wordt gezien als ‘</w:t>
      </w:r>
      <w:proofErr w:type="spellStart"/>
      <w:r w:rsidRPr="00EE7E82">
        <w:rPr>
          <w:szCs w:val="18"/>
        </w:rPr>
        <w:t>good</w:t>
      </w:r>
      <w:proofErr w:type="spellEnd"/>
      <w:r w:rsidRPr="00EE7E82">
        <w:rPr>
          <w:szCs w:val="18"/>
        </w:rPr>
        <w:t xml:space="preserve"> </w:t>
      </w:r>
      <w:proofErr w:type="spellStart"/>
      <w:r w:rsidRPr="00EE7E82">
        <w:rPr>
          <w:szCs w:val="18"/>
        </w:rPr>
        <w:t>practice</w:t>
      </w:r>
      <w:proofErr w:type="spellEnd"/>
      <w:r w:rsidRPr="00EE7E82">
        <w:rPr>
          <w:szCs w:val="18"/>
        </w:rPr>
        <w:t xml:space="preserve">’ voor andere </w:t>
      </w:r>
      <w:r w:rsidRPr="00893EC9">
        <w:rPr>
          <w:szCs w:val="18"/>
        </w:rPr>
        <w:t xml:space="preserve">organisaties die streven naar een sterke risicocultuur. </w:t>
      </w:r>
    </w:p>
    <w:p w:rsidRPr="00893EC9" w:rsidR="00834F3C" w:rsidP="008725F6" w:rsidRDefault="00834F3C" w14:paraId="01CD2DBF" w14:textId="77777777">
      <w:pPr>
        <w:pStyle w:val="ListParagraph"/>
        <w:tabs>
          <w:tab w:val="left" w:pos="1418"/>
          <w:tab w:val="left" w:pos="2835"/>
          <w:tab w:val="left" w:pos="4253"/>
          <w:tab w:val="left" w:pos="5670"/>
        </w:tabs>
        <w:suppressAutoHyphens/>
        <w:spacing w:after="200" w:line="240" w:lineRule="auto"/>
        <w:ind w:left="360"/>
        <w:contextualSpacing/>
        <w:rPr>
          <w:szCs w:val="18"/>
        </w:rPr>
      </w:pPr>
    </w:p>
    <w:p w:rsidR="00834F3C" w:rsidP="008725F6" w:rsidRDefault="00834F3C" w14:paraId="3804538C" w14:textId="19B82BBC">
      <w:pPr>
        <w:tabs>
          <w:tab w:val="left" w:pos="1418"/>
          <w:tab w:val="left" w:pos="2835"/>
          <w:tab w:val="left" w:pos="4253"/>
          <w:tab w:val="left" w:pos="5670"/>
        </w:tabs>
        <w:suppressAutoHyphens/>
        <w:spacing w:after="200" w:line="240" w:lineRule="auto"/>
        <w:contextualSpacing/>
        <w:rPr>
          <w:szCs w:val="18"/>
        </w:rPr>
      </w:pPr>
      <w:r w:rsidRPr="00893EC9">
        <w:rPr>
          <w:b/>
          <w:bCs/>
        </w:rPr>
        <w:t>Private Kapitaal Mobilisatie:</w:t>
      </w:r>
      <w:r w:rsidRPr="00893EC9">
        <w:rPr>
          <w:szCs w:val="18"/>
        </w:rPr>
        <w:t xml:space="preserve"> De in 2021 geïntroduceerde </w:t>
      </w:r>
      <w:proofErr w:type="spellStart"/>
      <w:r w:rsidRPr="00893EC9">
        <w:rPr>
          <w:szCs w:val="18"/>
        </w:rPr>
        <w:t>Mobilisation</w:t>
      </w:r>
      <w:proofErr w:type="spellEnd"/>
      <w:r w:rsidRPr="00893EC9">
        <w:rPr>
          <w:szCs w:val="18"/>
        </w:rPr>
        <w:t xml:space="preserve"> Approach heeft geleid tot een sterke groei van de </w:t>
      </w:r>
      <w:proofErr w:type="spellStart"/>
      <w:r w:rsidRPr="00893EC9">
        <w:rPr>
          <w:szCs w:val="18"/>
        </w:rPr>
        <w:t>Annual</w:t>
      </w:r>
      <w:proofErr w:type="spellEnd"/>
      <w:r w:rsidRPr="00EE7E82">
        <w:rPr>
          <w:szCs w:val="18"/>
        </w:rPr>
        <w:t xml:space="preserve"> </w:t>
      </w:r>
      <w:proofErr w:type="spellStart"/>
      <w:r w:rsidRPr="00EE7E82">
        <w:rPr>
          <w:szCs w:val="18"/>
        </w:rPr>
        <w:t>Mobilised</w:t>
      </w:r>
      <w:proofErr w:type="spellEnd"/>
      <w:r w:rsidRPr="00EE7E82">
        <w:rPr>
          <w:szCs w:val="18"/>
        </w:rPr>
        <w:t xml:space="preserve"> Investment (AMI), die sindsdien met 165% is gestegen van €2,8 </w:t>
      </w:r>
      <w:proofErr w:type="spellStart"/>
      <w:r w:rsidRPr="00EE7E82">
        <w:rPr>
          <w:szCs w:val="18"/>
        </w:rPr>
        <w:t>mld</w:t>
      </w:r>
      <w:proofErr w:type="spellEnd"/>
      <w:r w:rsidRPr="00EE7E82">
        <w:rPr>
          <w:szCs w:val="18"/>
        </w:rPr>
        <w:t xml:space="preserve"> in 2023 naar €4,8 </w:t>
      </w:r>
      <w:proofErr w:type="spellStart"/>
      <w:r w:rsidRPr="00EE7E82">
        <w:rPr>
          <w:szCs w:val="18"/>
        </w:rPr>
        <w:t>mld</w:t>
      </w:r>
      <w:proofErr w:type="spellEnd"/>
      <w:r w:rsidRPr="00EE7E82">
        <w:rPr>
          <w:szCs w:val="18"/>
        </w:rPr>
        <w:t xml:space="preserve"> in 2024. De totale mobilisatie van de EBRD bedroeg in 2024 €26,7 </w:t>
      </w:r>
      <w:proofErr w:type="spellStart"/>
      <w:r w:rsidRPr="00EE7E82">
        <w:rPr>
          <w:szCs w:val="18"/>
        </w:rPr>
        <w:t>mld</w:t>
      </w:r>
      <w:proofErr w:type="spellEnd"/>
      <w:r w:rsidRPr="00EE7E82">
        <w:rPr>
          <w:szCs w:val="18"/>
        </w:rPr>
        <w:t xml:space="preserve">, iets hoger dan de €26,2 </w:t>
      </w:r>
      <w:proofErr w:type="spellStart"/>
      <w:r w:rsidRPr="00EE7E82">
        <w:rPr>
          <w:szCs w:val="18"/>
        </w:rPr>
        <w:t>mld</w:t>
      </w:r>
      <w:proofErr w:type="spellEnd"/>
      <w:r w:rsidRPr="00EE7E82">
        <w:rPr>
          <w:szCs w:val="18"/>
        </w:rPr>
        <w:t xml:space="preserve"> in 2023. In de nieuwe SCF wordt het AMI-doel verhoogd naar €5 mld. Omdat dit ook publieke mobilisatie omvat, vindt Nederland dit bedrag te laag. Gezien de dalende ODA-budgetten en het hogere risicoprofiel van de nieuwe werklanden, zijn innovatieve financiële instrumenten en private sector mobilisatie belangrijker dan ooit; opschalen is daarom noodzakelijk. Nederland juicht de ambitie van de bank toe om de hefboomwerking van donorfondsen te vergroten door het opschalen van de mobilisatie van de private sector. Op dit moment komt 27% van de door </w:t>
      </w:r>
      <w:r w:rsidR="00B62948">
        <w:rPr>
          <w:szCs w:val="18"/>
        </w:rPr>
        <w:t>‘</w:t>
      </w:r>
      <w:proofErr w:type="spellStart"/>
      <w:r w:rsidRPr="00EE7E82">
        <w:rPr>
          <w:szCs w:val="18"/>
        </w:rPr>
        <w:t>blended</w:t>
      </w:r>
      <w:proofErr w:type="spellEnd"/>
      <w:r w:rsidRPr="00EE7E82">
        <w:rPr>
          <w:szCs w:val="18"/>
        </w:rPr>
        <w:t xml:space="preserve"> </w:t>
      </w:r>
      <w:proofErr w:type="spellStart"/>
      <w:r w:rsidRPr="00EE7E82">
        <w:rPr>
          <w:szCs w:val="18"/>
        </w:rPr>
        <w:t>finance</w:t>
      </w:r>
      <w:proofErr w:type="spellEnd"/>
      <w:r w:rsidR="00B62948">
        <w:rPr>
          <w:szCs w:val="18"/>
        </w:rPr>
        <w:t>’</w:t>
      </w:r>
      <w:r w:rsidRPr="00EE7E82">
        <w:rPr>
          <w:szCs w:val="18"/>
        </w:rPr>
        <w:t xml:space="preserve"> gemobiliseerde private investeringen uit privaat kapitaal. Dit ligt nog ver onder het streefpercentage van 50%. </w:t>
      </w:r>
    </w:p>
    <w:p w:rsidRPr="00273F6A" w:rsidR="008725F6" w:rsidP="008725F6" w:rsidRDefault="008725F6" w14:paraId="58607E16" w14:textId="77777777">
      <w:pPr>
        <w:tabs>
          <w:tab w:val="left" w:pos="1418"/>
          <w:tab w:val="left" w:pos="2835"/>
          <w:tab w:val="left" w:pos="4253"/>
          <w:tab w:val="left" w:pos="5670"/>
        </w:tabs>
        <w:suppressAutoHyphens/>
        <w:spacing w:after="200" w:line="240" w:lineRule="auto"/>
        <w:contextualSpacing/>
        <w:rPr>
          <w:szCs w:val="18"/>
        </w:rPr>
      </w:pPr>
    </w:p>
    <w:p w:rsidRPr="00EE7E82" w:rsidR="00834F3C" w:rsidP="008725F6" w:rsidRDefault="00834F3C" w14:paraId="1905EAEB" w14:textId="5596ADB7">
      <w:pPr>
        <w:spacing w:before="100" w:beforeAutospacing="1" w:after="100" w:afterAutospacing="1" w:line="240" w:lineRule="auto"/>
        <w:rPr>
          <w:szCs w:val="18"/>
        </w:rPr>
      </w:pPr>
      <w:r w:rsidRPr="00EE7E82">
        <w:rPr>
          <w:b/>
          <w:bCs/>
        </w:rPr>
        <w:t>Wendbaarheid:</w:t>
      </w:r>
      <w:r w:rsidRPr="00EE7E82">
        <w:rPr>
          <w:szCs w:val="18"/>
        </w:rPr>
        <w:t xml:space="preserve"> De EBRD </w:t>
      </w:r>
      <w:r w:rsidR="00B62948">
        <w:rPr>
          <w:szCs w:val="18"/>
        </w:rPr>
        <w:t xml:space="preserve">heeft </w:t>
      </w:r>
      <w:r w:rsidRPr="00EE7E82">
        <w:rPr>
          <w:szCs w:val="18"/>
        </w:rPr>
        <w:t xml:space="preserve">zich de afgelopen jaren sterk ontwikkeld als een wendbare en resultaatgerichte organisatie, met een duidelijke focus op duurzame, inclusieve en concurrerende markteconomieën. Tijdens de SCF 2021-2025 toonde de Bank flexibiliteit door effectief te reageren op meerdere crises zonder de reguliere werkzaamheden te verwaarlozen. Zo was de EBRD een van de eerste instellingen die met een noodpakket reageerde op de COVID-crisis en later op de oorlog in Oekraïne. De snelle opschaling van steun en het gebruik van flexibele procedures tonen aan dat de Bank adequaat weet te handelen op acute uitdagingen. </w:t>
      </w:r>
    </w:p>
    <w:p w:rsidRPr="00EE7E82" w:rsidR="00834F3C" w:rsidP="008725F6" w:rsidRDefault="00834F3C" w14:paraId="1311F0AC" w14:textId="77777777">
      <w:pPr>
        <w:spacing w:before="100" w:beforeAutospacing="1" w:after="100" w:afterAutospacing="1" w:line="240" w:lineRule="auto"/>
        <w:rPr>
          <w:szCs w:val="18"/>
        </w:rPr>
      </w:pPr>
      <w:r w:rsidRPr="00EE7E82">
        <w:rPr>
          <w:szCs w:val="18"/>
        </w:rPr>
        <w:t>Het SEO-rapport ‘Internationale Crisismaatregelen tijdens de pandemie</w:t>
      </w:r>
      <w:r>
        <w:rPr>
          <w:rStyle w:val="FootnoteReference"/>
          <w:szCs w:val="18"/>
        </w:rPr>
        <w:footnoteReference w:id="8"/>
      </w:r>
      <w:r w:rsidRPr="00EE7E82">
        <w:rPr>
          <w:szCs w:val="18"/>
        </w:rPr>
        <w:t xml:space="preserve">’ evalueert de COVID-19-respons van de EBRD en beschrijft dat de Bank vooral gericht was op </w:t>
      </w:r>
      <w:proofErr w:type="spellStart"/>
      <w:r w:rsidRPr="00EE7E82">
        <w:rPr>
          <w:szCs w:val="18"/>
        </w:rPr>
        <w:t>kortetermijnliquiditeitssteun</w:t>
      </w:r>
      <w:proofErr w:type="spellEnd"/>
      <w:r w:rsidRPr="00EE7E82">
        <w:rPr>
          <w:szCs w:val="18"/>
        </w:rPr>
        <w:t xml:space="preserve"> via het </w:t>
      </w:r>
      <w:proofErr w:type="spellStart"/>
      <w:r w:rsidRPr="00EE7E82">
        <w:rPr>
          <w:szCs w:val="18"/>
        </w:rPr>
        <w:t>Solidarity</w:t>
      </w:r>
      <w:proofErr w:type="spellEnd"/>
      <w:r w:rsidRPr="00EE7E82">
        <w:rPr>
          <w:szCs w:val="18"/>
        </w:rPr>
        <w:t xml:space="preserve"> Package, met garanties en leningen aan financiële instellingen en staatsbedrijven. Hoewel de Bank snel reageerde door kortere doorlooptijden en extra financiering, had zij moeite nieuwe klanten te bereiken en nieuwe transitieprocessen te starten. De respons wordt als ‘gemiddeld’ beoordeeld; interventies waren kleiner dan bij sommige andere instellingen en sectorale expertise sloot beperkt aan bij zwaar getroffen sectoren zoals de gezondheidszorg. Capaciteitsproblemen speelden ook door de wereldwijde aard van de crisis.</w:t>
      </w:r>
    </w:p>
    <w:p w:rsidR="00F14655" w:rsidP="007B0EE2" w:rsidRDefault="00834F3C" w14:paraId="678E1F35" w14:textId="7A85A500">
      <w:pPr>
        <w:spacing w:line="240" w:lineRule="auto"/>
        <w:rPr>
          <w:szCs w:val="18"/>
        </w:rPr>
      </w:pPr>
      <w:r>
        <w:rPr>
          <w:szCs w:val="18"/>
        </w:rPr>
        <w:t>Uw Kamer is op 28 april jl. geïnformeerd over de kabinetsappreciatie</w:t>
      </w:r>
      <w:r>
        <w:rPr>
          <w:rStyle w:val="FootnoteReference"/>
          <w:szCs w:val="18"/>
        </w:rPr>
        <w:footnoteReference w:id="9"/>
      </w:r>
      <w:r>
        <w:rPr>
          <w:szCs w:val="18"/>
        </w:rPr>
        <w:t xml:space="preserve"> van dit rapport. Het kabinet waardeert de SEO-evaluatie positief, omdat deze concludeert </w:t>
      </w:r>
      <w:r>
        <w:rPr>
          <w:szCs w:val="18"/>
        </w:rPr>
        <w:lastRenderedPageBreak/>
        <w:t xml:space="preserve">dat de inzet van internationale instelling en Europese instellingen over het algemeen doeltreffend en flexibel was, wat vertrouwen geeft in hun vermogen om toekomstige crises aan te pakken. </w:t>
      </w:r>
    </w:p>
    <w:p w:rsidR="008725F6" w:rsidP="007B0EE2" w:rsidRDefault="008725F6" w14:paraId="78093F48" w14:textId="77777777">
      <w:pPr>
        <w:spacing w:line="240" w:lineRule="auto"/>
        <w:rPr>
          <w:szCs w:val="18"/>
          <w:u w:val="single"/>
        </w:rPr>
      </w:pPr>
    </w:p>
    <w:p w:rsidR="007B0EE2" w:rsidP="007B0EE2" w:rsidRDefault="007B0EE2" w14:paraId="512DB3E3" w14:textId="7CE13A7F">
      <w:pPr>
        <w:spacing w:line="240" w:lineRule="auto"/>
        <w:rPr>
          <w:szCs w:val="18"/>
          <w:u w:val="single"/>
        </w:rPr>
      </w:pPr>
      <w:r>
        <w:rPr>
          <w:szCs w:val="18"/>
          <w:u w:val="single"/>
        </w:rPr>
        <w:t>Verbeterpunten</w:t>
      </w:r>
    </w:p>
    <w:p w:rsidR="007B0EE2" w:rsidP="008725F6" w:rsidRDefault="007B0EE2" w14:paraId="5409F2EB" w14:textId="77777777">
      <w:pPr>
        <w:spacing w:line="240" w:lineRule="auto"/>
        <w:rPr>
          <w:szCs w:val="18"/>
        </w:rPr>
      </w:pPr>
    </w:p>
    <w:p w:rsidRPr="008725F6" w:rsidR="007B0EE2" w:rsidP="008725F6" w:rsidRDefault="007B787C" w14:paraId="039209DD" w14:textId="3C36A0FA">
      <w:pPr>
        <w:spacing w:line="240" w:lineRule="auto"/>
        <w:rPr>
          <w:szCs w:val="18"/>
        </w:rPr>
      </w:pPr>
      <w:r w:rsidRPr="008725F6">
        <w:rPr>
          <w:b/>
          <w:bCs/>
          <w:szCs w:val="18"/>
        </w:rPr>
        <w:t>Verbeteren van impactmeting op landenniveau</w:t>
      </w:r>
      <w:r w:rsidRPr="008725F6">
        <w:rPr>
          <w:szCs w:val="18"/>
        </w:rPr>
        <w:t xml:space="preserve">: </w:t>
      </w:r>
      <w:r w:rsidRPr="008725F6" w:rsidR="00834F3C">
        <w:rPr>
          <w:szCs w:val="18"/>
        </w:rPr>
        <w:t xml:space="preserve">De Bank heeft een sterke resultatenarchitectuur op projectniveau. De Bank heeft haar aanpak van transitie-impact verfijnd, met onder andere het </w:t>
      </w:r>
      <w:proofErr w:type="spellStart"/>
      <w:r w:rsidRPr="008725F6" w:rsidR="00834F3C">
        <w:rPr>
          <w:szCs w:val="18"/>
        </w:rPr>
        <w:t>Transition</w:t>
      </w:r>
      <w:proofErr w:type="spellEnd"/>
      <w:r w:rsidRPr="008725F6" w:rsidR="00834F3C">
        <w:rPr>
          <w:szCs w:val="18"/>
        </w:rPr>
        <w:t xml:space="preserve"> </w:t>
      </w:r>
      <w:proofErr w:type="spellStart"/>
      <w:r w:rsidRPr="008725F6" w:rsidR="00834F3C">
        <w:rPr>
          <w:szCs w:val="18"/>
        </w:rPr>
        <w:t>Objectives</w:t>
      </w:r>
      <w:proofErr w:type="spellEnd"/>
      <w:r w:rsidRPr="008725F6" w:rsidR="00834F3C">
        <w:rPr>
          <w:szCs w:val="18"/>
        </w:rPr>
        <w:t xml:space="preserve"> </w:t>
      </w:r>
      <w:proofErr w:type="spellStart"/>
      <w:r w:rsidRPr="008725F6" w:rsidR="00834F3C">
        <w:rPr>
          <w:szCs w:val="18"/>
        </w:rPr>
        <w:t>Measurement</w:t>
      </w:r>
      <w:proofErr w:type="spellEnd"/>
      <w:r w:rsidRPr="008725F6" w:rsidR="00834F3C">
        <w:rPr>
          <w:szCs w:val="18"/>
        </w:rPr>
        <w:t xml:space="preserve"> System (TOMS) en het gebruik van een standaard indicatoren set. Deze instrumenten zorgen voor duidelijke projectdoelstellingen en monitoring tijdens de uitvoering. MOPAN stelt echter ook vast dat de rapportage over </w:t>
      </w:r>
      <w:proofErr w:type="spellStart"/>
      <w:r w:rsidRPr="008725F6" w:rsidR="00834F3C">
        <w:rPr>
          <w:szCs w:val="18"/>
        </w:rPr>
        <w:t>outcomes</w:t>
      </w:r>
      <w:proofErr w:type="spellEnd"/>
      <w:r w:rsidRPr="008725F6" w:rsidR="00834F3C">
        <w:rPr>
          <w:szCs w:val="18"/>
        </w:rPr>
        <w:t xml:space="preserve"> en structurele veranderingen op landenniveau onvoldoende ontwikkeld is. De Country </w:t>
      </w:r>
      <w:proofErr w:type="spellStart"/>
      <w:r w:rsidRPr="008725F6" w:rsidR="00834F3C">
        <w:rPr>
          <w:szCs w:val="18"/>
        </w:rPr>
        <w:t>Strategy</w:t>
      </w:r>
      <w:proofErr w:type="spellEnd"/>
      <w:r w:rsidRPr="008725F6" w:rsidR="00834F3C">
        <w:rPr>
          <w:szCs w:val="18"/>
        </w:rPr>
        <w:t xml:space="preserve"> Delivery Reviews (</w:t>
      </w:r>
      <w:proofErr w:type="spellStart"/>
      <w:r w:rsidRPr="008725F6" w:rsidR="00834F3C">
        <w:rPr>
          <w:szCs w:val="18"/>
        </w:rPr>
        <w:t>CSDRs</w:t>
      </w:r>
      <w:proofErr w:type="spellEnd"/>
      <w:r w:rsidRPr="008725F6" w:rsidR="00834F3C">
        <w:rPr>
          <w:szCs w:val="18"/>
        </w:rPr>
        <w:t xml:space="preserve">) bevatten bijvoorbeeld vooral beschrijvingen van activiteiten en resultaten op outputniveau, maar geven onvoldoende inzicht in hoe de Bank daadwerkelijk bijdraagt aan transitie en duurzame ontwikkeling op de lange termijn. Daarnaast bestaat de koppeling van de werkzaamheden van de Bank met </w:t>
      </w:r>
      <w:r w:rsidR="00B62948">
        <w:rPr>
          <w:szCs w:val="18"/>
        </w:rPr>
        <w:t xml:space="preserve">de </w:t>
      </w:r>
      <w:r w:rsidRPr="00A0361E" w:rsidR="00AB4A30">
        <w:t>duurzame ontwikkelingsdoelen (</w:t>
      </w:r>
      <w:proofErr w:type="spellStart"/>
      <w:r w:rsidRPr="00A0361E" w:rsidR="00AB4A30">
        <w:t>SDG's</w:t>
      </w:r>
      <w:proofErr w:type="spellEnd"/>
      <w:r w:rsidRPr="00A0361E" w:rsidR="00AB4A30">
        <w:t>)</w:t>
      </w:r>
      <w:r w:rsidRPr="008725F6" w:rsidR="00834F3C">
        <w:rPr>
          <w:szCs w:val="18"/>
        </w:rPr>
        <w:t xml:space="preserve"> wel in opzet, maar de projectindicatoren zijn vaak activiteit- of outputgericht en worden niet geaggregeerd of geëvalueerd op hun bijdrage aan SDG-doelstellingen. Door meer </w:t>
      </w:r>
      <w:proofErr w:type="spellStart"/>
      <w:r w:rsidRPr="008725F6" w:rsidR="00834F3C">
        <w:rPr>
          <w:szCs w:val="18"/>
        </w:rPr>
        <w:t>outcome</w:t>
      </w:r>
      <w:proofErr w:type="spellEnd"/>
      <w:r w:rsidRPr="008725F6" w:rsidR="00834F3C">
        <w:rPr>
          <w:szCs w:val="18"/>
        </w:rPr>
        <w:t>-georiënteerde rapportage en evaluatiecycli kan de toegevoegde waarde duidelijker worden onderbouwd.</w:t>
      </w:r>
    </w:p>
    <w:p w:rsidR="008725F6" w:rsidP="008725F6" w:rsidRDefault="008725F6" w14:paraId="44910BD4" w14:textId="77777777">
      <w:pPr>
        <w:spacing w:line="240" w:lineRule="auto"/>
        <w:rPr>
          <w:b/>
          <w:bCs/>
          <w:szCs w:val="18"/>
        </w:rPr>
      </w:pPr>
    </w:p>
    <w:p w:rsidRPr="008725F6" w:rsidR="007B787C" w:rsidP="008725F6" w:rsidRDefault="00371806" w14:paraId="276C6F1D" w14:textId="3206A913">
      <w:pPr>
        <w:spacing w:line="240" w:lineRule="auto"/>
        <w:rPr>
          <w:szCs w:val="18"/>
        </w:rPr>
      </w:pPr>
      <w:r w:rsidRPr="008725F6">
        <w:rPr>
          <w:b/>
          <w:bCs/>
          <w:szCs w:val="18"/>
        </w:rPr>
        <w:t>Betere integratie van de strategie, budget en uitvoering</w:t>
      </w:r>
      <w:r w:rsidRPr="008725F6">
        <w:rPr>
          <w:szCs w:val="18"/>
        </w:rPr>
        <w:t xml:space="preserve">: De EBRD werkt naar behoren aan kostenbeheersing, maar er is nog winst te behalen door strategische prioriteiten, budgetten en operationele capaciteiten nauwer met elkaar te verbinden. Vooral in het licht van de groeiende werkdruk (bijvoorbeeld als gevolg van de inspanningen van de Bank voor Oekraïne) en de geografische uitbreiding van de Bank naar Sub-Sahara Afrika en Irak. </w:t>
      </w:r>
    </w:p>
    <w:p w:rsidR="008725F6" w:rsidP="008725F6" w:rsidRDefault="008725F6" w14:paraId="394DB270" w14:textId="77777777">
      <w:pPr>
        <w:spacing w:line="240" w:lineRule="auto"/>
        <w:rPr>
          <w:b/>
          <w:bCs/>
          <w:szCs w:val="18"/>
        </w:rPr>
      </w:pPr>
    </w:p>
    <w:p w:rsidRPr="008725F6" w:rsidR="00371806" w:rsidP="008725F6" w:rsidRDefault="00904DB4" w14:paraId="1907A4E3" w14:textId="0B7F9A43">
      <w:pPr>
        <w:spacing w:line="240" w:lineRule="auto"/>
        <w:rPr>
          <w:szCs w:val="18"/>
        </w:rPr>
      </w:pPr>
      <w:r w:rsidRPr="008725F6">
        <w:rPr>
          <w:b/>
          <w:bCs/>
          <w:szCs w:val="18"/>
        </w:rPr>
        <w:t>Clientgerichtheid structureel verankeren</w:t>
      </w:r>
      <w:r w:rsidRPr="008725F6">
        <w:rPr>
          <w:szCs w:val="18"/>
        </w:rPr>
        <w:t xml:space="preserve">: Er ontbreekt momenteel een systematisch mechanisme om feedback van </w:t>
      </w:r>
      <w:r w:rsidRPr="008725F6" w:rsidR="00190517">
        <w:rPr>
          <w:szCs w:val="18"/>
        </w:rPr>
        <w:t>cliënten</w:t>
      </w:r>
      <w:r w:rsidRPr="008725F6">
        <w:rPr>
          <w:szCs w:val="18"/>
        </w:rPr>
        <w:t xml:space="preserve"> te verzamelen. Door regelmatig klanttevredenheidsonderzoek te doen, kan EBRD haar dienstverlening beter afstemmen op veranderende behoeften van cliënten en partners. </w:t>
      </w:r>
    </w:p>
    <w:p w:rsidR="008725F6" w:rsidP="008725F6" w:rsidRDefault="008725F6" w14:paraId="04305F26" w14:textId="77777777">
      <w:pPr>
        <w:spacing w:line="240" w:lineRule="auto"/>
        <w:rPr>
          <w:b/>
          <w:bCs/>
          <w:szCs w:val="18"/>
        </w:rPr>
      </w:pPr>
    </w:p>
    <w:p w:rsidRPr="008725F6" w:rsidR="00904DB4" w:rsidP="008725F6" w:rsidRDefault="003275F5" w14:paraId="06CB1E16" w14:textId="74C35211">
      <w:pPr>
        <w:spacing w:line="240" w:lineRule="auto"/>
        <w:rPr>
          <w:szCs w:val="18"/>
        </w:rPr>
      </w:pPr>
      <w:r w:rsidRPr="008725F6">
        <w:rPr>
          <w:b/>
          <w:bCs/>
          <w:szCs w:val="18"/>
        </w:rPr>
        <w:t>Vergroten van institutioneel leren en kennisdeling</w:t>
      </w:r>
      <w:r w:rsidRPr="008725F6">
        <w:rPr>
          <w:szCs w:val="18"/>
        </w:rPr>
        <w:t xml:space="preserve">: </w:t>
      </w:r>
      <w:r w:rsidRPr="008725F6" w:rsidR="007B1702">
        <w:rPr>
          <w:szCs w:val="18"/>
        </w:rPr>
        <w:t xml:space="preserve">MOPAN oordeelt dat het institutioneel leervermogen van de EBRD onvoldoende systematisch is. De EBRD heeft belangrijke stappen gezet om de evaluatiefunctie te versterken, zoals het hervormen van het </w:t>
      </w:r>
      <w:proofErr w:type="spellStart"/>
      <w:r w:rsidRPr="008725F6" w:rsidR="007B1702">
        <w:rPr>
          <w:szCs w:val="18"/>
        </w:rPr>
        <w:t>self</w:t>
      </w:r>
      <w:proofErr w:type="spellEnd"/>
      <w:r w:rsidRPr="008725F6" w:rsidR="007B1702">
        <w:rPr>
          <w:szCs w:val="18"/>
        </w:rPr>
        <w:t xml:space="preserve">-evaluatiesysteem en het ontwikkelen van thematische inzichten en strategische verkenningen. De borging van geleerde lessen in de </w:t>
      </w:r>
      <w:proofErr w:type="spellStart"/>
      <w:r w:rsidRPr="008725F6" w:rsidR="007B1702">
        <w:rPr>
          <w:szCs w:val="18"/>
        </w:rPr>
        <w:t>organisatiebrede</w:t>
      </w:r>
      <w:proofErr w:type="spellEnd"/>
      <w:r w:rsidRPr="008725F6" w:rsidR="007B1702">
        <w:rPr>
          <w:szCs w:val="18"/>
        </w:rPr>
        <w:t xml:space="preserve"> besluitvorming is echter nog beperkt, zo blijkt uit gesprekken met de Bank en de MOPAN-rapportage. De toepassing van aanbevelingen uit evaluaties zijn onvoldoende aantoonbaar en leerprocessen zijn nog niet voldoende verankerd in competenties, prestatiebeoordelingen en bestuur.</w:t>
      </w:r>
    </w:p>
    <w:p w:rsidR="008725F6" w:rsidP="008725F6" w:rsidRDefault="008725F6" w14:paraId="0D1B613F" w14:textId="77777777">
      <w:pPr>
        <w:spacing w:line="240" w:lineRule="auto"/>
        <w:rPr>
          <w:b/>
          <w:bCs/>
          <w:szCs w:val="18"/>
        </w:rPr>
      </w:pPr>
    </w:p>
    <w:p w:rsidRPr="008725F6" w:rsidR="003275F5" w:rsidP="008725F6" w:rsidRDefault="007B1702" w14:paraId="5CCBAE60" w14:textId="4EBEE9C7">
      <w:pPr>
        <w:spacing w:line="240" w:lineRule="auto"/>
        <w:rPr>
          <w:szCs w:val="18"/>
        </w:rPr>
      </w:pPr>
      <w:r w:rsidRPr="008725F6">
        <w:rPr>
          <w:b/>
          <w:bCs/>
          <w:szCs w:val="18"/>
        </w:rPr>
        <w:t>Systematische klantfeedbackmechanismen</w:t>
      </w:r>
      <w:r w:rsidRPr="008725F6" w:rsidR="003275F5">
        <w:rPr>
          <w:szCs w:val="18"/>
        </w:rPr>
        <w:t xml:space="preserve">: Technische samenwerking en beleidsadvies zijn cruciale instrumenten, zeker in de moeilijkere markten. Een overkoepelende strategie en betere meetbaarheid van dit soort kennisinterventies zouden helpen om deze inspanningen doelgerichter en strategischer in te zetten. </w:t>
      </w:r>
    </w:p>
    <w:p w:rsidR="008725F6" w:rsidP="008725F6" w:rsidRDefault="008725F6" w14:paraId="1AAE4910" w14:textId="77777777">
      <w:pPr>
        <w:spacing w:line="240" w:lineRule="auto"/>
        <w:rPr>
          <w:b/>
          <w:bCs/>
          <w:szCs w:val="18"/>
        </w:rPr>
      </w:pPr>
    </w:p>
    <w:p w:rsidRPr="008725F6" w:rsidR="003275F5" w:rsidP="008725F6" w:rsidRDefault="003275F5" w14:paraId="1795756D" w14:textId="6E6E5B37">
      <w:pPr>
        <w:spacing w:line="240" w:lineRule="auto"/>
        <w:rPr>
          <w:szCs w:val="18"/>
        </w:rPr>
      </w:pPr>
      <w:r w:rsidRPr="008725F6">
        <w:rPr>
          <w:b/>
          <w:bCs/>
          <w:szCs w:val="18"/>
        </w:rPr>
        <w:t>Versterken van ESG-rapportage en omgaan met opkomende risico’s</w:t>
      </w:r>
      <w:r w:rsidRPr="008725F6">
        <w:rPr>
          <w:szCs w:val="18"/>
        </w:rPr>
        <w:t xml:space="preserve">: De EBRD heeft een solide beleid voor milieu- en sociale risico’s, maar kan nog stappen zetten in het systematisch verzamelen en analyseren van data, bijvoorbeeld rond </w:t>
      </w:r>
      <w:proofErr w:type="spellStart"/>
      <w:r w:rsidRPr="008725F6">
        <w:rPr>
          <w:szCs w:val="18"/>
        </w:rPr>
        <w:t>gendergerelateerd</w:t>
      </w:r>
      <w:proofErr w:type="spellEnd"/>
      <w:r w:rsidRPr="008725F6">
        <w:rPr>
          <w:szCs w:val="18"/>
        </w:rPr>
        <w:t xml:space="preserve"> geweld of ketenrisico’s. </w:t>
      </w:r>
    </w:p>
    <w:p w:rsidR="00B01071" w:rsidP="00B01071" w:rsidRDefault="00B01071" w14:paraId="29EE58C4" w14:textId="77777777">
      <w:pPr>
        <w:spacing w:line="240" w:lineRule="auto"/>
        <w:rPr>
          <w:b/>
          <w:bCs/>
          <w:szCs w:val="18"/>
        </w:rPr>
      </w:pPr>
    </w:p>
    <w:p w:rsidRPr="00893EC9" w:rsidR="007B1702" w:rsidP="007B1702" w:rsidRDefault="007B1702" w14:paraId="40E9544F" w14:textId="77777777">
      <w:pPr>
        <w:spacing w:line="240" w:lineRule="auto"/>
        <w:rPr>
          <w:szCs w:val="18"/>
          <w:u w:val="single"/>
        </w:rPr>
      </w:pPr>
      <w:r w:rsidRPr="00893EC9">
        <w:rPr>
          <w:szCs w:val="18"/>
          <w:u w:val="single"/>
        </w:rPr>
        <w:t>Overige bevindingen van de MOPAN-beoordeling</w:t>
      </w:r>
    </w:p>
    <w:p w:rsidR="007B1702" w:rsidP="007B1702" w:rsidRDefault="007B1702" w14:paraId="5254385C" w14:textId="77777777"/>
    <w:p w:rsidRPr="008725F6" w:rsidR="007B1702" w:rsidP="008725F6" w:rsidRDefault="007B1702" w14:paraId="0402FD37" w14:textId="77777777">
      <w:pPr>
        <w:spacing w:line="240" w:lineRule="auto"/>
        <w:rPr>
          <w:szCs w:val="18"/>
        </w:rPr>
      </w:pPr>
      <w:r w:rsidRPr="008725F6">
        <w:rPr>
          <w:b/>
          <w:bCs/>
          <w:szCs w:val="18"/>
        </w:rPr>
        <w:t>Sterke strategische positionering en mandaatgericht werken</w:t>
      </w:r>
      <w:r w:rsidRPr="008725F6">
        <w:rPr>
          <w:szCs w:val="18"/>
        </w:rPr>
        <w:t xml:space="preserve">: De EBRD heeft haar mandaat geformuleerd als ‘het bevorderen van transitie naar goed functionerende markteconomieën.’  De zes transitiekwaliteiten - concurrerend, goed </w:t>
      </w:r>
      <w:r w:rsidRPr="008725F6">
        <w:rPr>
          <w:szCs w:val="18"/>
        </w:rPr>
        <w:lastRenderedPageBreak/>
        <w:t xml:space="preserve">bestuurd, groen, inclusief, veerkrachtig en geïntegreerd -  van de bank vormen een helder kompas in de strategische en operationele keuzes van de Bank. </w:t>
      </w:r>
    </w:p>
    <w:p w:rsidR="007B1702" w:rsidP="007B1702" w:rsidRDefault="007B1702" w14:paraId="01B8C7A7" w14:textId="77777777">
      <w:pPr>
        <w:spacing w:line="240" w:lineRule="auto"/>
        <w:rPr>
          <w:szCs w:val="18"/>
        </w:rPr>
      </w:pPr>
    </w:p>
    <w:p w:rsidRPr="00273F6A" w:rsidR="007B1702" w:rsidP="007B1702" w:rsidRDefault="007B1702" w14:paraId="28D00CA3" w14:textId="77777777">
      <w:pPr>
        <w:spacing w:line="240" w:lineRule="auto"/>
        <w:rPr>
          <w:b/>
          <w:bCs/>
          <w:szCs w:val="18"/>
        </w:rPr>
      </w:pPr>
      <w:r>
        <w:rPr>
          <w:b/>
          <w:bCs/>
          <w:szCs w:val="18"/>
        </w:rPr>
        <w:t>Overige bevindingen buiten de scope van de MOPAN-beoordeling</w:t>
      </w:r>
    </w:p>
    <w:p w:rsidRPr="00E9792D" w:rsidR="007B1702" w:rsidP="007B1702" w:rsidRDefault="007B1702" w14:paraId="5081A12F" w14:textId="77777777">
      <w:pPr>
        <w:spacing w:line="240" w:lineRule="auto"/>
        <w:rPr>
          <w:szCs w:val="18"/>
        </w:rPr>
      </w:pPr>
    </w:p>
    <w:p w:rsidRPr="008725F6" w:rsidR="007B1702" w:rsidP="008725F6" w:rsidRDefault="007B1702" w14:paraId="18115BFF" w14:textId="77777777">
      <w:pPr>
        <w:spacing w:line="240" w:lineRule="auto"/>
        <w:rPr>
          <w:szCs w:val="18"/>
        </w:rPr>
      </w:pPr>
      <w:r w:rsidRPr="008725F6">
        <w:rPr>
          <w:b/>
          <w:bCs/>
          <w:i/>
          <w:iCs/>
          <w:szCs w:val="18"/>
        </w:rPr>
        <w:t>Pre</w:t>
      </w:r>
      <w:r w:rsidRPr="008725F6">
        <w:rPr>
          <w:i/>
          <w:iCs/>
          <w:szCs w:val="18"/>
        </w:rPr>
        <w:t>-</w:t>
      </w:r>
      <w:proofErr w:type="spellStart"/>
      <w:r w:rsidRPr="008725F6">
        <w:rPr>
          <w:b/>
          <w:bCs/>
          <w:i/>
          <w:iCs/>
          <w:szCs w:val="18"/>
        </w:rPr>
        <w:t>employment</w:t>
      </w:r>
      <w:proofErr w:type="spellEnd"/>
      <w:r w:rsidRPr="008725F6">
        <w:rPr>
          <w:b/>
          <w:bCs/>
          <w:i/>
          <w:iCs/>
          <w:szCs w:val="18"/>
        </w:rPr>
        <w:t xml:space="preserve"> screening</w:t>
      </w:r>
      <w:r w:rsidRPr="008725F6">
        <w:rPr>
          <w:szCs w:val="18"/>
        </w:rPr>
        <w:t xml:space="preserve">: De EBRD maakt gebruik van </w:t>
      </w:r>
      <w:r w:rsidRPr="008725F6">
        <w:rPr>
          <w:i/>
          <w:iCs/>
          <w:szCs w:val="18"/>
        </w:rPr>
        <w:t>pre-</w:t>
      </w:r>
      <w:proofErr w:type="spellStart"/>
      <w:r w:rsidRPr="008725F6">
        <w:rPr>
          <w:i/>
          <w:iCs/>
          <w:szCs w:val="18"/>
        </w:rPr>
        <w:t>employment</w:t>
      </w:r>
      <w:proofErr w:type="spellEnd"/>
      <w:r w:rsidRPr="008725F6">
        <w:rPr>
          <w:i/>
          <w:iCs/>
          <w:szCs w:val="18"/>
        </w:rPr>
        <w:t xml:space="preserve"> screening</w:t>
      </w:r>
      <w:r>
        <w:rPr>
          <w:rStyle w:val="FootnoteReference"/>
          <w:szCs w:val="18"/>
        </w:rPr>
        <w:footnoteReference w:id="10"/>
      </w:r>
      <w:r w:rsidRPr="008725F6">
        <w:rPr>
          <w:szCs w:val="18"/>
        </w:rPr>
        <w:t xml:space="preserve"> als onderdeel van haar wervingsproces. Hierbij wordt de achtergrond van een kandidaat gecontroleerd, inclusief opleiding, arbeidsverleden en mogelijk strafblad, om er zeker van te zijn dat de kandidaat geschikt is voor de functie en de organisatie. Ook kan er worden gevraagd naar referenties. </w:t>
      </w:r>
    </w:p>
    <w:p w:rsidR="007B1702" w:rsidP="007B1702" w:rsidRDefault="007B1702" w14:paraId="6D0309E5" w14:textId="77777777">
      <w:pPr>
        <w:pStyle w:val="ListParagraph"/>
      </w:pPr>
    </w:p>
    <w:p w:rsidRPr="00557538" w:rsidR="007B1702" w:rsidP="00B01071" w:rsidRDefault="007B1702" w14:paraId="1367FB69" w14:textId="77777777">
      <w:pPr>
        <w:spacing w:line="240" w:lineRule="auto"/>
        <w:rPr>
          <w:b/>
          <w:bCs/>
          <w:szCs w:val="18"/>
        </w:rPr>
      </w:pPr>
    </w:p>
    <w:p w:rsidR="003707BD" w:rsidP="003707BD" w:rsidRDefault="003707BD" w14:paraId="3A6C5572" w14:textId="77777777"/>
    <w:p w:rsidR="003707BD" w:rsidP="003707BD" w:rsidRDefault="003707BD" w14:paraId="6916CCA8" w14:textId="77777777">
      <w:pPr>
        <w:pStyle w:val="Heading1"/>
        <w:tabs>
          <w:tab w:val="num" w:pos="0"/>
        </w:tabs>
        <w:spacing w:after="240" w:line="240" w:lineRule="auto"/>
        <w:ind w:hanging="1162"/>
      </w:pPr>
      <w:bookmarkStart w:name="_Toc199260819" w:id="71"/>
      <w:bookmarkStart w:name="_Toc205366645" w:id="72"/>
      <w:r>
        <w:lastRenderedPageBreak/>
        <w:t xml:space="preserve">5 </w:t>
      </w:r>
      <w:r>
        <w:tab/>
        <w:t>Relevantie van de organisatie / financiële instelling</w:t>
      </w:r>
      <w:bookmarkEnd w:id="71"/>
      <w:bookmarkEnd w:id="72"/>
    </w:p>
    <w:p w:rsidRPr="009E72DF" w:rsidR="003707BD" w:rsidP="003707BD" w:rsidRDefault="003707BD" w14:paraId="2AB6257F"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3" w:id="73"/>
      <w:bookmarkStart w:name="_Toc158987001" w:id="74"/>
      <w:bookmarkStart w:name="_Toc158989090" w:id="75"/>
      <w:bookmarkStart w:name="_Toc158989160" w:id="76"/>
      <w:bookmarkStart w:name="_Toc198652021" w:id="77"/>
      <w:bookmarkStart w:name="_Toc198812762" w:id="78"/>
      <w:bookmarkStart w:name="_Toc198812778" w:id="79"/>
      <w:bookmarkStart w:name="_Toc199260749" w:id="80"/>
      <w:bookmarkStart w:name="_Toc199260820" w:id="81"/>
      <w:bookmarkStart w:name="_Toc203387653" w:id="82"/>
      <w:bookmarkStart w:name="_Toc203387669" w:id="83"/>
      <w:bookmarkStart w:name="_Toc203387687" w:id="84"/>
      <w:bookmarkStart w:name="_Toc203483006" w:id="85"/>
      <w:bookmarkStart w:name="_Toc205366471" w:id="86"/>
      <w:bookmarkStart w:name="_Toc205366646" w:id="8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Pr="009E72DF" w:rsidR="003707BD" w:rsidP="003707BD" w:rsidRDefault="003707BD" w14:paraId="28C93229"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4" w:id="88"/>
      <w:bookmarkStart w:name="_Toc158987002" w:id="89"/>
      <w:bookmarkStart w:name="_Toc158989091" w:id="90"/>
      <w:bookmarkStart w:name="_Toc158989161" w:id="91"/>
      <w:bookmarkStart w:name="_Toc198652022" w:id="92"/>
      <w:bookmarkStart w:name="_Toc198812763" w:id="93"/>
      <w:bookmarkStart w:name="_Toc198812779" w:id="94"/>
      <w:bookmarkStart w:name="_Toc199260750" w:id="95"/>
      <w:bookmarkStart w:name="_Toc199260821" w:id="96"/>
      <w:bookmarkStart w:name="_Toc203387654" w:id="97"/>
      <w:bookmarkStart w:name="_Toc203387670" w:id="98"/>
      <w:bookmarkStart w:name="_Toc203387688" w:id="99"/>
      <w:bookmarkStart w:name="_Toc203483007" w:id="100"/>
      <w:bookmarkStart w:name="_Toc205366472" w:id="101"/>
      <w:bookmarkStart w:name="_Toc205366647" w:id="10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Pr="004D372F" w:rsidR="003707BD" w:rsidP="003707BD" w:rsidRDefault="003707BD" w14:paraId="2C27BA5B" w14:textId="77777777">
      <w:pPr>
        <w:pStyle w:val="Heading2"/>
        <w:tabs>
          <w:tab w:val="left" w:pos="-1162"/>
          <w:tab w:val="left" w:pos="0"/>
        </w:tabs>
        <w:spacing w:line="240" w:lineRule="auto"/>
      </w:pPr>
      <w:bookmarkStart w:name="_Toc531336322" w:id="103"/>
      <w:bookmarkStart w:name="_Toc199260822" w:id="104"/>
      <w:bookmarkStart w:name="_Toc205366648" w:id="105"/>
      <w:r>
        <w:t>5.1</w:t>
      </w:r>
      <w:r>
        <w:tab/>
        <w:t>Relevantie voor Nederlandse BHOS-prioriteiten</w:t>
      </w:r>
      <w:bookmarkEnd w:id="103"/>
      <w:bookmarkEnd w:id="104"/>
      <w:bookmarkEnd w:id="105"/>
    </w:p>
    <w:p w:rsidRPr="00B8447B" w:rsidR="00B8447B" w:rsidP="00B8447B" w:rsidRDefault="00B8447B" w14:paraId="302768B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2"/>
        <w:gridCol w:w="1843"/>
      </w:tblGrid>
      <w:tr w:rsidR="002D5A57" w:rsidTr="00D15E6D" w14:paraId="22BB84F6" w14:textId="77777777">
        <w:tc>
          <w:tcPr>
            <w:tcW w:w="5382" w:type="dxa"/>
            <w:shd w:val="clear" w:color="auto" w:fill="D0CECE"/>
          </w:tcPr>
          <w:p w:rsidR="002D5A57" w:rsidP="00D15E6D" w:rsidRDefault="002D5A57" w14:paraId="35F12672" w14:textId="77777777">
            <w:r>
              <w:t>Beleidsprioriteiten</w:t>
            </w:r>
          </w:p>
        </w:tc>
        <w:tc>
          <w:tcPr>
            <w:tcW w:w="1843" w:type="dxa"/>
            <w:shd w:val="clear" w:color="auto" w:fill="D0CECE"/>
          </w:tcPr>
          <w:p w:rsidRPr="00D94DB4" w:rsidR="002D5A57" w:rsidP="00D15E6D" w:rsidRDefault="002D5A57" w14:paraId="7F5CB5E8" w14:textId="77777777">
            <w:pPr>
              <w:rPr>
                <w:b/>
              </w:rPr>
            </w:pPr>
          </w:p>
        </w:tc>
      </w:tr>
      <w:tr w:rsidR="002D5A57" w:rsidTr="00D15E6D" w14:paraId="423D859A" w14:textId="77777777">
        <w:tc>
          <w:tcPr>
            <w:tcW w:w="5382" w:type="dxa"/>
            <w:shd w:val="clear" w:color="auto" w:fill="auto"/>
          </w:tcPr>
          <w:p w:rsidR="002D5A57" w:rsidP="00D15E6D" w:rsidRDefault="002D5A57" w14:paraId="0EE898A1" w14:textId="77777777">
            <w:r>
              <w:t>Veiligheid</w:t>
            </w:r>
          </w:p>
        </w:tc>
        <w:tc>
          <w:tcPr>
            <w:tcW w:w="1843" w:type="dxa"/>
            <w:shd w:val="clear" w:color="auto" w:fill="auto"/>
          </w:tcPr>
          <w:p w:rsidR="002D5A57" w:rsidP="00D15E6D" w:rsidRDefault="002D5A57" w14:paraId="0C340201" w14:textId="77777777">
            <w:r>
              <w:t>Niet relevant</w:t>
            </w:r>
          </w:p>
        </w:tc>
      </w:tr>
      <w:tr w:rsidR="002D5A57" w:rsidTr="00D15E6D" w14:paraId="38729046" w14:textId="77777777">
        <w:tc>
          <w:tcPr>
            <w:tcW w:w="5382" w:type="dxa"/>
            <w:shd w:val="clear" w:color="auto" w:fill="auto"/>
          </w:tcPr>
          <w:p w:rsidRPr="00C84896" w:rsidR="002D5A57" w:rsidP="00D15E6D" w:rsidRDefault="002D5A57" w14:paraId="4D3B4959" w14:textId="77777777">
            <w:r>
              <w:t>Migratie (en opvang in de regio)</w:t>
            </w:r>
          </w:p>
        </w:tc>
        <w:tc>
          <w:tcPr>
            <w:tcW w:w="1843" w:type="dxa"/>
            <w:shd w:val="clear" w:color="auto" w:fill="auto"/>
          </w:tcPr>
          <w:p w:rsidR="002D5A57" w:rsidP="00D15E6D" w:rsidRDefault="002D5A57" w14:paraId="7679C474" w14:textId="77777777">
            <w:r>
              <w:t>Relevant</w:t>
            </w:r>
          </w:p>
        </w:tc>
      </w:tr>
      <w:tr w:rsidR="002D5A57" w:rsidTr="00D15E6D" w14:paraId="51CE5EAD" w14:textId="77777777">
        <w:tc>
          <w:tcPr>
            <w:tcW w:w="5382" w:type="dxa"/>
            <w:shd w:val="clear" w:color="auto" w:fill="auto"/>
          </w:tcPr>
          <w:p w:rsidR="002D5A57" w:rsidP="00D15E6D" w:rsidRDefault="002D5A57" w14:paraId="1E15AA45" w14:textId="77777777">
            <w:r w:rsidRPr="00C84896">
              <w:t>Handel (Private sector ontwikkeling)</w:t>
            </w:r>
          </w:p>
        </w:tc>
        <w:tc>
          <w:tcPr>
            <w:tcW w:w="1843" w:type="dxa"/>
            <w:shd w:val="clear" w:color="auto" w:fill="auto"/>
          </w:tcPr>
          <w:p w:rsidR="002D5A57" w:rsidP="00D15E6D" w:rsidRDefault="002D5A57" w14:paraId="4031CE91" w14:textId="77777777">
            <w:r>
              <w:t>Relevant</w:t>
            </w:r>
          </w:p>
        </w:tc>
      </w:tr>
      <w:tr w:rsidR="002D5A57" w:rsidTr="00D15E6D" w14:paraId="241EF038" w14:textId="77777777">
        <w:tc>
          <w:tcPr>
            <w:tcW w:w="5382" w:type="dxa"/>
            <w:shd w:val="clear" w:color="auto" w:fill="auto"/>
          </w:tcPr>
          <w:p w:rsidR="002D5A57" w:rsidP="00D15E6D" w:rsidRDefault="002D5A57" w14:paraId="7512F00E" w14:textId="77777777">
            <w:r>
              <w:t xml:space="preserve">Voedselzekerheid </w:t>
            </w:r>
          </w:p>
        </w:tc>
        <w:tc>
          <w:tcPr>
            <w:tcW w:w="1843" w:type="dxa"/>
            <w:shd w:val="clear" w:color="auto" w:fill="auto"/>
          </w:tcPr>
          <w:p w:rsidR="002D5A57" w:rsidP="00D15E6D" w:rsidRDefault="002D5A57" w14:paraId="729047C9" w14:textId="77777777">
            <w:r>
              <w:t>Zeer relevant</w:t>
            </w:r>
          </w:p>
        </w:tc>
      </w:tr>
      <w:tr w:rsidR="002D5A57" w:rsidTr="00D15E6D" w14:paraId="60DED0D3" w14:textId="77777777">
        <w:tc>
          <w:tcPr>
            <w:tcW w:w="5382" w:type="dxa"/>
            <w:shd w:val="clear" w:color="auto" w:fill="auto"/>
          </w:tcPr>
          <w:p w:rsidR="002D5A57" w:rsidP="00D15E6D" w:rsidRDefault="002D5A57" w14:paraId="51F2541B" w14:textId="77777777">
            <w:r>
              <w:t xml:space="preserve">Water </w:t>
            </w:r>
          </w:p>
        </w:tc>
        <w:tc>
          <w:tcPr>
            <w:tcW w:w="1843" w:type="dxa"/>
            <w:shd w:val="clear" w:color="auto" w:fill="auto"/>
          </w:tcPr>
          <w:p w:rsidR="002D5A57" w:rsidP="00D15E6D" w:rsidRDefault="002D5A57" w14:paraId="58917FC0" w14:textId="77777777">
            <w:r>
              <w:t>Relevant</w:t>
            </w:r>
          </w:p>
        </w:tc>
      </w:tr>
      <w:tr w:rsidR="002D5A57" w:rsidTr="00D15E6D" w14:paraId="2BA58714" w14:textId="77777777">
        <w:tc>
          <w:tcPr>
            <w:tcW w:w="5382" w:type="dxa"/>
            <w:shd w:val="clear" w:color="auto" w:fill="auto"/>
          </w:tcPr>
          <w:p w:rsidRPr="00643545" w:rsidR="002D5A57" w:rsidP="00D15E6D" w:rsidRDefault="002D5A57" w14:paraId="5EFE13F4" w14:textId="77777777">
            <w:pPr>
              <w:pStyle w:val="Heading4"/>
              <w:spacing w:before="0" w:line="240" w:lineRule="auto"/>
              <w:rPr>
                <w:sz w:val="22"/>
                <w:szCs w:val="22"/>
              </w:rPr>
            </w:pPr>
            <w:r>
              <w:t>Gezondheid</w:t>
            </w:r>
          </w:p>
        </w:tc>
        <w:tc>
          <w:tcPr>
            <w:tcW w:w="1843" w:type="dxa"/>
            <w:shd w:val="clear" w:color="auto" w:fill="auto"/>
          </w:tcPr>
          <w:p w:rsidR="002D5A57" w:rsidP="00D15E6D" w:rsidRDefault="002D5A57" w14:paraId="545067A8" w14:textId="77777777">
            <w:r>
              <w:t>Niet relevant</w:t>
            </w:r>
          </w:p>
        </w:tc>
      </w:tr>
      <w:tr w:rsidR="002D5A57" w:rsidTr="00D15E6D" w14:paraId="65885656" w14:textId="77777777">
        <w:tc>
          <w:tcPr>
            <w:tcW w:w="5382" w:type="dxa"/>
            <w:shd w:val="clear" w:color="auto" w:fill="auto"/>
          </w:tcPr>
          <w:p w:rsidR="002D5A57" w:rsidP="00D15E6D" w:rsidRDefault="002D5A57" w14:paraId="083BC517" w14:textId="77777777">
            <w:r>
              <w:t xml:space="preserve">Noodhulp </w:t>
            </w:r>
          </w:p>
        </w:tc>
        <w:tc>
          <w:tcPr>
            <w:tcW w:w="1843" w:type="dxa"/>
            <w:shd w:val="clear" w:color="auto" w:fill="auto"/>
          </w:tcPr>
          <w:p w:rsidR="002D5A57" w:rsidP="00D15E6D" w:rsidRDefault="002D5A57" w14:paraId="7804A705" w14:textId="77777777">
            <w:r>
              <w:t>Zeer relevant</w:t>
            </w:r>
          </w:p>
        </w:tc>
      </w:tr>
    </w:tbl>
    <w:p w:rsidR="00984EFB" w:rsidP="00C4103B" w:rsidRDefault="00984EFB" w14:paraId="30D7A42B" w14:textId="77777777"/>
    <w:p w:rsidR="0087640E" w:rsidP="00C4103B" w:rsidRDefault="00F13172" w14:paraId="30DC67D9" w14:textId="77777777">
      <w:r w:rsidRPr="0087640E">
        <w:rPr>
          <w:b/>
          <w:bCs/>
        </w:rPr>
        <w:t>Veiligheid</w:t>
      </w:r>
      <w:r>
        <w:t xml:space="preserve"> </w:t>
      </w:r>
    </w:p>
    <w:p w:rsidR="00523BBF" w:rsidP="00C4103B" w:rsidRDefault="00C550B4" w14:paraId="6AC8C29B" w14:textId="329122F9">
      <w:r w:rsidRPr="00C550B4">
        <w:rPr>
          <w:i/>
          <w:iCs/>
        </w:rPr>
        <w:t xml:space="preserve">Zeer </w:t>
      </w:r>
      <w:r w:rsidR="00C10EC1">
        <w:rPr>
          <w:i/>
          <w:iCs/>
        </w:rPr>
        <w:t xml:space="preserve">Relevant. </w:t>
      </w:r>
      <w:r w:rsidR="00C10EC1">
        <w:t>De EBRD heeft in haar statuten een fundamentele verbintenis aan veiligheid, rechtsorde en democratische principes. Deze verbintenis is vastgelegd in Artikel 1 van het oprichtingsverdrag</w:t>
      </w:r>
      <w:r w:rsidR="00C10EC1">
        <w:rPr>
          <w:rStyle w:val="FootnoteReference"/>
        </w:rPr>
        <w:footnoteReference w:id="11"/>
      </w:r>
      <w:r w:rsidR="00C10EC1">
        <w:t xml:space="preserve"> van de Bank. In dit Artikel wordt onder meer uiteengezet dat de bank opereert in landen die zich inzetten voor en vooruitgang boeken met het toepassen van democratie, pluralisme en markteconomie. Met andere woorden: de EBRD mag alleen actief zijn in landen die zich committeren aan democratische principes, mensenrechten en de rechtstaat. Dit vormt de kern van het politiek mandaat van </w:t>
      </w:r>
      <w:r w:rsidR="008648B2">
        <w:t xml:space="preserve">de </w:t>
      </w:r>
      <w:r w:rsidR="00C10EC1">
        <w:t xml:space="preserve">Bank. </w:t>
      </w:r>
      <w:r w:rsidRPr="007B18E8" w:rsidR="007B1702">
        <w:t>Hoewel de EBRD geen klassieke veiligheidsorganisatie is zoals de NAVO of de VN, levert zij wél een belangrijke bijdrage aan stabiliteit door in haar operatielanden via investeringsbeleid en beleidsdialoog de rechtsorde en goed bestuur te versterken – essentiële bouwstenen voor duurzame economische ontwikkeling en veerkracht</w:t>
      </w:r>
    </w:p>
    <w:p w:rsidR="00753443" w:rsidP="00C4103B" w:rsidRDefault="00523BBF" w14:paraId="758C34D0" w14:textId="3A21AC09">
      <w:r>
        <w:t>Daarnaast</w:t>
      </w:r>
      <w:r w:rsidR="00753443">
        <w:t xml:space="preserve"> is het </w:t>
      </w:r>
      <w:r>
        <w:t>huidige</w:t>
      </w:r>
      <w:r w:rsidR="00753443">
        <w:t xml:space="preserve"> werk van de EBRD essentieel voor de Europese veiligheid door de steun die het geeft aan Oekraïne. Zo speelt de Bank een belangrijke rol </w:t>
      </w:r>
      <w:r>
        <w:t>via</w:t>
      </w:r>
      <w:r w:rsidR="00753443">
        <w:t xml:space="preserve"> invester</w:t>
      </w:r>
      <w:r>
        <w:t>ingen in</w:t>
      </w:r>
      <w:r w:rsidR="00753443">
        <w:t xml:space="preserve"> vitale sectoren van de Oekraïense economie, zoals energie, infrastructuur, landbouw en het bankwezen. Dit helpt Oekraïne economisch overeind te blijven in tijden van oorlog</w:t>
      </w:r>
      <w:r>
        <w:t xml:space="preserve"> en de gevolgen van de bewuste Russische aanvallen op de energie</w:t>
      </w:r>
      <w:r w:rsidR="00697C09">
        <w:t>-</w:t>
      </w:r>
      <w:r>
        <w:t>infrastructuur te mitigeren</w:t>
      </w:r>
      <w:r w:rsidR="00753443">
        <w:t>. Daar</w:t>
      </w:r>
      <w:r>
        <w:t>mee</w:t>
      </w:r>
      <w:r w:rsidR="00753443">
        <w:t xml:space="preserve"> speelt de Bank een belangrijke rol </w:t>
      </w:r>
      <w:r>
        <w:t>voor</w:t>
      </w:r>
      <w:r w:rsidR="00753443">
        <w:t xml:space="preserve"> de energiezekerheid van het land en helpt </w:t>
      </w:r>
      <w:r w:rsidR="00F34C83">
        <w:t>Oekraïne</w:t>
      </w:r>
      <w:r w:rsidR="00753443">
        <w:t xml:space="preserve"> onafhankelijker te worden van Russische energie. Voort</w:t>
      </w:r>
      <w:r>
        <w:t>s</w:t>
      </w:r>
      <w:r w:rsidR="00753443">
        <w:t xml:space="preserve"> helpt de EBRD </w:t>
      </w:r>
      <w:r w:rsidR="00F34C83">
        <w:t>Oekraïne</w:t>
      </w:r>
      <w:r w:rsidR="00753443">
        <w:t xml:space="preserve"> bij het versterken van </w:t>
      </w:r>
      <w:proofErr w:type="spellStart"/>
      <w:r w:rsidRPr="00F34C83" w:rsidR="00753443">
        <w:rPr>
          <w:i/>
          <w:iCs/>
        </w:rPr>
        <w:t>governance</w:t>
      </w:r>
      <w:proofErr w:type="spellEnd"/>
      <w:r w:rsidR="00753443">
        <w:t xml:space="preserve">, transparantie en hervorming van de publieke sector. Hierdoor neemt de kans op corruptie af en vergroot het land </w:t>
      </w:r>
      <w:r>
        <w:t>zijn</w:t>
      </w:r>
      <w:r w:rsidR="00753443">
        <w:t xml:space="preserve"> veerkracht. </w:t>
      </w:r>
    </w:p>
    <w:p w:rsidR="00DE59AF" w:rsidP="00C4103B" w:rsidRDefault="00DE59AF" w14:paraId="610C6493" w14:textId="77777777">
      <w:pPr>
        <w:rPr>
          <w:b/>
          <w:bCs/>
        </w:rPr>
      </w:pPr>
    </w:p>
    <w:p w:rsidR="0087640E" w:rsidP="008F4C32" w:rsidRDefault="008F4C32" w14:paraId="2531D736" w14:textId="77777777">
      <w:r w:rsidRPr="0087640E">
        <w:rPr>
          <w:b/>
          <w:bCs/>
        </w:rPr>
        <w:t>Migratie (en opvang in de regio)</w:t>
      </w:r>
    </w:p>
    <w:p w:rsidRPr="00CD033D" w:rsidR="008F4C32" w:rsidP="008F4C32" w:rsidRDefault="008F4C32" w14:paraId="7DBFC4D3" w14:textId="278BDB18">
      <w:r>
        <w:rPr>
          <w:i/>
          <w:iCs/>
        </w:rPr>
        <w:t>Relevant</w:t>
      </w:r>
      <w:r>
        <w:t xml:space="preserve">. De EBRD ondersteunt opvang in de regio, bijvoorbeeld voor de vluchtelingen uit Oekraïne als gevolg van de oorlog. Dit doet de Bank door het bevorderen van huisvesting en economische integratie van vluchtelingen binnen gastgemeenschappen. Zo investeert de Bank in projecten voor de bouw van betaalbare huurwoningen in Poolse steden met een grote instroom van Oekraïense vluchtelingen zoals Warschau en Krakau. Daarnaast werkt de EBRD aan het versterken van lokale infrastructuur en diensten om de veerkracht van gastgemeenschappen te vergroten, zodat zij beter kunnen omgaan met de gevolgen van vluchtelingeninstroom. </w:t>
      </w:r>
    </w:p>
    <w:p w:rsidR="008F4C32" w:rsidP="00C4103B" w:rsidRDefault="008F4C32" w14:paraId="5D6B43E1" w14:textId="77777777">
      <w:pPr>
        <w:rPr>
          <w:b/>
          <w:bCs/>
        </w:rPr>
      </w:pPr>
    </w:p>
    <w:p w:rsidRPr="0087640E" w:rsidR="0087640E" w:rsidP="00C4103B" w:rsidRDefault="006315A0" w14:paraId="53EC8792" w14:textId="77777777">
      <w:pPr>
        <w:rPr>
          <w:b/>
          <w:bCs/>
        </w:rPr>
      </w:pPr>
      <w:r w:rsidRPr="0087640E">
        <w:rPr>
          <w:b/>
          <w:bCs/>
        </w:rPr>
        <w:t>Handel (p</w:t>
      </w:r>
      <w:r w:rsidRPr="0087640E" w:rsidR="00984EFB">
        <w:rPr>
          <w:b/>
          <w:bCs/>
        </w:rPr>
        <w:t>rivate sector ontwikkelin</w:t>
      </w:r>
      <w:r w:rsidRPr="0087640E">
        <w:rPr>
          <w:b/>
          <w:bCs/>
        </w:rPr>
        <w:t>g</w:t>
      </w:r>
      <w:r w:rsidRPr="0087640E" w:rsidR="0087640E">
        <w:rPr>
          <w:b/>
          <w:bCs/>
        </w:rPr>
        <w:t>)</w:t>
      </w:r>
    </w:p>
    <w:p w:rsidR="00984EFB" w:rsidP="00C4103B" w:rsidRDefault="00984EFB" w14:paraId="37D48178" w14:textId="222A82E6">
      <w:r>
        <w:rPr>
          <w:i/>
          <w:iCs/>
        </w:rPr>
        <w:t>Zeer relevant</w:t>
      </w:r>
      <w:r>
        <w:t xml:space="preserve">. </w:t>
      </w:r>
      <w:r w:rsidR="00476574">
        <w:t xml:space="preserve">De EBRD is opgericht met als kernmandaat het ondersteunen van de </w:t>
      </w:r>
      <w:r w:rsidR="006578A0">
        <w:t>transitie</w:t>
      </w:r>
      <w:r w:rsidR="00476574">
        <w:t xml:space="preserve"> naar een markteconomie in landen in Europa, Azië en Noord-Afrika. </w:t>
      </w:r>
      <w:r w:rsidR="00BF563D">
        <w:t xml:space="preserve">De bank richt zich daarbij in het bijzonder op de ontwikkeling van de private sector, </w:t>
      </w:r>
      <w:r w:rsidR="00BF563D">
        <w:lastRenderedPageBreak/>
        <w:t>omdat deze wordt beschouwd als de motor voor economi</w:t>
      </w:r>
      <w:r w:rsidR="00A67533">
        <w:t>sch</w:t>
      </w:r>
      <w:r w:rsidR="00BF563D">
        <w:t xml:space="preserve">e groei, innovatie, werkgelegenheid en welvaart. </w:t>
      </w:r>
      <w:r w:rsidR="00EF23D2">
        <w:t>De EBRD is uniek onder de internationale ontwikkelingsbanken</w:t>
      </w:r>
      <w:r w:rsidR="00C550B4">
        <w:t>,</w:t>
      </w:r>
      <w:r w:rsidR="00EF23D2">
        <w:t xml:space="preserve"> omdat zij expliciet tot doel heeft markteconomieën te versterken en democratische principes te bevorderen. De Bank ondersteunt private sector ontwikkeling door een mix van financiering, technische assistentie en beleidsdialoog.</w:t>
      </w:r>
      <w:r w:rsidR="00297270">
        <w:t xml:space="preserve"> </w:t>
      </w:r>
      <w:r w:rsidR="004E004C">
        <w:t>Sinds haar oprichting heeft de EBRD ruim EUR 180 miljard geïnvesteerd in meer dan 6500 projecten, waarvan circa 80% in de private sector (doelstelling van de Bank is minimaal 75%)</w:t>
      </w:r>
      <w:r w:rsidR="00766106">
        <w:t xml:space="preserve"> waarmee ook de handel met deze landen wordt gestimuleerd.</w:t>
      </w:r>
    </w:p>
    <w:p w:rsidR="00B932C3" w:rsidP="00C4103B" w:rsidRDefault="00B932C3" w14:paraId="1AE385DB" w14:textId="77777777"/>
    <w:p w:rsidR="0087640E" w:rsidP="00C4103B" w:rsidRDefault="002210FF" w14:paraId="3CFDD948" w14:textId="77777777">
      <w:r w:rsidRPr="0087640E">
        <w:rPr>
          <w:b/>
          <w:bCs/>
        </w:rPr>
        <w:t>Voedselzekerheid</w:t>
      </w:r>
    </w:p>
    <w:p w:rsidR="00B932C3" w:rsidP="00C4103B" w:rsidRDefault="002210FF" w14:paraId="10182731" w14:textId="159CD757">
      <w:r>
        <w:rPr>
          <w:i/>
          <w:iCs/>
        </w:rPr>
        <w:t>Relevant</w:t>
      </w:r>
      <w:r>
        <w:t xml:space="preserve">. </w:t>
      </w:r>
      <w:r w:rsidRPr="006C24D1" w:rsidR="006C24D1">
        <w:t xml:space="preserve">De EBRD heeft een </w:t>
      </w:r>
      <w:r w:rsidRPr="006C24D1" w:rsidR="006C24D1">
        <w:rPr>
          <w:i/>
          <w:iCs/>
        </w:rPr>
        <w:t xml:space="preserve">Food </w:t>
      </w:r>
      <w:proofErr w:type="spellStart"/>
      <w:r w:rsidRPr="006C24D1" w:rsidR="006C24D1">
        <w:rPr>
          <w:i/>
          <w:iCs/>
        </w:rPr>
        <w:t>and</w:t>
      </w:r>
      <w:proofErr w:type="spellEnd"/>
      <w:r w:rsidRPr="006C24D1" w:rsidR="006C24D1">
        <w:rPr>
          <w:i/>
          <w:iCs/>
        </w:rPr>
        <w:t xml:space="preserve"> </w:t>
      </w:r>
      <w:proofErr w:type="spellStart"/>
      <w:r w:rsidRPr="006C24D1" w:rsidR="006C24D1">
        <w:rPr>
          <w:i/>
          <w:iCs/>
        </w:rPr>
        <w:t>Agribusiness</w:t>
      </w:r>
      <w:proofErr w:type="spellEnd"/>
      <w:r w:rsidRPr="006C24D1" w:rsidR="006C24D1">
        <w:rPr>
          <w:i/>
          <w:iCs/>
        </w:rPr>
        <w:t xml:space="preserve"> </w:t>
      </w:r>
      <w:proofErr w:type="spellStart"/>
      <w:r w:rsidRPr="006C24D1" w:rsidR="006C24D1">
        <w:rPr>
          <w:i/>
          <w:iCs/>
        </w:rPr>
        <w:t>Strategy</w:t>
      </w:r>
      <w:proofErr w:type="spellEnd"/>
      <w:r w:rsidRPr="006C24D1" w:rsidR="006C24D1">
        <w:t xml:space="preserve"> </w:t>
      </w:r>
      <w:r w:rsidRPr="006C24D1" w:rsidR="006C24D1">
        <w:rPr>
          <w:i/>
          <w:iCs/>
        </w:rPr>
        <w:t>2025</w:t>
      </w:r>
      <w:r w:rsidR="006C24D1">
        <w:rPr>
          <w:rStyle w:val="FootnoteReference"/>
          <w:i/>
          <w:iCs/>
        </w:rPr>
        <w:footnoteReference w:id="12"/>
      </w:r>
      <w:r w:rsidRPr="006C24D1" w:rsidR="006C24D1">
        <w:t xml:space="preserve"> waarin sterk de</w:t>
      </w:r>
      <w:r w:rsidR="006C24D1">
        <w:t xml:space="preserve"> nadruk wordt gelegd op voedselzekerheid in het licht van wereldwijde schokken zoals de COVID-crisis en de oorlog in </w:t>
      </w:r>
      <w:r w:rsidR="002267E5">
        <w:t>Oekraïne</w:t>
      </w:r>
      <w:r w:rsidR="006C24D1">
        <w:t xml:space="preserve">. De strategie onderstreept het belang van </w:t>
      </w:r>
      <w:r w:rsidR="002267E5">
        <w:t xml:space="preserve">duurzame en veerkrachtige voedselsystemen. Via investeringen en beleidsdialogen draagt de EBRD bij aan verbeterde toegang tot voedsel, </w:t>
      </w:r>
      <w:r w:rsidR="00AE0CDB">
        <w:t>efficiëntere</w:t>
      </w:r>
      <w:r w:rsidR="002267E5">
        <w:t xml:space="preserve"> voedselproductie en minder verspilling. </w:t>
      </w:r>
    </w:p>
    <w:p w:rsidR="00CE346A" w:rsidP="00C4103B" w:rsidRDefault="00CE346A" w14:paraId="698FD895" w14:textId="77777777"/>
    <w:p w:rsidR="0087640E" w:rsidP="00C4103B" w:rsidRDefault="00CE346A" w14:paraId="66FD04D6" w14:textId="77777777">
      <w:r w:rsidRPr="0087640E">
        <w:rPr>
          <w:b/>
          <w:bCs/>
        </w:rPr>
        <w:t>Water</w:t>
      </w:r>
    </w:p>
    <w:p w:rsidRPr="00F94551" w:rsidR="00CE346A" w:rsidP="00C4103B" w:rsidRDefault="008C7E99" w14:paraId="70AA8EBE" w14:textId="7CB2809D">
      <w:r>
        <w:rPr>
          <w:i/>
          <w:iCs/>
        </w:rPr>
        <w:t>Relevant</w:t>
      </w:r>
      <w:r w:rsidR="00CE346A">
        <w:t xml:space="preserve">. </w:t>
      </w:r>
      <w:r w:rsidR="00E7699E">
        <w:t xml:space="preserve">De EBRD speelt een actieve rol in het verbeteren van waterbeheer en waterzekerheid in haar operatielanden. </w:t>
      </w:r>
      <w:r w:rsidR="00F94551">
        <w:t xml:space="preserve">Zo ondersteunt de EBRD de modernisering van integratiesystemen om water verlies te beperken, opbrengsten te verhogen en klimaatbestendige landbouw te stimuleren. Via het zogenaamde </w:t>
      </w:r>
      <w:proofErr w:type="spellStart"/>
      <w:r w:rsidR="00F94551">
        <w:rPr>
          <w:i/>
          <w:iCs/>
        </w:rPr>
        <w:t>Agrifood</w:t>
      </w:r>
      <w:proofErr w:type="spellEnd"/>
      <w:r w:rsidR="00F94551">
        <w:rPr>
          <w:i/>
          <w:iCs/>
        </w:rPr>
        <w:t xml:space="preserve"> Nexus </w:t>
      </w:r>
      <w:proofErr w:type="spellStart"/>
      <w:r w:rsidR="00F94551">
        <w:rPr>
          <w:i/>
          <w:iCs/>
        </w:rPr>
        <w:t>Programme</w:t>
      </w:r>
      <w:proofErr w:type="spellEnd"/>
      <w:r w:rsidR="00F94551">
        <w:t xml:space="preserve"> in Centraal-Azië helpt de EBRD bedrijven in de landbouwsector om efficiënter om te gaan met water en energie met behulp van nieuwe technologieën en technische assistentie.</w:t>
      </w:r>
      <w:r w:rsidR="00F94551">
        <w:rPr>
          <w:rStyle w:val="FootnoteReference"/>
        </w:rPr>
        <w:footnoteReference w:id="13"/>
      </w:r>
      <w:r w:rsidR="00F94551">
        <w:t xml:space="preserve"> </w:t>
      </w:r>
      <w:r w:rsidR="00EC56FD">
        <w:t>De EBRD investeert bijvoorbeeld ook in waterzuiveringsinstallaties en netwerken voor drinkwater en riolering, vooral in steden in Oost-Europa, Centraal-</w:t>
      </w:r>
      <w:r w:rsidR="0004048A">
        <w:t>Azië</w:t>
      </w:r>
      <w:r w:rsidR="00EC56FD">
        <w:t xml:space="preserve"> en de SEMED-regio (Zuid- en Oostmediterrane regio). </w:t>
      </w:r>
    </w:p>
    <w:p w:rsidR="00C550B4" w:rsidP="00C4103B" w:rsidRDefault="00C550B4" w14:paraId="085FC1A2" w14:textId="77777777"/>
    <w:p w:rsidR="0087640E" w:rsidP="00C4103B" w:rsidRDefault="003E231E" w14:paraId="693AEED7" w14:textId="77777777">
      <w:pPr>
        <w:rPr>
          <w:b/>
          <w:bCs/>
        </w:rPr>
      </w:pPr>
      <w:r w:rsidRPr="0087640E">
        <w:rPr>
          <w:b/>
          <w:bCs/>
        </w:rPr>
        <w:t>Gezondheid</w:t>
      </w:r>
    </w:p>
    <w:p w:rsidR="00523546" w:rsidP="00C4103B" w:rsidRDefault="003E231E" w14:paraId="534FC290" w14:textId="38D1A12C">
      <w:r w:rsidRPr="00C952D3">
        <w:rPr>
          <w:i/>
          <w:iCs/>
        </w:rPr>
        <w:t>Beperkt relevant</w:t>
      </w:r>
      <w:r>
        <w:t xml:space="preserve">. </w:t>
      </w:r>
      <w:r w:rsidRPr="00FF314A" w:rsidR="00FF314A">
        <w:t xml:space="preserve">Gezondheidszorg is binnen de EBRD geen expliciet </w:t>
      </w:r>
      <w:proofErr w:type="spellStart"/>
      <w:r w:rsidRPr="00FF314A" w:rsidR="00FF314A">
        <w:rPr>
          <w:i/>
          <w:iCs/>
        </w:rPr>
        <w:t>core</w:t>
      </w:r>
      <w:proofErr w:type="spellEnd"/>
      <w:r w:rsidRPr="00FF314A" w:rsidR="00FF314A">
        <w:rPr>
          <w:i/>
          <w:iCs/>
        </w:rPr>
        <w:t xml:space="preserve"> thema</w:t>
      </w:r>
      <w:r w:rsidRPr="00FF314A" w:rsidR="00FF314A">
        <w:t xml:space="preserve"> zoals klimaat, duurzaamheid of gendergelijkheid. Wel wordt gezondheidszorg ondersteund binnen bredere strategische kaders, zoals de </w:t>
      </w:r>
      <w:r w:rsidRPr="00EE7E82" w:rsidR="00FF314A">
        <w:rPr>
          <w:i/>
          <w:iCs/>
        </w:rPr>
        <w:t xml:space="preserve">Gender </w:t>
      </w:r>
      <w:proofErr w:type="spellStart"/>
      <w:r w:rsidRPr="00EE7E82" w:rsidR="00FF314A">
        <w:rPr>
          <w:i/>
          <w:iCs/>
        </w:rPr>
        <w:t>Equality</w:t>
      </w:r>
      <w:proofErr w:type="spellEnd"/>
      <w:r w:rsidRPr="00EE7E82" w:rsidR="00FF314A">
        <w:rPr>
          <w:i/>
          <w:iCs/>
        </w:rPr>
        <w:t xml:space="preserve"> </w:t>
      </w:r>
      <w:proofErr w:type="spellStart"/>
      <w:r w:rsidRPr="00EE7E82" w:rsidR="00FF314A">
        <w:rPr>
          <w:i/>
          <w:iCs/>
        </w:rPr>
        <w:t>Strategy</w:t>
      </w:r>
      <w:proofErr w:type="spellEnd"/>
      <w:r w:rsidRPr="00FF314A" w:rsidR="00FF314A">
        <w:t xml:space="preserve"> en de </w:t>
      </w:r>
      <w:proofErr w:type="spellStart"/>
      <w:r w:rsidRPr="00EE7E82" w:rsidR="00FF314A">
        <w:rPr>
          <w:i/>
          <w:iCs/>
        </w:rPr>
        <w:t>Equality</w:t>
      </w:r>
      <w:proofErr w:type="spellEnd"/>
      <w:r w:rsidRPr="00EE7E82" w:rsidR="00FF314A">
        <w:rPr>
          <w:i/>
          <w:iCs/>
        </w:rPr>
        <w:t xml:space="preserve"> of Opportunity </w:t>
      </w:r>
      <w:proofErr w:type="spellStart"/>
      <w:r w:rsidRPr="00EE7E82" w:rsidR="00FF314A">
        <w:rPr>
          <w:i/>
          <w:iCs/>
        </w:rPr>
        <w:t>Strategy</w:t>
      </w:r>
      <w:proofErr w:type="spellEnd"/>
      <w:r w:rsidRPr="00FF314A" w:rsidR="00FF314A">
        <w:t>. Deze strategieën richten zich onder andere op het verbeteren van de toegang tot zorg, bijvoorbeeld door het verminderen van onbetaalde zorgtaken die vaak op vrouwen rusten. Hoewel de EBRD projecten in de gezondheidszorg ondersteunt — bijvoorbeeld via publiek-private samenwerkingen (</w:t>
      </w:r>
      <w:proofErr w:type="spellStart"/>
      <w:r w:rsidRPr="00FF314A" w:rsidR="00FF314A">
        <w:t>PPP’s</w:t>
      </w:r>
      <w:proofErr w:type="spellEnd"/>
      <w:r w:rsidRPr="00FF314A" w:rsidR="00FF314A">
        <w:t>) — blijft de institutionele verankering en strategische focus op gezondheidszorg beperkt.</w:t>
      </w:r>
    </w:p>
    <w:p w:rsidR="003E231E" w:rsidP="00C4103B" w:rsidRDefault="003E231E" w14:paraId="1425C72A" w14:textId="77777777"/>
    <w:p w:rsidR="0087640E" w:rsidP="00C4103B" w:rsidRDefault="009F1810" w14:paraId="7393AD80" w14:textId="77777777">
      <w:r w:rsidRPr="0087640E">
        <w:rPr>
          <w:b/>
          <w:bCs/>
        </w:rPr>
        <w:t>Noodhulp</w:t>
      </w:r>
    </w:p>
    <w:p w:rsidRPr="00FC6A06" w:rsidR="004F110E" w:rsidP="00C4103B" w:rsidRDefault="009F1810" w14:paraId="0BE8BEF5" w14:textId="07FA69F4">
      <w:r>
        <w:rPr>
          <w:i/>
          <w:iCs/>
        </w:rPr>
        <w:t>Relevant</w:t>
      </w:r>
      <w:r>
        <w:t xml:space="preserve">. </w:t>
      </w:r>
      <w:r w:rsidR="00FF64A0">
        <w:t>De EBRD is geen klassieke humanitaire organisatie, maar verleent wel noodhulp in crisissituaties in haar operatielanden. Deze noodhulp is gericht op het behoud</w:t>
      </w:r>
      <w:r w:rsidR="00A67533">
        <w:t xml:space="preserve"> en</w:t>
      </w:r>
      <w:r w:rsidR="00FF64A0">
        <w:t xml:space="preserve"> herstel van markten, ondersteuning van de weerbaarheid van de private sector en het behoud van economische structuren. </w:t>
      </w:r>
      <w:r w:rsidR="00526EEB">
        <w:t xml:space="preserve">De EBRD richt zich in acute crisis (COVID-crisis, oorlog in Oekraïne, aardbevingen in Turkije en Marokko en de Nagorno-Karabach crisis) op het verschaffen van (versnelde) financiële instrumenten. De EBRD richt zich, in het geval van Oekraïne, bijvoorbeeld ook op het herstel van essentiële infrastructuur zoals elektriciteitsnetten, transportlogistiek (havens en spoorwegen) en graaninfrastructuur. </w:t>
      </w:r>
      <w:r w:rsidR="007B1702">
        <w:t xml:space="preserve">Nederland ziet de steun aan </w:t>
      </w:r>
      <w:r w:rsidR="007B1702">
        <w:lastRenderedPageBreak/>
        <w:t xml:space="preserve">Oekraïne als zeer belangrijk en accepteert daarmee risico’s die inherent zijn aan een oorlogssituatie. </w:t>
      </w:r>
      <w:r w:rsidR="00E14F8E">
        <w:t xml:space="preserve">Sinds 2022 heeft de EBRD bijna EUR 7 miljard </w:t>
      </w:r>
      <w:r w:rsidR="001D4F8D">
        <w:t>geïnvesteerd</w:t>
      </w:r>
      <w:r w:rsidR="00E14F8E">
        <w:t xml:space="preserve"> in </w:t>
      </w:r>
      <w:r w:rsidR="001D4F8D">
        <w:t>Oekraïne</w:t>
      </w:r>
      <w:r w:rsidR="00E14F8E">
        <w:t>. In 2024 investeerde de EBRD EUR 2,4 miljard</w:t>
      </w:r>
      <w:r w:rsidR="007B1702">
        <w:t>, een recordbedrag voor de Bank</w:t>
      </w:r>
      <w:r w:rsidR="00E14F8E">
        <w:t xml:space="preserve">. De </w:t>
      </w:r>
      <w:r w:rsidR="007B1702">
        <w:t xml:space="preserve">EBRD </w:t>
      </w:r>
      <w:r w:rsidR="00E14F8E">
        <w:t xml:space="preserve">verwacht dit bedrag op te hogen naar minimaal EUR 3 miljard per jaar tijdens de wederopbouwfase. </w:t>
      </w:r>
    </w:p>
    <w:p w:rsidR="003707BD" w:rsidP="003707BD" w:rsidRDefault="003707BD" w14:paraId="36828A53" w14:textId="77777777">
      <w:pPr>
        <w:pStyle w:val="Heading2"/>
        <w:tabs>
          <w:tab w:val="left" w:pos="-1162"/>
          <w:tab w:val="left" w:pos="0"/>
        </w:tabs>
        <w:spacing w:line="240" w:lineRule="auto"/>
      </w:pPr>
      <w:bookmarkStart w:name="_Toc410140912" w:id="106"/>
      <w:bookmarkStart w:name="_Toc531336323" w:id="107"/>
      <w:bookmarkStart w:name="_Toc199260823" w:id="108"/>
      <w:bookmarkStart w:name="_Toc205366649" w:id="109"/>
      <w:r>
        <w:t>5.2</w:t>
      </w:r>
      <w:r>
        <w:tab/>
        <w:t>Overige relevantie</w:t>
      </w:r>
      <w:bookmarkEnd w:id="106"/>
      <w:bookmarkEnd w:id="107"/>
      <w:bookmarkEnd w:id="108"/>
      <w:bookmarkEnd w:id="109"/>
      <w:r>
        <w:t xml:space="preserve"> </w:t>
      </w:r>
    </w:p>
    <w:p w:rsidR="009127F7" w:rsidP="009127F7" w:rsidRDefault="009127F7" w14:paraId="6A3103C8" w14:textId="77777777"/>
    <w:p w:rsidR="0043641A" w:rsidP="009127F7" w:rsidRDefault="0043641A" w14:paraId="19FC0620" w14:textId="4326891B">
      <w:r w:rsidRPr="0087640E">
        <w:rPr>
          <w:b/>
          <w:bCs/>
        </w:rPr>
        <w:t>Regionale integratie</w:t>
      </w:r>
      <w:r w:rsidR="007C7B47">
        <w:rPr>
          <w:i/>
          <w:iCs/>
        </w:rPr>
        <w:t xml:space="preserve"> Zeer relevant. </w:t>
      </w:r>
      <w:r w:rsidRPr="0043641A">
        <w:t xml:space="preserve">De EBRD ziet regionale </w:t>
      </w:r>
      <w:r>
        <w:t>integratie als een strategisch speerpunt omdat open, onderling verbonden economieën de basis vormen voor handel, politieke stabiliteit en schaalvoordelen. Regionale samenwerking is met name belangrijk voor kleinere of geïsoleerde landen in Centraal-Azië, Oost-Europa of de Westelijke Balkan om toegang te krijgen tot markten</w:t>
      </w:r>
      <w:r w:rsidR="00A67533">
        <w:t>,</w:t>
      </w:r>
      <w:r>
        <w:t xml:space="preserve"> energie en kapitaal. Om hier aan bij te dragen investeert de EBRD bijvoorbeeld in spoorwegen, havens en logistieke corridors om landen fysiek met elkaar te verbinden. </w:t>
      </w:r>
      <w:r w:rsidR="00616BC8">
        <w:t xml:space="preserve">Nog belangrijker hierbij is de beleidsdialoog die de EBRD met partijen voert. </w:t>
      </w:r>
      <w:r>
        <w:t xml:space="preserve">Ook kent de Bank het zogenaamde </w:t>
      </w:r>
      <w:r>
        <w:rPr>
          <w:i/>
          <w:iCs/>
        </w:rPr>
        <w:t xml:space="preserve">Trade </w:t>
      </w:r>
      <w:proofErr w:type="spellStart"/>
      <w:r>
        <w:rPr>
          <w:i/>
          <w:iCs/>
        </w:rPr>
        <w:t>Facilitation</w:t>
      </w:r>
      <w:proofErr w:type="spellEnd"/>
      <w:r>
        <w:rPr>
          <w:i/>
          <w:iCs/>
        </w:rPr>
        <w:t xml:space="preserve"> </w:t>
      </w:r>
      <w:proofErr w:type="spellStart"/>
      <w:r>
        <w:rPr>
          <w:i/>
          <w:iCs/>
        </w:rPr>
        <w:t>Programme</w:t>
      </w:r>
      <w:proofErr w:type="spellEnd"/>
      <w:r>
        <w:rPr>
          <w:i/>
          <w:iCs/>
        </w:rPr>
        <w:t xml:space="preserve"> </w:t>
      </w:r>
      <w:r>
        <w:t>(TFP)</w:t>
      </w:r>
      <w:r>
        <w:rPr>
          <w:rStyle w:val="FootnoteReference"/>
        </w:rPr>
        <w:footnoteReference w:id="14"/>
      </w:r>
      <w:r>
        <w:t xml:space="preserve"> dat garanties en financiering beschikbaar stelt voor grensoverschrijdende handel. </w:t>
      </w:r>
    </w:p>
    <w:p w:rsidR="00A52A6F" w:rsidP="009127F7" w:rsidRDefault="00A52A6F" w14:paraId="7822D043" w14:textId="77777777"/>
    <w:p w:rsidR="0087640E" w:rsidP="009127F7" w:rsidRDefault="00A52A6F" w14:paraId="1EE89973" w14:textId="77777777">
      <w:pPr>
        <w:rPr>
          <w:b/>
          <w:bCs/>
        </w:rPr>
      </w:pPr>
      <w:r w:rsidRPr="0087640E">
        <w:rPr>
          <w:b/>
          <w:bCs/>
        </w:rPr>
        <w:t>Digitalisering</w:t>
      </w:r>
    </w:p>
    <w:p w:rsidR="00A52A6F" w:rsidP="009127F7" w:rsidRDefault="00085DFF" w14:paraId="3A338256" w14:textId="14F0095C">
      <w:r w:rsidRPr="00A11DD8">
        <w:rPr>
          <w:i/>
          <w:iCs/>
        </w:rPr>
        <w:t>Relevant</w:t>
      </w:r>
      <w:r w:rsidR="002D3BC0">
        <w:rPr>
          <w:i/>
          <w:iCs/>
        </w:rPr>
        <w:t>.</w:t>
      </w:r>
      <w:r>
        <w:t xml:space="preserve"> </w:t>
      </w:r>
      <w:r w:rsidR="00A52A6F">
        <w:t xml:space="preserve">De EBRD beschouwt digitalisering als een </w:t>
      </w:r>
      <w:proofErr w:type="spellStart"/>
      <w:r w:rsidR="00A52A6F">
        <w:rPr>
          <w:i/>
          <w:iCs/>
        </w:rPr>
        <w:t>strategic</w:t>
      </w:r>
      <w:proofErr w:type="spellEnd"/>
      <w:r w:rsidR="00A52A6F">
        <w:rPr>
          <w:i/>
          <w:iCs/>
        </w:rPr>
        <w:t xml:space="preserve"> </w:t>
      </w:r>
      <w:proofErr w:type="spellStart"/>
      <w:r w:rsidR="00A52A6F">
        <w:rPr>
          <w:i/>
          <w:iCs/>
        </w:rPr>
        <w:t>enabler</w:t>
      </w:r>
      <w:proofErr w:type="spellEnd"/>
      <w:r w:rsidR="00A52A6F">
        <w:t xml:space="preserve"> in de nieuwe SCF 2026-2030. Deze </w:t>
      </w:r>
      <w:proofErr w:type="spellStart"/>
      <w:r w:rsidR="00A52A6F">
        <w:rPr>
          <w:i/>
          <w:iCs/>
        </w:rPr>
        <w:t>strategic</w:t>
      </w:r>
      <w:proofErr w:type="spellEnd"/>
      <w:r w:rsidR="00A52A6F">
        <w:rPr>
          <w:i/>
          <w:iCs/>
        </w:rPr>
        <w:t xml:space="preserve"> </w:t>
      </w:r>
      <w:proofErr w:type="spellStart"/>
      <w:r w:rsidR="00A52A6F">
        <w:rPr>
          <w:i/>
          <w:iCs/>
        </w:rPr>
        <w:t>enabler</w:t>
      </w:r>
      <w:proofErr w:type="spellEnd"/>
      <w:r w:rsidR="00A52A6F">
        <w:t xml:space="preserve"> heeft, samen met private sector mobilisatie, een ondersteunende rol bij de drie strategische thema’s van de Bank (groen (klimaat), gender (kansengelijkheid) en </w:t>
      </w:r>
      <w:proofErr w:type="spellStart"/>
      <w:r w:rsidR="00A52A6F">
        <w:rPr>
          <w:i/>
          <w:iCs/>
        </w:rPr>
        <w:t>economic</w:t>
      </w:r>
      <w:proofErr w:type="spellEnd"/>
      <w:r w:rsidR="00A52A6F">
        <w:rPr>
          <w:i/>
          <w:iCs/>
        </w:rPr>
        <w:t xml:space="preserve"> </w:t>
      </w:r>
      <w:proofErr w:type="spellStart"/>
      <w:r w:rsidR="00A52A6F">
        <w:rPr>
          <w:i/>
          <w:iCs/>
        </w:rPr>
        <w:t>governance</w:t>
      </w:r>
      <w:proofErr w:type="spellEnd"/>
      <w:r w:rsidR="00A52A6F">
        <w:t xml:space="preserve">). De EBRD ziet digitalisering als een motor voor economische modernisering, concurrentiekracht en inclusieve groei in haar werkgebieden. Zo financiert de EBRD bedrijven die actief zijn in </w:t>
      </w:r>
      <w:r w:rsidRPr="00646D95" w:rsidR="00A52A6F">
        <w:rPr>
          <w:i/>
          <w:iCs/>
        </w:rPr>
        <w:t>e-commerce</w:t>
      </w:r>
      <w:r w:rsidR="00A52A6F">
        <w:t xml:space="preserve">, </w:t>
      </w:r>
      <w:proofErr w:type="spellStart"/>
      <w:r w:rsidRPr="00646D95" w:rsidR="00A52A6F">
        <w:rPr>
          <w:i/>
          <w:iCs/>
        </w:rPr>
        <w:t>fintech</w:t>
      </w:r>
      <w:proofErr w:type="spellEnd"/>
      <w:r w:rsidR="00A52A6F">
        <w:t xml:space="preserve"> en </w:t>
      </w:r>
      <w:r w:rsidRPr="00646D95" w:rsidR="00A52A6F">
        <w:rPr>
          <w:i/>
          <w:iCs/>
        </w:rPr>
        <w:t>digital services</w:t>
      </w:r>
      <w:r w:rsidR="00A52A6F">
        <w:t xml:space="preserve">. Ook investeert de EBRD </w:t>
      </w:r>
      <w:r w:rsidR="00A52A6F">
        <w:rPr>
          <w:i/>
          <w:iCs/>
        </w:rPr>
        <w:t>startups</w:t>
      </w:r>
      <w:r w:rsidR="00A52A6F">
        <w:t xml:space="preserve"> en </w:t>
      </w:r>
      <w:proofErr w:type="spellStart"/>
      <w:r w:rsidR="00A52A6F">
        <w:rPr>
          <w:i/>
          <w:iCs/>
        </w:rPr>
        <w:t>scale</w:t>
      </w:r>
      <w:proofErr w:type="spellEnd"/>
      <w:r w:rsidR="00A52A6F">
        <w:rPr>
          <w:i/>
          <w:iCs/>
        </w:rPr>
        <w:t>-ups</w:t>
      </w:r>
      <w:r w:rsidR="00A52A6F">
        <w:t xml:space="preserve"> via bijvoorbeeld </w:t>
      </w:r>
      <w:proofErr w:type="spellStart"/>
      <w:r w:rsidR="00A52A6F">
        <w:rPr>
          <w:i/>
          <w:iCs/>
        </w:rPr>
        <w:t>blended</w:t>
      </w:r>
      <w:proofErr w:type="spellEnd"/>
      <w:r w:rsidR="00A52A6F">
        <w:rPr>
          <w:i/>
          <w:iCs/>
        </w:rPr>
        <w:t xml:space="preserve"> </w:t>
      </w:r>
      <w:proofErr w:type="spellStart"/>
      <w:r w:rsidR="00A52A6F">
        <w:rPr>
          <w:i/>
          <w:iCs/>
        </w:rPr>
        <w:t>finance</w:t>
      </w:r>
      <w:proofErr w:type="spellEnd"/>
      <w:r w:rsidR="00A52A6F">
        <w:t xml:space="preserve"> via bijvoorbeeld het </w:t>
      </w:r>
      <w:r w:rsidRPr="009F1560" w:rsidR="00A52A6F">
        <w:rPr>
          <w:i/>
          <w:iCs/>
        </w:rPr>
        <w:t xml:space="preserve">EBRD Venture </w:t>
      </w:r>
      <w:proofErr w:type="spellStart"/>
      <w:r w:rsidRPr="009F1560" w:rsidR="00A52A6F">
        <w:rPr>
          <w:i/>
          <w:iCs/>
        </w:rPr>
        <w:t>Capital</w:t>
      </w:r>
      <w:proofErr w:type="spellEnd"/>
      <w:r w:rsidRPr="009F1560" w:rsidR="00A52A6F">
        <w:rPr>
          <w:i/>
          <w:iCs/>
        </w:rPr>
        <w:t xml:space="preserve"> Investment </w:t>
      </w:r>
      <w:proofErr w:type="spellStart"/>
      <w:r w:rsidRPr="009F1560" w:rsidR="00A52A6F">
        <w:rPr>
          <w:i/>
          <w:iCs/>
        </w:rPr>
        <w:t>Programme</w:t>
      </w:r>
      <w:proofErr w:type="spellEnd"/>
      <w:r w:rsidR="00A52A6F">
        <w:t xml:space="preserve"> (VCIP). Recent heeft de Board het VCIP III</w:t>
      </w:r>
      <w:r w:rsidR="00A52A6F">
        <w:rPr>
          <w:rStyle w:val="FootnoteReference"/>
        </w:rPr>
        <w:footnoteReference w:id="15"/>
      </w:r>
      <w:r w:rsidR="00A52A6F">
        <w:t xml:space="preserve"> aangenomen, een voortzetting van de twee eerdere raamwerk</w:t>
      </w:r>
      <w:r w:rsidR="007B1702">
        <w:t>en</w:t>
      </w:r>
      <w:r w:rsidR="00A52A6F">
        <w:t xml:space="preserve"> </w:t>
      </w:r>
    </w:p>
    <w:p w:rsidR="005D011F" w:rsidP="009127F7" w:rsidRDefault="005D011F" w14:paraId="7CC75A3C" w14:textId="77777777"/>
    <w:p w:rsidRPr="0087640E" w:rsidR="005D011F" w:rsidP="009127F7" w:rsidRDefault="005D011F" w14:paraId="02F083A1" w14:textId="24F51089">
      <w:pPr>
        <w:rPr>
          <w:b/>
          <w:bCs/>
        </w:rPr>
      </w:pPr>
      <w:r w:rsidRPr="0087640E">
        <w:rPr>
          <w:b/>
          <w:bCs/>
        </w:rPr>
        <w:t>Stedelijke duurzaamheid</w:t>
      </w:r>
    </w:p>
    <w:p w:rsidR="005D011F" w:rsidP="009127F7" w:rsidRDefault="00085DFF" w14:paraId="47915122" w14:textId="690E6733">
      <w:r w:rsidRPr="00A11DD8">
        <w:rPr>
          <w:i/>
          <w:iCs/>
        </w:rPr>
        <w:t>Relevant</w:t>
      </w:r>
      <w:r w:rsidRPr="00A11DD8" w:rsidR="002D3BC0">
        <w:rPr>
          <w:i/>
          <w:iCs/>
        </w:rPr>
        <w:t>.</w:t>
      </w:r>
      <w:r>
        <w:t xml:space="preserve"> </w:t>
      </w:r>
      <w:r w:rsidR="005D011F">
        <w:t xml:space="preserve">De EBRD ziet steden als een belangrijke schakel in de transitie naar een groene economie. Via het </w:t>
      </w:r>
      <w:r w:rsidR="005D011F">
        <w:rPr>
          <w:i/>
          <w:iCs/>
        </w:rPr>
        <w:t xml:space="preserve">EBRD Green </w:t>
      </w:r>
      <w:proofErr w:type="spellStart"/>
      <w:r w:rsidR="005D011F">
        <w:rPr>
          <w:i/>
          <w:iCs/>
        </w:rPr>
        <w:t>Cities</w:t>
      </w:r>
      <w:proofErr w:type="spellEnd"/>
      <w:r w:rsidR="008F5470">
        <w:rPr>
          <w:rStyle w:val="FootnoteReference"/>
          <w:i/>
          <w:iCs/>
        </w:rPr>
        <w:footnoteReference w:id="16"/>
      </w:r>
      <w:r w:rsidR="005D011F">
        <w:t xml:space="preserve"> programma, ondersteunt de Bank steden bij het aanpakken van milieu</w:t>
      </w:r>
      <w:r w:rsidR="00A67533">
        <w:t>-</w:t>
      </w:r>
      <w:r w:rsidR="005D011F">
        <w:t xml:space="preserve">uitdagingen zoals afvalbeheer, energieverspilling en luchtvervuiling. </w:t>
      </w:r>
      <w:r w:rsidR="002C55E0">
        <w:t xml:space="preserve">Eind 2024 heeft de EBRD EUR 3 miljard beschikbaar gesteld om het </w:t>
      </w:r>
      <w:r w:rsidR="002C55E0">
        <w:rPr>
          <w:i/>
          <w:iCs/>
        </w:rPr>
        <w:t xml:space="preserve">Green </w:t>
      </w:r>
      <w:proofErr w:type="spellStart"/>
      <w:r w:rsidR="002C55E0">
        <w:rPr>
          <w:i/>
          <w:iCs/>
        </w:rPr>
        <w:t>Cities</w:t>
      </w:r>
      <w:proofErr w:type="spellEnd"/>
      <w:r w:rsidR="002C55E0">
        <w:t xml:space="preserve"> programma uit te breiden.</w:t>
      </w:r>
      <w:r w:rsidR="00F96225">
        <w:t xml:space="preserve"> Onder het programma worden bijvoorbeeld ecologische knelpunten in steden geïdentificeerd in samenwerking met gemeenten waarna er een plan van aanpak wordt opgesteld. </w:t>
      </w:r>
      <w:r w:rsidR="000E3AC1">
        <w:t xml:space="preserve">Deze plannen vormen de basis voor investeringsprioriteiten en beleidsinterventies van de Bank. </w:t>
      </w:r>
      <w:r w:rsidR="00574095">
        <w:t xml:space="preserve">De EBRD is een van de weinige ontwikkelingsbanken die gespecialiseerd is in het lenen aan decentrale overheden. </w:t>
      </w:r>
    </w:p>
    <w:p w:rsidR="00155B02" w:rsidP="009127F7" w:rsidRDefault="00155B02" w14:paraId="75774FE6" w14:textId="77777777"/>
    <w:p w:rsidRPr="0087640E" w:rsidR="0087640E" w:rsidP="00155B02" w:rsidRDefault="001F41EE" w14:paraId="094E8706" w14:textId="63F3A0A7">
      <w:pPr>
        <w:rPr>
          <w:b/>
          <w:bCs/>
        </w:rPr>
      </w:pPr>
      <w:r>
        <w:rPr>
          <w:b/>
          <w:bCs/>
        </w:rPr>
        <w:t>Gendergelijkheid en i</w:t>
      </w:r>
      <w:r w:rsidRPr="0087640E" w:rsidR="00155B02">
        <w:rPr>
          <w:b/>
          <w:bCs/>
        </w:rPr>
        <w:t>nclusi</w:t>
      </w:r>
      <w:r w:rsidRPr="0087640E" w:rsidR="00C550B4">
        <w:rPr>
          <w:b/>
          <w:bCs/>
        </w:rPr>
        <w:t>viteit</w:t>
      </w:r>
      <w:r w:rsidRPr="0087640E" w:rsidR="00155B02">
        <w:rPr>
          <w:b/>
          <w:bCs/>
        </w:rPr>
        <w:t xml:space="preserve"> </w:t>
      </w:r>
    </w:p>
    <w:p w:rsidR="00155B02" w:rsidP="00155B02" w:rsidRDefault="00085DFF" w14:paraId="19B6C707" w14:textId="4CE1821A">
      <w:r w:rsidRPr="00A11DD8">
        <w:rPr>
          <w:i/>
          <w:iCs/>
        </w:rPr>
        <w:t>Zeer relevant</w:t>
      </w:r>
      <w:r w:rsidRPr="00A11DD8" w:rsidR="002D3BC0">
        <w:rPr>
          <w:i/>
          <w:iCs/>
        </w:rPr>
        <w:t>.</w:t>
      </w:r>
      <w:r>
        <w:t xml:space="preserve"> </w:t>
      </w:r>
      <w:r w:rsidR="00155B02">
        <w:t xml:space="preserve">De EBRD zet zich actief in voor kansengelijkheid en het ondersteunen van de positie van vrouwen en meisjes. Dit is een belangrijk onderdeel van het mandaat van de Bank voor inclusieve en duurzame economische groei. Dit beleid is vastgelegd in de zogenaamde </w:t>
      </w:r>
      <w:proofErr w:type="spellStart"/>
      <w:r w:rsidR="00155B02">
        <w:rPr>
          <w:i/>
          <w:iCs/>
        </w:rPr>
        <w:t>Strategy</w:t>
      </w:r>
      <w:proofErr w:type="spellEnd"/>
      <w:r w:rsidR="00155B02">
        <w:rPr>
          <w:i/>
          <w:iCs/>
        </w:rPr>
        <w:t xml:space="preserve"> </w:t>
      </w:r>
      <w:proofErr w:type="spellStart"/>
      <w:r w:rsidR="00155B02">
        <w:rPr>
          <w:i/>
          <w:iCs/>
        </w:rPr>
        <w:t>for</w:t>
      </w:r>
      <w:proofErr w:type="spellEnd"/>
      <w:r w:rsidR="00155B02">
        <w:rPr>
          <w:i/>
          <w:iCs/>
        </w:rPr>
        <w:t xml:space="preserve"> </w:t>
      </w:r>
      <w:proofErr w:type="spellStart"/>
      <w:r w:rsidR="00155B02">
        <w:rPr>
          <w:i/>
          <w:iCs/>
        </w:rPr>
        <w:t>the</w:t>
      </w:r>
      <w:proofErr w:type="spellEnd"/>
      <w:r w:rsidR="00155B02">
        <w:rPr>
          <w:i/>
          <w:iCs/>
        </w:rPr>
        <w:t xml:space="preserve"> Promotion of Gender </w:t>
      </w:r>
      <w:proofErr w:type="spellStart"/>
      <w:r w:rsidR="00155B02">
        <w:rPr>
          <w:i/>
          <w:iCs/>
        </w:rPr>
        <w:t>Equality</w:t>
      </w:r>
      <w:proofErr w:type="spellEnd"/>
      <w:r w:rsidR="00155B02">
        <w:rPr>
          <w:i/>
          <w:iCs/>
        </w:rPr>
        <w:t xml:space="preserve"> 2021-2025</w:t>
      </w:r>
      <w:r w:rsidR="00155B02">
        <w:rPr>
          <w:rStyle w:val="FootnoteReference"/>
          <w:i/>
          <w:iCs/>
        </w:rPr>
        <w:footnoteReference w:id="17"/>
      </w:r>
      <w:r w:rsidR="00155B02">
        <w:t xml:space="preserve"> dat later dit jaar zal worden herzien. De strategie maakt deel van de bredere </w:t>
      </w:r>
      <w:r w:rsidR="00155B02">
        <w:lastRenderedPageBreak/>
        <w:t xml:space="preserve">inzet van de Bank voor ‘gelijkheid van kansen’ in haar transitiemandaat. Ook is ‘gender’ (kansengelijkheid) als een van de drie strategische prioriteiten opgenomen van de nieuwe SCF 2026-2030. Een belangrijk vehikel van de EBRD om kansengelijkheid te bevorderen is het zogenaamde </w:t>
      </w:r>
      <w:proofErr w:type="spellStart"/>
      <w:r w:rsidR="00155B02">
        <w:rPr>
          <w:i/>
          <w:iCs/>
        </w:rPr>
        <w:t>Women</w:t>
      </w:r>
      <w:proofErr w:type="spellEnd"/>
      <w:r w:rsidR="00155B02">
        <w:rPr>
          <w:i/>
          <w:iCs/>
        </w:rPr>
        <w:t xml:space="preserve"> in Business </w:t>
      </w:r>
      <w:proofErr w:type="spellStart"/>
      <w:r w:rsidR="00155B02">
        <w:rPr>
          <w:i/>
          <w:iCs/>
        </w:rPr>
        <w:t>Programme</w:t>
      </w:r>
      <w:proofErr w:type="spellEnd"/>
      <w:r w:rsidR="00155B02">
        <w:rPr>
          <w:rStyle w:val="FootnoteReference"/>
          <w:i/>
          <w:iCs/>
        </w:rPr>
        <w:footnoteReference w:id="18"/>
      </w:r>
      <w:r w:rsidR="00155B02">
        <w:rPr>
          <w:i/>
          <w:iCs/>
        </w:rPr>
        <w:t xml:space="preserve"> </w:t>
      </w:r>
      <w:r w:rsidR="00155B02">
        <w:t xml:space="preserve">in samenwerking met lokale banken in o.a. Centraal-Azië, Oost-Europa en de Balkan. Dit programma richt zich onder andere op het bevorderen van toegang tot krediet, bedrijfsadvies en digitale tools voor vrouwen die een onderneming willen starten of uitbreiden. </w:t>
      </w:r>
    </w:p>
    <w:p w:rsidRPr="00A11DD8" w:rsidR="00155B02" w:rsidP="009127F7" w:rsidRDefault="00155B02" w14:paraId="45D61FE2" w14:textId="77777777">
      <w:pPr>
        <w:rPr>
          <w:b/>
          <w:bCs/>
        </w:rPr>
      </w:pPr>
    </w:p>
    <w:p w:rsidR="002D3BC0" w:rsidP="00155B02" w:rsidRDefault="00155B02" w14:paraId="270F2593" w14:textId="3866AD1F">
      <w:r w:rsidRPr="00A11DD8">
        <w:rPr>
          <w:b/>
          <w:bCs/>
        </w:rPr>
        <w:t>Versterking maatschappelijk middenveld</w:t>
      </w:r>
    </w:p>
    <w:p w:rsidRPr="002D3BC0" w:rsidR="00155B02" w:rsidP="00155B02" w:rsidRDefault="00155B02" w14:paraId="14071A33" w14:textId="52B0B7DA">
      <w:pPr>
        <w:rPr>
          <w:i/>
          <w:iCs/>
        </w:rPr>
      </w:pPr>
      <w:r>
        <w:rPr>
          <w:i/>
          <w:iCs/>
        </w:rPr>
        <w:t xml:space="preserve">Relevant. </w:t>
      </w:r>
      <w:r>
        <w:t xml:space="preserve">De EBRD ondersteunt het maatschappelijk middenveld vooral door het versterken van non-profitorganisaties, maatschappelijke initiatieven en lokale gemeenschappen in haar werkgebieden. Dit doet de Bank onder andere door het verstrekken van financiering, het leveren van technische assistentie en capaciteitsopbouw. </w:t>
      </w:r>
      <w:r w:rsidRPr="00555E3E">
        <w:t xml:space="preserve">In de </w:t>
      </w:r>
      <w:r w:rsidRPr="00555E3E">
        <w:rPr>
          <w:i/>
          <w:iCs/>
        </w:rPr>
        <w:t xml:space="preserve">EBRD Approach </w:t>
      </w:r>
      <w:proofErr w:type="spellStart"/>
      <w:r w:rsidRPr="00555E3E">
        <w:rPr>
          <w:i/>
          <w:iCs/>
        </w:rPr>
        <w:t>to</w:t>
      </w:r>
      <w:proofErr w:type="spellEnd"/>
      <w:r w:rsidRPr="00555E3E">
        <w:rPr>
          <w:i/>
          <w:iCs/>
        </w:rPr>
        <w:t xml:space="preserve"> </w:t>
      </w:r>
      <w:proofErr w:type="spellStart"/>
      <w:r w:rsidRPr="00555E3E">
        <w:rPr>
          <w:i/>
          <w:iCs/>
        </w:rPr>
        <w:t>Civil</w:t>
      </w:r>
      <w:proofErr w:type="spellEnd"/>
      <w:r w:rsidRPr="00555E3E">
        <w:rPr>
          <w:i/>
          <w:iCs/>
        </w:rPr>
        <w:t xml:space="preserve"> Society 2024-2029</w:t>
      </w:r>
      <w:r>
        <w:rPr>
          <w:rStyle w:val="FootnoteReference"/>
          <w:i/>
          <w:iCs/>
        </w:rPr>
        <w:footnoteReference w:id="19"/>
      </w:r>
      <w:r w:rsidRPr="00555E3E">
        <w:t xml:space="preserve"> is het plan van aanpak van</w:t>
      </w:r>
      <w:r>
        <w:t xml:space="preserve"> de Bank opgenomen voor de samenwerking met het maatschappelijk middenveld. Het plan is gericht op de veranderende uitdagingen en kansen in de operatielanden van de Bank. </w:t>
      </w:r>
    </w:p>
    <w:p w:rsidR="00313F33" w:rsidP="00155B02" w:rsidRDefault="00313F33" w14:paraId="16C81419" w14:textId="77777777"/>
    <w:p w:rsidR="00085DFF" w:rsidP="009127F7" w:rsidRDefault="00313F33" w14:paraId="36E0031B" w14:textId="77777777">
      <w:pPr>
        <w:rPr>
          <w:b/>
          <w:bCs/>
        </w:rPr>
      </w:pPr>
      <w:r w:rsidRPr="0087640E">
        <w:rPr>
          <w:b/>
          <w:bCs/>
        </w:rPr>
        <w:t>Klimaat</w:t>
      </w:r>
    </w:p>
    <w:p w:rsidRPr="002D3BC0" w:rsidR="009127F7" w:rsidP="009127F7" w:rsidRDefault="00085DFF" w14:paraId="236109BB" w14:textId="560C4FB5">
      <w:pPr>
        <w:rPr>
          <w:i/>
          <w:iCs/>
        </w:rPr>
      </w:pPr>
      <w:r w:rsidRPr="00A11DD8">
        <w:rPr>
          <w:i/>
          <w:iCs/>
        </w:rPr>
        <w:t>Zeer relevant</w:t>
      </w:r>
      <w:r w:rsidR="002D3BC0">
        <w:rPr>
          <w:b/>
          <w:bCs/>
          <w:i/>
          <w:iCs/>
        </w:rPr>
        <w:t>.</w:t>
      </w:r>
      <w:r w:rsidR="00A11DD8">
        <w:rPr>
          <w:b/>
          <w:bCs/>
          <w:i/>
          <w:iCs/>
        </w:rPr>
        <w:t xml:space="preserve"> </w:t>
      </w:r>
      <w:r w:rsidRPr="00C4103B" w:rsidR="00313F33">
        <w:t xml:space="preserve">De Bank is actief in </w:t>
      </w:r>
      <w:r w:rsidR="00313F33">
        <w:t xml:space="preserve">regio’s in de wereld die nog zwaar leunen op fossiele brandstoffen met een lage </w:t>
      </w:r>
      <w:r w:rsidRPr="00C4103B" w:rsidR="00313F33">
        <w:t>energie-efficiënte</w:t>
      </w:r>
      <w:r w:rsidR="00313F33">
        <w:t>. In deze operatielanden is de omschakeling van steenkool naar andere brandstoffen een topprioriteit. De EBRD heeft ‘</w:t>
      </w:r>
      <w:r w:rsidR="00313F33">
        <w:rPr>
          <w:i/>
          <w:iCs/>
        </w:rPr>
        <w:t>green’</w:t>
      </w:r>
      <w:r w:rsidR="00313F33">
        <w:t xml:space="preserve"> als een van de kernprioriteiten opgenomen van de nieuwe </w:t>
      </w:r>
      <w:proofErr w:type="spellStart"/>
      <w:r w:rsidR="00313F33">
        <w:t>meerjarenstrategie</w:t>
      </w:r>
      <w:proofErr w:type="spellEnd"/>
      <w:r w:rsidR="00313F33">
        <w:t xml:space="preserve"> 2026-2030 (de zogenaamde </w:t>
      </w:r>
      <w:r w:rsidR="00313F33">
        <w:rPr>
          <w:i/>
          <w:iCs/>
        </w:rPr>
        <w:t xml:space="preserve">Strategic </w:t>
      </w:r>
      <w:proofErr w:type="spellStart"/>
      <w:r w:rsidR="00313F33">
        <w:rPr>
          <w:i/>
          <w:iCs/>
        </w:rPr>
        <w:t>and</w:t>
      </w:r>
      <w:proofErr w:type="spellEnd"/>
      <w:r w:rsidR="00313F33">
        <w:rPr>
          <w:i/>
          <w:iCs/>
        </w:rPr>
        <w:t xml:space="preserve"> </w:t>
      </w:r>
      <w:proofErr w:type="spellStart"/>
      <w:r w:rsidR="00313F33">
        <w:rPr>
          <w:i/>
          <w:iCs/>
        </w:rPr>
        <w:t>Capital</w:t>
      </w:r>
      <w:proofErr w:type="spellEnd"/>
      <w:r w:rsidR="00313F33">
        <w:rPr>
          <w:i/>
          <w:iCs/>
        </w:rPr>
        <w:t xml:space="preserve"> Framework</w:t>
      </w:r>
      <w:r w:rsidR="00313F33">
        <w:t xml:space="preserve">, SCF). Sinds het ontstaan van de Bank in 1991 ondersteunt de EBRD haar operatielanden op een pad naar duurzame en groene ontwikkeling. Hierbij worden investeringen gecombineerd met beleidsdialoog en technische assistentie om groene groei, veerkracht en concurrentievermogen te stimuleren. Sinds 2025 heeft de EBRD de doelstelling dat minimaal 50% van de totale investeringen ‘groen’ moet zijn. Een doelstelling in overigens in 2024 al ruimschoots werd behaald. </w:t>
      </w:r>
    </w:p>
    <w:p w:rsidRPr="00E37F4A" w:rsidR="00570367" w:rsidP="00FF5602" w:rsidRDefault="00570367" w14:paraId="76FF9CEC" w14:textId="5AE0A05D">
      <w:pPr>
        <w:spacing w:line="240" w:lineRule="auto"/>
      </w:pPr>
    </w:p>
    <w:sectPr w:rsidRPr="00E37F4A" w:rsidR="00570367" w:rsidSect="00331EE5">
      <w:headerReference w:type="first" r:id="rId18"/>
      <w:type w:val="continuous"/>
      <w:pgSz w:w="11906" w:h="16838" w:code="9"/>
      <w:pgMar w:top="2517" w:right="958" w:bottom="1077" w:left="3221" w:header="198"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7CB4" w14:textId="77777777" w:rsidR="00F6527F" w:rsidRDefault="00F6527F">
      <w:r>
        <w:separator/>
      </w:r>
    </w:p>
    <w:p w14:paraId="5A7AF675" w14:textId="77777777" w:rsidR="00F6527F" w:rsidRDefault="00F6527F"/>
    <w:p w14:paraId="3A4DC404" w14:textId="77777777" w:rsidR="00F6527F" w:rsidRDefault="00F6527F"/>
  </w:endnote>
  <w:endnote w:type="continuationSeparator" w:id="0">
    <w:p w14:paraId="5903CE9C" w14:textId="77777777" w:rsidR="00F6527F" w:rsidRDefault="00F6527F">
      <w:r>
        <w:continuationSeparator/>
      </w:r>
    </w:p>
    <w:p w14:paraId="021A1742" w14:textId="77777777" w:rsidR="00F6527F" w:rsidRDefault="00F6527F"/>
    <w:p w14:paraId="3DFAF79F" w14:textId="77777777" w:rsidR="00F6527F" w:rsidRDefault="00F6527F"/>
  </w:endnote>
  <w:endnote w:type="continuationNotice" w:id="1">
    <w:p w14:paraId="26632F6A" w14:textId="77777777" w:rsidR="00F6527F" w:rsidRDefault="00F652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2D5A57" w:rsidRPr="00785F18" w14:paraId="6E5CB64E" w14:textId="77777777" w:rsidTr="00D15E6D">
      <w:trPr>
        <w:trHeight w:hRule="exact" w:val="240"/>
      </w:trPr>
      <w:tc>
        <w:tcPr>
          <w:tcW w:w="6260" w:type="dxa"/>
          <w:shd w:val="clear" w:color="auto" w:fill="auto"/>
        </w:tcPr>
        <w:p w14:paraId="04F02C1A" w14:textId="77777777" w:rsidR="002D5A57" w:rsidRPr="00785F18" w:rsidRDefault="002D5A57" w:rsidP="002D5A57">
          <w:pPr>
            <w:rPr>
              <w:rStyle w:val="Huisstijl-Rubricering"/>
            </w:rPr>
          </w:pPr>
        </w:p>
      </w:tc>
      <w:tc>
        <w:tcPr>
          <w:tcW w:w="1392" w:type="dxa"/>
        </w:tcPr>
        <w:p w14:paraId="0CD8A5C9" w14:textId="77777777" w:rsidR="002D5A57" w:rsidRPr="00785F18" w:rsidRDefault="001C2B49" w:rsidP="002D5A57">
          <w:pPr>
            <w:pStyle w:val="Huisstijl-Paginanummering"/>
            <w:jc w:val="right"/>
          </w:pPr>
          <w:r>
            <w:fldChar w:fldCharType="begin"/>
          </w:r>
          <w:r>
            <w:instrText xml:space="preserve"> DOCPROPERTY  L_PAGE  \* MERGEFORMAT </w:instrText>
          </w:r>
          <w:r>
            <w:fldChar w:fldCharType="separate"/>
          </w:r>
          <w:r w:rsidR="002D5A57">
            <w:t>Pagina</w:t>
          </w:r>
          <w:r>
            <w:fldChar w:fldCharType="end"/>
          </w:r>
          <w:r w:rsidR="002D5A57" w:rsidRPr="00785F18">
            <w:t xml:space="preserve"> </w:t>
          </w:r>
          <w:r w:rsidR="002D5A57" w:rsidRPr="00A908F9">
            <w:rPr>
              <w:rStyle w:val="PageNumber"/>
              <w:noProof w:val="0"/>
              <w:szCs w:val="13"/>
            </w:rPr>
            <w:fldChar w:fldCharType="begin"/>
          </w:r>
          <w:r w:rsidR="002D5A57" w:rsidRPr="00A908F9">
            <w:rPr>
              <w:rStyle w:val="PageNumber"/>
              <w:noProof w:val="0"/>
              <w:szCs w:val="13"/>
            </w:rPr>
            <w:instrText xml:space="preserve"> PAGE </w:instrText>
          </w:r>
          <w:r w:rsidR="002D5A57" w:rsidRPr="00A908F9">
            <w:rPr>
              <w:rStyle w:val="PageNumber"/>
              <w:noProof w:val="0"/>
              <w:szCs w:val="13"/>
            </w:rPr>
            <w:fldChar w:fldCharType="separate"/>
          </w:r>
          <w:r w:rsidR="002D5A57">
            <w:rPr>
              <w:rStyle w:val="PageNumber"/>
              <w:szCs w:val="13"/>
            </w:rPr>
            <w:t>1</w:t>
          </w:r>
          <w:r w:rsidR="002D5A57" w:rsidRPr="00A908F9">
            <w:rPr>
              <w:rStyle w:val="PageNumber"/>
              <w:noProof w:val="0"/>
              <w:szCs w:val="13"/>
            </w:rPr>
            <w:fldChar w:fldCharType="end"/>
          </w:r>
          <w:r w:rsidR="002D5A57" w:rsidRPr="00785F18">
            <w:t xml:space="preserve"> </w:t>
          </w:r>
          <w:r>
            <w:fldChar w:fldCharType="begin"/>
          </w:r>
          <w:r>
            <w:instrText xml:space="preserve"> DOCPROPERTY  L_PAGEOF  \* MERGEFORMAT </w:instrText>
          </w:r>
          <w:r>
            <w:fldChar w:fldCharType="separate"/>
          </w:r>
          <w:r w:rsidR="002D5A57">
            <w:t>van</w:t>
          </w:r>
          <w:r>
            <w:fldChar w:fldCharType="end"/>
          </w:r>
          <w:r w:rsidR="002D5A57" w:rsidRPr="00785F18">
            <w:t xml:space="preserve"> </w:t>
          </w:r>
          <w:r>
            <w:fldChar w:fldCharType="begin"/>
          </w:r>
          <w:r>
            <w:instrText xml:space="preserve"> NUMPAGES   \* MERGEFORMAT </w:instrText>
          </w:r>
          <w:r>
            <w:fldChar w:fldCharType="separate"/>
          </w:r>
          <w:r w:rsidR="002D5A57">
            <w:t>13</w:t>
          </w:r>
          <w:r>
            <w:fldChar w:fldCharType="end"/>
          </w:r>
        </w:p>
      </w:tc>
    </w:tr>
  </w:tbl>
  <w:p w14:paraId="75CAC791" w14:textId="77777777" w:rsidR="002D5A57" w:rsidRPr="00785F18" w:rsidRDefault="002D5A57" w:rsidP="002D5A57">
    <w:pPr>
      <w:spacing w:line="240" w:lineRule="auto"/>
      <w:rPr>
        <w:sz w:val="2"/>
        <w:szCs w:val="2"/>
      </w:rPr>
    </w:pPr>
  </w:p>
  <w:p w14:paraId="7F5701FA" w14:textId="77777777" w:rsidR="002D5A57" w:rsidRPr="00785F18" w:rsidRDefault="002D5A57" w:rsidP="002D5A57">
    <w:pPr>
      <w:spacing w:line="240" w:lineRule="auto"/>
      <w:rPr>
        <w:sz w:val="2"/>
        <w:szCs w:val="2"/>
      </w:rPr>
    </w:pPr>
  </w:p>
  <w:p w14:paraId="66010718" w14:textId="77777777" w:rsidR="002D5A57" w:rsidRDefault="002D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2D5A57" w:rsidRPr="00785F18" w14:paraId="563CD28D" w14:textId="77777777" w:rsidTr="00D15E6D">
      <w:trPr>
        <w:trHeight w:hRule="exact" w:val="240"/>
      </w:trPr>
      <w:tc>
        <w:tcPr>
          <w:tcW w:w="6260" w:type="dxa"/>
          <w:shd w:val="clear" w:color="auto" w:fill="auto"/>
        </w:tcPr>
        <w:p w14:paraId="6ACED359" w14:textId="77777777" w:rsidR="002D5A57" w:rsidRPr="00785F18" w:rsidRDefault="002D5A57" w:rsidP="002D5A57">
          <w:pPr>
            <w:rPr>
              <w:rStyle w:val="Huisstijl-Rubricering"/>
            </w:rPr>
          </w:pPr>
        </w:p>
      </w:tc>
      <w:tc>
        <w:tcPr>
          <w:tcW w:w="1392" w:type="dxa"/>
        </w:tcPr>
        <w:p w14:paraId="1B8EF43F" w14:textId="77777777" w:rsidR="002D5A57" w:rsidRPr="00785F18" w:rsidRDefault="001C2B49" w:rsidP="002D5A57">
          <w:pPr>
            <w:pStyle w:val="Huisstijl-Paginanummering"/>
            <w:jc w:val="right"/>
          </w:pPr>
          <w:r>
            <w:fldChar w:fldCharType="begin"/>
          </w:r>
          <w:r>
            <w:instrText xml:space="preserve"> DOCPROPERTY  L_PAGE  \* MERGEFORMAT </w:instrText>
          </w:r>
          <w:r>
            <w:fldChar w:fldCharType="separate"/>
          </w:r>
          <w:r w:rsidR="002D5A57">
            <w:t>Pagina</w:t>
          </w:r>
          <w:r>
            <w:fldChar w:fldCharType="end"/>
          </w:r>
          <w:r w:rsidR="002D5A57" w:rsidRPr="00785F18">
            <w:t xml:space="preserve"> </w:t>
          </w:r>
          <w:r w:rsidR="002D5A57" w:rsidRPr="00A908F9">
            <w:rPr>
              <w:rStyle w:val="PageNumber"/>
              <w:noProof w:val="0"/>
              <w:szCs w:val="13"/>
            </w:rPr>
            <w:fldChar w:fldCharType="begin"/>
          </w:r>
          <w:r w:rsidR="002D5A57" w:rsidRPr="00A908F9">
            <w:rPr>
              <w:rStyle w:val="PageNumber"/>
              <w:noProof w:val="0"/>
              <w:szCs w:val="13"/>
            </w:rPr>
            <w:instrText xml:space="preserve"> PAGE </w:instrText>
          </w:r>
          <w:r w:rsidR="002D5A57" w:rsidRPr="00A908F9">
            <w:rPr>
              <w:rStyle w:val="PageNumber"/>
              <w:noProof w:val="0"/>
              <w:szCs w:val="13"/>
            </w:rPr>
            <w:fldChar w:fldCharType="separate"/>
          </w:r>
          <w:r w:rsidR="002D5A57">
            <w:rPr>
              <w:rStyle w:val="PageNumber"/>
              <w:szCs w:val="13"/>
            </w:rPr>
            <w:t>1</w:t>
          </w:r>
          <w:r w:rsidR="002D5A57" w:rsidRPr="00A908F9">
            <w:rPr>
              <w:rStyle w:val="PageNumber"/>
              <w:noProof w:val="0"/>
              <w:szCs w:val="13"/>
            </w:rPr>
            <w:fldChar w:fldCharType="end"/>
          </w:r>
          <w:r w:rsidR="002D5A57" w:rsidRPr="00785F18">
            <w:t xml:space="preserve"> </w:t>
          </w:r>
          <w:r>
            <w:fldChar w:fldCharType="begin"/>
          </w:r>
          <w:r>
            <w:instrText xml:space="preserve"> DOCPROPERTY  L_PAGEOF  \* MERGEFORMAT </w:instrText>
          </w:r>
          <w:r>
            <w:fldChar w:fldCharType="separate"/>
          </w:r>
          <w:r w:rsidR="002D5A57">
            <w:t>van</w:t>
          </w:r>
          <w:r>
            <w:fldChar w:fldCharType="end"/>
          </w:r>
          <w:r w:rsidR="002D5A57" w:rsidRPr="00785F18">
            <w:t xml:space="preserve"> </w:t>
          </w:r>
          <w:r>
            <w:fldChar w:fldCharType="begin"/>
          </w:r>
          <w:r>
            <w:instrText xml:space="preserve"> NUMPAGES   \* MERGEFORMAT </w:instrText>
          </w:r>
          <w:r>
            <w:fldChar w:fldCharType="separate"/>
          </w:r>
          <w:r w:rsidR="002D5A57">
            <w:t>13</w:t>
          </w:r>
          <w:r>
            <w:fldChar w:fldCharType="end"/>
          </w:r>
        </w:p>
      </w:tc>
    </w:tr>
  </w:tbl>
  <w:p w14:paraId="766657DE" w14:textId="77777777" w:rsidR="002D5A57" w:rsidRPr="00785F18" w:rsidRDefault="002D5A57" w:rsidP="002D5A57">
    <w:pPr>
      <w:spacing w:line="240" w:lineRule="auto"/>
      <w:rPr>
        <w:sz w:val="2"/>
        <w:szCs w:val="2"/>
      </w:rPr>
    </w:pPr>
  </w:p>
  <w:p w14:paraId="4F45C806" w14:textId="77777777" w:rsidR="002D5A57" w:rsidRPr="00785F18" w:rsidRDefault="002D5A57" w:rsidP="002D5A57">
    <w:pPr>
      <w:spacing w:line="240" w:lineRule="auto"/>
      <w:rPr>
        <w:sz w:val="2"/>
        <w:szCs w:val="2"/>
      </w:rPr>
    </w:pPr>
  </w:p>
  <w:p w14:paraId="756B2CD0" w14:textId="77777777" w:rsidR="002D5A57" w:rsidRPr="002D5A57" w:rsidRDefault="002D5A57" w:rsidP="002D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AC2C" w14:textId="77777777" w:rsidR="00F6527F" w:rsidRPr="00B35331" w:rsidRDefault="00F6527F" w:rsidP="00B35331">
      <w:pPr>
        <w:pStyle w:val="Footer"/>
      </w:pPr>
    </w:p>
  </w:footnote>
  <w:footnote w:type="continuationSeparator" w:id="0">
    <w:p w14:paraId="0AADF50A" w14:textId="77777777" w:rsidR="00F6527F" w:rsidRDefault="00F6527F">
      <w:r>
        <w:continuationSeparator/>
      </w:r>
    </w:p>
    <w:p w14:paraId="4E9E3F7F" w14:textId="77777777" w:rsidR="00F6527F" w:rsidRDefault="00F6527F"/>
    <w:p w14:paraId="27F6D430" w14:textId="77777777" w:rsidR="00F6527F" w:rsidRDefault="00F6527F"/>
  </w:footnote>
  <w:footnote w:type="continuationNotice" w:id="1">
    <w:p w14:paraId="305DBEF8" w14:textId="77777777" w:rsidR="00F6527F" w:rsidRDefault="00F6527F">
      <w:pPr>
        <w:spacing w:line="240" w:lineRule="auto"/>
      </w:pPr>
    </w:p>
  </w:footnote>
  <w:footnote w:id="2">
    <w:p w14:paraId="3B9674D4" w14:textId="3B7AE2AF" w:rsidR="001F41EE" w:rsidRPr="00565C73" w:rsidRDefault="001F41EE" w:rsidP="001F41EE">
      <w:pPr>
        <w:pStyle w:val="FootnoteText"/>
        <w:rPr>
          <w:lang w:val="en-US"/>
        </w:rPr>
      </w:pPr>
      <w:r>
        <w:rPr>
          <w:rStyle w:val="FootnoteReference"/>
        </w:rPr>
        <w:footnoteRef/>
      </w:r>
      <w:r w:rsidRPr="00565C73">
        <w:rPr>
          <w:lang w:val="en-US"/>
        </w:rPr>
        <w:t xml:space="preserve"> Beleidskader Mondiaal Multilateralisme</w:t>
      </w:r>
      <w:r>
        <w:rPr>
          <w:lang w:val="en-US"/>
        </w:rPr>
        <w:t>.</w:t>
      </w:r>
    </w:p>
  </w:footnote>
  <w:footnote w:id="3">
    <w:p w14:paraId="44D31A41" w14:textId="77777777" w:rsidR="004264DC" w:rsidRPr="00273F6A" w:rsidRDefault="004264DC" w:rsidP="004264DC">
      <w:pPr>
        <w:pStyle w:val="FootnoteText"/>
        <w:rPr>
          <w:lang w:val="en-US"/>
        </w:rPr>
      </w:pPr>
      <w:r>
        <w:rPr>
          <w:rStyle w:val="FootnoteReference"/>
        </w:rPr>
        <w:footnoteRef/>
      </w:r>
      <w:r w:rsidRPr="00273F6A">
        <w:rPr>
          <w:lang w:val="en-US"/>
        </w:rPr>
        <w:t xml:space="preserve"> </w:t>
      </w:r>
      <w:bookmarkStart w:id="49" w:name="_Hlk201753797"/>
      <w:r w:rsidRPr="00273F6A">
        <w:rPr>
          <w:lang w:val="en-US"/>
        </w:rPr>
        <w:t>A</w:t>
      </w:r>
      <w:r>
        <w:rPr>
          <w:lang w:val="en-US"/>
        </w:rPr>
        <w:t xml:space="preserve">ctief in </w:t>
      </w:r>
      <w:r w:rsidRPr="00273F6A">
        <w:rPr>
          <w:lang w:val="en-US"/>
        </w:rPr>
        <w:t>Albanië, Armenië, Azerbeidzjan, Bosnië en Herzegovina, Bulgarije, Cyprus, Egypte, Estland, Georgië, Griekenland, Hongarije, Jordanië, Kazachstan, Kirgizië, Kosovo, Kroatië, Letland, Libanon, Litouwen, Moldavië, Mongolië, Montenegro, Marokko, Noord-Macedonië, Oezbekistan, Polen, Roemenië, Servië, Slovenië, Slowakije, Tadzjikistan, Tsjechië, Tunesië, Turkije, Oekraïne, Westelijke Jordaanoever en Gaza</w:t>
      </w:r>
      <w:bookmarkEnd w:id="49"/>
    </w:p>
  </w:footnote>
  <w:footnote w:id="4">
    <w:p w14:paraId="50BAC475" w14:textId="77777777" w:rsidR="00123F48" w:rsidRPr="00273F6A" w:rsidRDefault="00123F48" w:rsidP="00123F48">
      <w:pPr>
        <w:pStyle w:val="FootnoteText"/>
        <w:rPr>
          <w:lang w:val="en-US"/>
        </w:rPr>
      </w:pPr>
      <w:r>
        <w:rPr>
          <w:rStyle w:val="FootnoteReference"/>
        </w:rPr>
        <w:footnoteRef/>
      </w:r>
      <w:r w:rsidRPr="00273F6A">
        <w:rPr>
          <w:lang w:val="en-US"/>
        </w:rPr>
        <w:t xml:space="preserve"> </w:t>
      </w:r>
      <w:r w:rsidRPr="00BE2FA4">
        <w:rPr>
          <w:lang w:val="en-US"/>
        </w:rPr>
        <w:t>B</w:t>
      </w:r>
      <w:r>
        <w:rPr>
          <w:lang w:val="en-US"/>
        </w:rPr>
        <w:t>asic documents of the European Bank of Reconstruction and Development</w:t>
      </w:r>
    </w:p>
  </w:footnote>
  <w:footnote w:id="5">
    <w:p w14:paraId="0D17035B" w14:textId="77777777" w:rsidR="003707BD" w:rsidRPr="00565C73" w:rsidRDefault="003707BD" w:rsidP="003707BD">
      <w:pPr>
        <w:pStyle w:val="FootnoteText"/>
        <w:rPr>
          <w:lang w:val="en-US"/>
        </w:rPr>
      </w:pPr>
      <w:r>
        <w:rPr>
          <w:rStyle w:val="FootnoteReference"/>
        </w:rPr>
        <w:footnoteRef/>
      </w:r>
      <w:r w:rsidRPr="00565C73">
        <w:rPr>
          <w:lang w:val="en-US"/>
        </w:rPr>
        <w:t xml:space="preserve"> </w:t>
      </w:r>
      <w:hyperlink r:id="rId1" w:history="1">
        <w:r w:rsidRPr="00565C73">
          <w:rPr>
            <w:rStyle w:val="Hyperlink"/>
            <w:lang w:val="en-US"/>
          </w:rPr>
          <w:t>Netherlands: EBRD shareholder profile</w:t>
        </w:r>
      </w:hyperlink>
      <w:r w:rsidRPr="00565C73">
        <w:rPr>
          <w:lang w:val="en-US"/>
        </w:rPr>
        <w:t xml:space="preserve"> </w:t>
      </w:r>
    </w:p>
  </w:footnote>
  <w:footnote w:id="6">
    <w:p w14:paraId="46E85F99" w14:textId="77777777" w:rsidR="003707BD" w:rsidRPr="00565C73" w:rsidRDefault="003707BD" w:rsidP="003707BD">
      <w:pPr>
        <w:pStyle w:val="FootnoteText"/>
        <w:rPr>
          <w:lang w:val="en-US"/>
        </w:rPr>
      </w:pPr>
    </w:p>
  </w:footnote>
  <w:footnote w:id="7">
    <w:p w14:paraId="0854A4B5" w14:textId="77777777" w:rsidR="00722A0C" w:rsidRPr="001B1C18" w:rsidRDefault="00722A0C" w:rsidP="00722A0C">
      <w:pPr>
        <w:pStyle w:val="FootnoteText"/>
        <w:rPr>
          <w:lang w:val="en-US"/>
        </w:rPr>
      </w:pPr>
      <w:r>
        <w:rPr>
          <w:rStyle w:val="FootnoteReference"/>
        </w:rPr>
        <w:footnoteRef/>
      </w:r>
      <w:r w:rsidRPr="001B1C18">
        <w:rPr>
          <w:lang w:val="en-US"/>
        </w:rPr>
        <w:t xml:space="preserve"> </w:t>
      </w:r>
      <w:hyperlink r:id="rId2" w:anchor="customtab-2148d91440-item-d8f79eaec8-tab" w:history="1">
        <w:r w:rsidRPr="001B1C18">
          <w:rPr>
            <w:rStyle w:val="Hyperlink"/>
            <w:lang w:val="en-US"/>
          </w:rPr>
          <w:t>Donor Partnerships | We invest in changing lives</w:t>
        </w:r>
      </w:hyperlink>
    </w:p>
  </w:footnote>
  <w:footnote w:id="8">
    <w:p w14:paraId="419F5E2E" w14:textId="77777777" w:rsidR="00834F3C" w:rsidRPr="00437014" w:rsidRDefault="00834F3C" w:rsidP="00834F3C">
      <w:pPr>
        <w:pStyle w:val="FootnoteText"/>
      </w:pPr>
      <w:r>
        <w:rPr>
          <w:rStyle w:val="FootnoteReference"/>
        </w:rPr>
        <w:footnoteRef/>
      </w:r>
      <w:r>
        <w:t xml:space="preserve"> </w:t>
      </w:r>
      <w:hyperlink r:id="rId3" w:history="1">
        <w:r w:rsidRPr="00437014">
          <w:rPr>
            <w:rStyle w:val="Hyperlink"/>
          </w:rPr>
          <w:t>Internationale Crisismaatregelen tijdens de pandemie | Rapport | Rijksoverheid.nl</w:t>
        </w:r>
      </w:hyperlink>
    </w:p>
  </w:footnote>
  <w:footnote w:id="9">
    <w:p w14:paraId="19ECE2C1" w14:textId="77777777" w:rsidR="00834F3C" w:rsidRPr="00BB1318" w:rsidRDefault="00834F3C" w:rsidP="00834F3C">
      <w:pPr>
        <w:pStyle w:val="FootnoteText"/>
      </w:pPr>
      <w:r>
        <w:rPr>
          <w:rStyle w:val="FootnoteReference"/>
        </w:rPr>
        <w:footnoteRef/>
      </w:r>
      <w:r w:rsidRPr="00BB1318">
        <w:t xml:space="preserve"> </w:t>
      </w:r>
      <w:hyperlink r:id="rId4" w:history="1">
        <w:r w:rsidRPr="00BB1318">
          <w:rPr>
            <w:rStyle w:val="Hyperlink"/>
          </w:rPr>
          <w:t>Kamerbrief over rapport Internationale Crisismaatregelen tijdens de pandemie | Kamerstuk | Rijksoverheid.nl</w:t>
        </w:r>
      </w:hyperlink>
    </w:p>
  </w:footnote>
  <w:footnote w:id="10">
    <w:p w14:paraId="0A54354E" w14:textId="77777777" w:rsidR="007B1702" w:rsidRPr="00B60B5C" w:rsidRDefault="007B1702" w:rsidP="007B1702">
      <w:pPr>
        <w:pStyle w:val="FootnoteText"/>
        <w:rPr>
          <w:lang w:val="en-US"/>
        </w:rPr>
      </w:pPr>
      <w:r>
        <w:rPr>
          <w:rStyle w:val="FootnoteReference"/>
        </w:rPr>
        <w:footnoteRef/>
      </w:r>
      <w:r w:rsidRPr="00B60B5C">
        <w:rPr>
          <w:lang w:val="en-US"/>
        </w:rPr>
        <w:t xml:space="preserve"> </w:t>
      </w:r>
      <w:hyperlink r:id="rId5" w:history="1">
        <w:r w:rsidRPr="00B60B5C">
          <w:rPr>
            <w:rStyle w:val="Hyperlink"/>
            <w:lang w:val="en-US"/>
          </w:rPr>
          <w:t>EBRD Provision of Background Screening Checks</w:t>
        </w:r>
      </w:hyperlink>
      <w:r>
        <w:rPr>
          <w:lang w:val="en-US"/>
        </w:rPr>
        <w:t xml:space="preserve"> </w:t>
      </w:r>
    </w:p>
  </w:footnote>
  <w:footnote w:id="11">
    <w:p w14:paraId="0CA5F051" w14:textId="77777777" w:rsidR="00C10EC1" w:rsidRPr="00B45AD1" w:rsidRDefault="00C10EC1" w:rsidP="00C10EC1">
      <w:pPr>
        <w:pStyle w:val="FootnoteText"/>
        <w:rPr>
          <w:lang w:val="en-US"/>
        </w:rPr>
      </w:pPr>
      <w:r>
        <w:rPr>
          <w:rStyle w:val="FootnoteReference"/>
        </w:rPr>
        <w:footnoteRef/>
      </w:r>
      <w:r w:rsidRPr="00B45AD1">
        <w:rPr>
          <w:lang w:val="en-US"/>
        </w:rPr>
        <w:t xml:space="preserve"> </w:t>
      </w:r>
      <w:hyperlink r:id="rId6" w:history="1">
        <w:r w:rsidRPr="00B45AD1">
          <w:rPr>
            <w:rStyle w:val="Hyperlink"/>
            <w:lang w:val="en-US"/>
          </w:rPr>
          <w:t>Basic documents of the EBRD</w:t>
        </w:r>
      </w:hyperlink>
    </w:p>
  </w:footnote>
  <w:footnote w:id="12">
    <w:p w14:paraId="658910F3" w14:textId="23611EC1" w:rsidR="006C24D1" w:rsidRPr="006C24D1" w:rsidRDefault="006C24D1">
      <w:pPr>
        <w:pStyle w:val="FootnoteText"/>
        <w:rPr>
          <w:lang w:val="en-US"/>
        </w:rPr>
      </w:pPr>
      <w:r>
        <w:rPr>
          <w:rStyle w:val="FootnoteReference"/>
        </w:rPr>
        <w:footnoteRef/>
      </w:r>
      <w:r w:rsidRPr="006C24D1">
        <w:rPr>
          <w:lang w:val="en-US"/>
        </w:rPr>
        <w:t xml:space="preserve"> </w:t>
      </w:r>
      <w:hyperlink r:id="rId7" w:history="1">
        <w:r w:rsidRPr="006C24D1">
          <w:rPr>
            <w:rStyle w:val="Hyperlink"/>
            <w:lang w:val="en-US"/>
          </w:rPr>
          <w:t>EBRD Food and Agribusiness Strategy 2025</w:t>
        </w:r>
      </w:hyperlink>
    </w:p>
  </w:footnote>
  <w:footnote w:id="13">
    <w:p w14:paraId="215E41CC" w14:textId="7815E33E" w:rsidR="00F94551" w:rsidRPr="00F94551" w:rsidRDefault="00F94551">
      <w:pPr>
        <w:pStyle w:val="FootnoteText"/>
        <w:rPr>
          <w:lang w:val="en-US"/>
        </w:rPr>
      </w:pPr>
      <w:r>
        <w:rPr>
          <w:rStyle w:val="FootnoteReference"/>
        </w:rPr>
        <w:footnoteRef/>
      </w:r>
      <w:r w:rsidRPr="00F94551">
        <w:rPr>
          <w:lang w:val="en-US"/>
        </w:rPr>
        <w:t xml:space="preserve"> </w:t>
      </w:r>
      <w:hyperlink r:id="rId8" w:history="1">
        <w:r w:rsidRPr="00F94551">
          <w:rPr>
            <w:rStyle w:val="Hyperlink"/>
            <w:lang w:val="en-US"/>
          </w:rPr>
          <w:t>Facilitating investment in the energy-water-land nexus in Central Asia (the EBRD Agrifood NEXUS Programme) | We invest in changing lives</w:t>
        </w:r>
      </w:hyperlink>
    </w:p>
  </w:footnote>
  <w:footnote w:id="14">
    <w:p w14:paraId="45F06E80" w14:textId="0F5F33DB" w:rsidR="0043641A" w:rsidRPr="0043641A" w:rsidRDefault="0043641A">
      <w:pPr>
        <w:pStyle w:val="FootnoteText"/>
        <w:rPr>
          <w:lang w:val="en-US"/>
        </w:rPr>
      </w:pPr>
      <w:r>
        <w:rPr>
          <w:rStyle w:val="FootnoteReference"/>
        </w:rPr>
        <w:footnoteRef/>
      </w:r>
      <w:r w:rsidRPr="0043641A">
        <w:rPr>
          <w:lang w:val="en-US"/>
        </w:rPr>
        <w:t xml:space="preserve"> </w:t>
      </w:r>
      <w:hyperlink r:id="rId9" w:history="1">
        <w:r w:rsidRPr="0043641A">
          <w:rPr>
            <w:rStyle w:val="Hyperlink"/>
            <w:lang w:val="en-US"/>
          </w:rPr>
          <w:t>Trade Facilitation Programme | We invest in changing lives</w:t>
        </w:r>
      </w:hyperlink>
    </w:p>
  </w:footnote>
  <w:footnote w:id="15">
    <w:p w14:paraId="25B5406B" w14:textId="77777777" w:rsidR="00A52A6F" w:rsidRPr="009F1560" w:rsidRDefault="00A52A6F" w:rsidP="00A52A6F">
      <w:pPr>
        <w:pStyle w:val="FootnoteText"/>
        <w:rPr>
          <w:lang w:val="en-US"/>
        </w:rPr>
      </w:pPr>
      <w:r>
        <w:rPr>
          <w:rStyle w:val="FootnoteReference"/>
        </w:rPr>
        <w:footnoteRef/>
      </w:r>
      <w:r w:rsidRPr="009F1560">
        <w:rPr>
          <w:lang w:val="en-US"/>
        </w:rPr>
        <w:t xml:space="preserve"> </w:t>
      </w:r>
      <w:hyperlink r:id="rId10" w:history="1">
        <w:r w:rsidRPr="009F1560">
          <w:rPr>
            <w:rStyle w:val="Hyperlink"/>
            <w:lang w:val="en-US"/>
          </w:rPr>
          <w:t>VCIP III | We invest in changing lives</w:t>
        </w:r>
      </w:hyperlink>
    </w:p>
  </w:footnote>
  <w:footnote w:id="16">
    <w:p w14:paraId="41DA73B5" w14:textId="05C99E15" w:rsidR="008F5470" w:rsidRPr="008F5470" w:rsidRDefault="008F5470">
      <w:pPr>
        <w:pStyle w:val="FootnoteText"/>
        <w:rPr>
          <w:lang w:val="en-US"/>
        </w:rPr>
      </w:pPr>
      <w:r>
        <w:rPr>
          <w:rStyle w:val="FootnoteReference"/>
        </w:rPr>
        <w:footnoteRef/>
      </w:r>
      <w:r w:rsidRPr="008F5470">
        <w:rPr>
          <w:lang w:val="en-US"/>
        </w:rPr>
        <w:t xml:space="preserve"> </w:t>
      </w:r>
      <w:hyperlink r:id="rId11" w:history="1">
        <w:r w:rsidRPr="008F5470">
          <w:rPr>
            <w:rStyle w:val="Hyperlink"/>
            <w:lang w:val="en-US"/>
          </w:rPr>
          <w:t>EBRD to allocate additional €3 billion for its Green Cities programme</w:t>
        </w:r>
      </w:hyperlink>
    </w:p>
  </w:footnote>
  <w:footnote w:id="17">
    <w:p w14:paraId="13FE0E16" w14:textId="77777777" w:rsidR="00155B02" w:rsidRPr="00565C73" w:rsidRDefault="00155B02" w:rsidP="00155B02">
      <w:pPr>
        <w:pStyle w:val="FootnoteText"/>
        <w:rPr>
          <w:lang w:val="en-US"/>
        </w:rPr>
      </w:pPr>
      <w:r>
        <w:rPr>
          <w:rStyle w:val="FootnoteReference"/>
        </w:rPr>
        <w:footnoteRef/>
      </w:r>
      <w:r w:rsidRPr="00565C73">
        <w:rPr>
          <w:lang w:val="en-US"/>
        </w:rPr>
        <w:t xml:space="preserve"> </w:t>
      </w:r>
      <w:hyperlink r:id="rId12" w:history="1">
        <w:r w:rsidRPr="00565C73">
          <w:rPr>
            <w:rStyle w:val="Hyperlink"/>
            <w:lang w:val="en-US"/>
          </w:rPr>
          <w:t>EBRD Gender Equality</w:t>
        </w:r>
      </w:hyperlink>
    </w:p>
  </w:footnote>
  <w:footnote w:id="18">
    <w:p w14:paraId="146F0F37" w14:textId="77777777" w:rsidR="00155B02" w:rsidRPr="00565C73" w:rsidRDefault="00155B02" w:rsidP="00155B02">
      <w:pPr>
        <w:pStyle w:val="FootnoteText"/>
        <w:rPr>
          <w:lang w:val="en-US"/>
        </w:rPr>
      </w:pPr>
      <w:r>
        <w:rPr>
          <w:rStyle w:val="FootnoteReference"/>
        </w:rPr>
        <w:footnoteRef/>
      </w:r>
      <w:r w:rsidRPr="00565C73">
        <w:rPr>
          <w:lang w:val="en-US"/>
        </w:rPr>
        <w:t xml:space="preserve"> </w:t>
      </w:r>
      <w:hyperlink r:id="rId13" w:history="1">
        <w:r w:rsidRPr="00565C73">
          <w:rPr>
            <w:rStyle w:val="Hyperlink"/>
            <w:lang w:val="en-US"/>
          </w:rPr>
          <w:t>Women in Business</w:t>
        </w:r>
      </w:hyperlink>
    </w:p>
  </w:footnote>
  <w:footnote w:id="19">
    <w:p w14:paraId="6F84D40A" w14:textId="77777777" w:rsidR="00155B02" w:rsidRPr="00953214" w:rsidRDefault="00155B02" w:rsidP="00155B02">
      <w:pPr>
        <w:pStyle w:val="FootnoteText"/>
        <w:rPr>
          <w:lang w:val="en-US"/>
        </w:rPr>
      </w:pPr>
      <w:r>
        <w:rPr>
          <w:rStyle w:val="FootnoteReference"/>
        </w:rPr>
        <w:footnoteRef/>
      </w:r>
      <w:r w:rsidRPr="00953214">
        <w:rPr>
          <w:lang w:val="en-US"/>
        </w:rPr>
        <w:t xml:space="preserve"> </w:t>
      </w:r>
      <w:hyperlink r:id="rId14" w:history="1">
        <w:r w:rsidRPr="00953214">
          <w:rPr>
            <w:rStyle w:val="Hyperlink"/>
            <w:lang w:val="en-US"/>
          </w:rPr>
          <w:t>EBRD's Approach to Civil Society Engagement | We invest in changing lives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D644" w14:textId="5934E70F" w:rsidR="00E0158F" w:rsidRPr="008517DE" w:rsidRDefault="00E0158F" w:rsidP="00E0158F">
    <w:pPr>
      <w:adjustRightInd w:val="0"/>
      <w:spacing w:line="180" w:lineRule="exact"/>
      <w:rPr>
        <w:sz w:val="13"/>
        <w:lang w:val="en-GB"/>
      </w:rPr>
    </w:pPr>
    <w:r w:rsidRPr="00E0158F">
      <w:rPr>
        <w:rStyle w:val="Huisstijl-Koptekst"/>
        <w:sz w:val="18"/>
        <w:szCs w:val="18"/>
        <w:lang w:val="en-US"/>
      </w:rPr>
      <w:t>20</w:t>
    </w:r>
    <w:r>
      <w:rPr>
        <w:rStyle w:val="Huisstijl-Koptekst"/>
        <w:sz w:val="18"/>
        <w:szCs w:val="18"/>
        <w:lang w:val="en-US"/>
      </w:rPr>
      <w:t xml:space="preserve">25 </w:t>
    </w: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proofErr w:type="spellStart"/>
    <w:r w:rsidRPr="00D94DB4">
      <w:rPr>
        <w:rStyle w:val="Huisstijl-Koptekst"/>
        <w:sz w:val="18"/>
        <w:szCs w:val="18"/>
        <w:lang w:val="en-GB"/>
      </w:rPr>
      <w:t>Score</w:t>
    </w:r>
    <w:r w:rsidR="00A11DD8">
      <w:rPr>
        <w:rStyle w:val="Huisstijl-Koptekst"/>
        <w:sz w:val="18"/>
        <w:szCs w:val="18"/>
        <w:lang w:val="en-GB"/>
      </w:rPr>
      <w:t>kaart</w:t>
    </w:r>
    <w:proofErr w:type="spellEnd"/>
    <w:r w:rsidRPr="004111DA">
      <w:rPr>
        <w:rStyle w:val="Huisstijl-Koptekst"/>
        <w:sz w:val="18"/>
        <w:szCs w:val="18"/>
      </w:rPr>
      <w:fldChar w:fldCharType="end"/>
    </w:r>
    <w:r w:rsidRPr="007B163C">
      <w:rPr>
        <w:rStyle w:val="Huisstijl-Koptekst"/>
        <w:lang w:val="en-GB"/>
      </w:rPr>
      <w:t xml:space="preserve"> | </w:t>
    </w:r>
    <w:r>
      <w:rPr>
        <w:rStyle w:val="Huisstijl-Koptekst"/>
        <w:lang w:val="en-GB"/>
      </w:rPr>
      <w:t xml:space="preserve">European Bank for Reconstruction and Development (EBRD) </w:t>
    </w:r>
    <w:r w:rsidRPr="008517DE">
      <w:rPr>
        <w:sz w:val="13"/>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586A" w14:textId="77777777" w:rsidR="002D5A57" w:rsidRPr="00785F18" w:rsidRDefault="002D5A57" w:rsidP="002D5A57">
    <w:r w:rsidRPr="00785F18">
      <w:rPr>
        <w:noProof/>
      </w:rPr>
      <mc:AlternateContent>
        <mc:Choice Requires="wps">
          <w:drawing>
            <wp:anchor distT="0" distB="0" distL="114300" distR="114300" simplePos="0" relativeHeight="251659264" behindDoc="0" locked="0" layoutInCell="1" allowOverlap="1" wp14:anchorId="4AE67AB2" wp14:editId="06FDCCD1">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2D5A57" w14:paraId="5E6D2AEE" w14:textId="77777777">
                            <w:trPr>
                              <w:trHeight w:val="2636"/>
                            </w:trPr>
                            <w:tc>
                              <w:tcPr>
                                <w:tcW w:w="737" w:type="dxa"/>
                                <w:shd w:val="clear" w:color="auto" w:fill="auto"/>
                              </w:tcPr>
                              <w:p w14:paraId="2C8A3585" w14:textId="77777777" w:rsidR="002D5A57" w:rsidRDefault="002D5A57" w:rsidP="006E263E">
                                <w:pPr>
                                  <w:spacing w:line="240" w:lineRule="auto"/>
                                </w:pPr>
                                <w:bookmarkStart w:id="54" w:name="bm_BZlogo"/>
                                <w:bookmarkEnd w:id="54"/>
                                <w:r>
                                  <w:rPr>
                                    <w:noProof/>
                                  </w:rPr>
                                  <w:drawing>
                                    <wp:inline distT="0" distB="0" distL="0" distR="0" wp14:anchorId="36F18A5D" wp14:editId="6B55E6C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4D33FC91" w14:textId="77777777" w:rsidR="002D5A57" w:rsidRDefault="002D5A57" w:rsidP="006E263E">
                                <w:pPr>
                                  <w:spacing w:line="240" w:lineRule="auto"/>
                                </w:pPr>
                                <w:r>
                                  <w:rPr>
                                    <w:noProof/>
                                  </w:rPr>
                                  <w:drawing>
                                    <wp:inline distT="0" distB="0" distL="0" distR="0" wp14:anchorId="59825334" wp14:editId="77BECAA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1D14C7A7" w14:textId="77777777" w:rsidR="002D5A57" w:rsidRDefault="002D5A57" w:rsidP="002D5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67AB2" id="_x0000_t202" coordsize="21600,21600" o:spt="202" path="m,l,21600r21600,l21600,xe">
              <v:stroke joinstyle="miter"/>
              <v:path gradientshapeok="t" o:connecttype="rect"/>
            </v:shapetype>
            <v:shape id="_x0000_s1027" type="#_x0000_t202" style="position:absolute;margin-left:109.2pt;margin-top:-6.9pt;width:317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2D5A57" w14:paraId="5E6D2AEE" w14:textId="77777777">
                      <w:trPr>
                        <w:trHeight w:val="2636"/>
                      </w:trPr>
                      <w:tc>
                        <w:tcPr>
                          <w:tcW w:w="737" w:type="dxa"/>
                          <w:shd w:val="clear" w:color="auto" w:fill="auto"/>
                        </w:tcPr>
                        <w:p w14:paraId="2C8A3585" w14:textId="77777777" w:rsidR="002D5A57" w:rsidRDefault="002D5A57" w:rsidP="006E263E">
                          <w:pPr>
                            <w:spacing w:line="240" w:lineRule="auto"/>
                          </w:pPr>
                          <w:bookmarkStart w:id="55" w:name="bm_BZlogo"/>
                          <w:bookmarkEnd w:id="55"/>
                          <w:r>
                            <w:rPr>
                              <w:noProof/>
                            </w:rPr>
                            <w:drawing>
                              <wp:inline distT="0" distB="0" distL="0" distR="0" wp14:anchorId="36F18A5D" wp14:editId="6B55E6C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4D33FC91" w14:textId="77777777" w:rsidR="002D5A57" w:rsidRDefault="002D5A57" w:rsidP="006E263E">
                          <w:pPr>
                            <w:spacing w:line="240" w:lineRule="auto"/>
                          </w:pPr>
                          <w:r>
                            <w:rPr>
                              <w:noProof/>
                            </w:rPr>
                            <w:drawing>
                              <wp:inline distT="0" distB="0" distL="0" distR="0" wp14:anchorId="59825334" wp14:editId="77BECAA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1D14C7A7" w14:textId="77777777" w:rsidR="002D5A57" w:rsidRDefault="002D5A57" w:rsidP="002D5A57"/>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2D5A57" w:rsidRPr="00785F18" w14:paraId="3D05EB7D" w14:textId="77777777" w:rsidTr="00D15E6D">
      <w:trPr>
        <w:cantSplit/>
        <w:trHeight w:hRule="exact" w:val="3340"/>
      </w:trPr>
      <w:tc>
        <w:tcPr>
          <w:tcW w:w="5640" w:type="dxa"/>
          <w:shd w:val="clear" w:color="auto" w:fill="auto"/>
        </w:tcPr>
        <w:p w14:paraId="56B6C73A" w14:textId="77777777" w:rsidR="002D5A57" w:rsidRPr="00785F18" w:rsidRDefault="002D5A57" w:rsidP="002D5A57">
          <w:pPr>
            <w:ind w:left="240" w:hanging="240"/>
          </w:pPr>
        </w:p>
      </w:tc>
    </w:tr>
    <w:tr w:rsidR="002D5A57" w:rsidRPr="00D40C9E" w14:paraId="5F902A5F" w14:textId="77777777" w:rsidTr="00D15E6D">
      <w:trPr>
        <w:cantSplit/>
        <w:trHeight w:hRule="exact" w:val="1440"/>
      </w:trPr>
      <w:tc>
        <w:tcPr>
          <w:tcW w:w="5640" w:type="dxa"/>
          <w:shd w:val="clear" w:color="auto" w:fill="auto"/>
        </w:tcPr>
        <w:p w14:paraId="2727F813" w14:textId="77777777" w:rsidR="002D5A57" w:rsidRPr="00785F18" w:rsidRDefault="002D5A57" w:rsidP="002D5A57">
          <w:pPr>
            <w:rPr>
              <w:rStyle w:val="Huisstijl-Rubricering"/>
              <w:smallCaps w:val="0"/>
            </w:rPr>
          </w:pPr>
        </w:p>
        <w:p w14:paraId="074DAB8D" w14:textId="77777777" w:rsidR="002D5A57" w:rsidRPr="008D07F4" w:rsidRDefault="002D5A57" w:rsidP="002D5A57">
          <w:pPr>
            <w:pStyle w:val="Title"/>
            <w:rPr>
              <w:lang w:val="en-US"/>
            </w:rPr>
          </w:pPr>
          <w:bookmarkStart w:id="56" w:name="titel"/>
          <w:r w:rsidRPr="008D07F4">
            <w:rPr>
              <w:lang w:val="en-US"/>
            </w:rPr>
            <w:t>2025 Score</w:t>
          </w:r>
          <w:bookmarkEnd w:id="56"/>
          <w:r w:rsidRPr="008D07F4">
            <w:rPr>
              <w:lang w:val="en-US"/>
            </w:rPr>
            <w:t>kaart</w:t>
          </w:r>
        </w:p>
        <w:p w14:paraId="49BAFB31" w14:textId="45CED440" w:rsidR="002D5A57" w:rsidRPr="008D07F4" w:rsidRDefault="002D5A57" w:rsidP="002D5A57">
          <w:pPr>
            <w:pStyle w:val="Title"/>
            <w:rPr>
              <w:lang w:val="en-US"/>
            </w:rPr>
          </w:pPr>
          <w:r>
            <w:rPr>
              <w:lang w:val="en-US"/>
            </w:rPr>
            <w:t>European Bank for Reconstruction and Development</w:t>
          </w:r>
          <w:r w:rsidRPr="008D07F4">
            <w:rPr>
              <w:lang w:val="en-US"/>
            </w:rPr>
            <w:t xml:space="preserve"> (</w:t>
          </w:r>
          <w:r>
            <w:rPr>
              <w:lang w:val="en-US"/>
            </w:rPr>
            <w:t>EBRD)</w:t>
          </w:r>
        </w:p>
        <w:p w14:paraId="25435EC5" w14:textId="77777777" w:rsidR="002D5A57" w:rsidRPr="00B36546" w:rsidRDefault="002D5A57" w:rsidP="002D5A57">
          <w:pPr>
            <w:rPr>
              <w:lang w:val="en-GB"/>
            </w:rPr>
          </w:pPr>
        </w:p>
        <w:p w14:paraId="2497687C" w14:textId="77777777" w:rsidR="002D5A57" w:rsidRPr="00B36546" w:rsidRDefault="002D5A57" w:rsidP="002D5A57">
          <w:pPr>
            <w:tabs>
              <w:tab w:val="left" w:pos="3281"/>
            </w:tabs>
            <w:rPr>
              <w:lang w:val="en-GB"/>
            </w:rPr>
          </w:pPr>
          <w:r w:rsidRPr="00B36546">
            <w:rPr>
              <w:lang w:val="en-GB"/>
            </w:rPr>
            <w:tab/>
          </w:r>
        </w:p>
      </w:tc>
    </w:tr>
    <w:tr w:rsidR="002D5A57" w:rsidRPr="00D40C9E" w14:paraId="4903285D" w14:textId="77777777" w:rsidTr="00D15E6D">
      <w:trPr>
        <w:cantSplit/>
        <w:trHeight w:hRule="exact" w:val="240"/>
      </w:trPr>
      <w:tc>
        <w:tcPr>
          <w:tcW w:w="5640" w:type="dxa"/>
          <w:shd w:val="clear" w:color="auto" w:fill="auto"/>
        </w:tcPr>
        <w:p w14:paraId="38B669BC" w14:textId="77777777" w:rsidR="002D5A57" w:rsidRPr="00B36546" w:rsidRDefault="002D5A57" w:rsidP="002D5A57">
          <w:pPr>
            <w:rPr>
              <w:lang w:val="en-GB"/>
            </w:rPr>
          </w:pPr>
        </w:p>
      </w:tc>
    </w:tr>
    <w:tr w:rsidR="002D5A57" w:rsidRPr="00D40C9E" w14:paraId="6E19F466" w14:textId="77777777" w:rsidTr="00D15E6D">
      <w:trPr>
        <w:cantSplit/>
        <w:trHeight w:hRule="exact" w:val="480"/>
      </w:trPr>
      <w:tc>
        <w:tcPr>
          <w:tcW w:w="5640" w:type="dxa"/>
          <w:shd w:val="clear" w:color="auto" w:fill="auto"/>
        </w:tcPr>
        <w:p w14:paraId="1930542D" w14:textId="77777777" w:rsidR="002D5A57" w:rsidRPr="00B36546" w:rsidRDefault="002D5A57" w:rsidP="002D5A57">
          <w:pPr>
            <w:rPr>
              <w:lang w:val="en-GB"/>
            </w:rPr>
          </w:pPr>
        </w:p>
      </w:tc>
    </w:tr>
  </w:tbl>
  <w:p w14:paraId="74C1D3C7" w14:textId="77777777" w:rsidR="002D5A57" w:rsidRPr="00B36546" w:rsidRDefault="002D5A57" w:rsidP="002D5A57">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w:t>
    </w:r>
    <w:proofErr w:type="spellStart"/>
    <w:r>
      <w:rPr>
        <w:lang w:val="en-GB"/>
      </w:rPr>
      <w:t>xxxx</w:t>
    </w:r>
    <w:proofErr w:type="spellEnd"/>
    <w:r>
      <w:rPr>
        <w:lang w:val="en-GB"/>
      </w:rPr>
      <w:t>]</w:t>
    </w:r>
  </w:p>
  <w:p w14:paraId="1F5D8955" w14:textId="77777777" w:rsidR="003707BD" w:rsidRPr="002D5A57" w:rsidRDefault="003707BD" w:rsidP="002D5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77777777"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D94DB4">
            <w:rPr>
              <w:rStyle w:val="Huisstijl-Koptekst"/>
              <w:sz w:val="18"/>
              <w:szCs w:val="18"/>
              <w:lang w:val="en-GB"/>
            </w:rPr>
            <w:t>Scorecard</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0000402"/>
    <w:multiLevelType w:val="multilevel"/>
    <w:tmpl w:val="FFFFFFFF"/>
    <w:lvl w:ilvl="0">
      <w:numFmt w:val="bullet"/>
      <w:lvlText w:val="•"/>
      <w:lvlJc w:val="left"/>
      <w:pPr>
        <w:ind w:left="597" w:hanging="227"/>
      </w:pPr>
      <w:rPr>
        <w:rFonts w:ascii="Arial" w:hAnsi="Arial" w:cs="Arial"/>
        <w:b w:val="0"/>
        <w:bCs w:val="0"/>
        <w:i w:val="0"/>
        <w:iCs w:val="0"/>
        <w:color w:val="88C7D8"/>
        <w:spacing w:val="0"/>
        <w:w w:val="225"/>
        <w:sz w:val="16"/>
        <w:szCs w:val="16"/>
      </w:rPr>
    </w:lvl>
    <w:lvl w:ilvl="1">
      <w:numFmt w:val="bullet"/>
      <w:lvlText w:val="•"/>
      <w:lvlJc w:val="left"/>
      <w:pPr>
        <w:ind w:left="1494" w:hanging="227"/>
      </w:pPr>
    </w:lvl>
    <w:lvl w:ilvl="2">
      <w:numFmt w:val="bullet"/>
      <w:lvlText w:val="•"/>
      <w:lvlJc w:val="left"/>
      <w:pPr>
        <w:ind w:left="2389" w:hanging="227"/>
      </w:pPr>
    </w:lvl>
    <w:lvl w:ilvl="3">
      <w:numFmt w:val="bullet"/>
      <w:lvlText w:val="•"/>
      <w:lvlJc w:val="left"/>
      <w:pPr>
        <w:ind w:left="3283" w:hanging="227"/>
      </w:pPr>
    </w:lvl>
    <w:lvl w:ilvl="4">
      <w:numFmt w:val="bullet"/>
      <w:lvlText w:val="•"/>
      <w:lvlJc w:val="left"/>
      <w:pPr>
        <w:ind w:left="4178" w:hanging="227"/>
      </w:pPr>
    </w:lvl>
    <w:lvl w:ilvl="5">
      <w:numFmt w:val="bullet"/>
      <w:lvlText w:val="•"/>
      <w:lvlJc w:val="left"/>
      <w:pPr>
        <w:ind w:left="5072" w:hanging="227"/>
      </w:pPr>
    </w:lvl>
    <w:lvl w:ilvl="6">
      <w:numFmt w:val="bullet"/>
      <w:lvlText w:val="•"/>
      <w:lvlJc w:val="left"/>
      <w:pPr>
        <w:ind w:left="5967" w:hanging="227"/>
      </w:pPr>
    </w:lvl>
    <w:lvl w:ilvl="7">
      <w:numFmt w:val="bullet"/>
      <w:lvlText w:val="•"/>
      <w:lvlJc w:val="left"/>
      <w:pPr>
        <w:ind w:left="6861" w:hanging="227"/>
      </w:pPr>
    </w:lvl>
    <w:lvl w:ilvl="8">
      <w:numFmt w:val="bullet"/>
      <w:lvlText w:val="•"/>
      <w:lvlJc w:val="left"/>
      <w:pPr>
        <w:ind w:left="7756" w:hanging="227"/>
      </w:pPr>
    </w:lvl>
  </w:abstractNum>
  <w:abstractNum w:abstractNumId="2" w15:restartNumberingAfterBreak="0">
    <w:nsid w:val="030A3F64"/>
    <w:multiLevelType w:val="hybridMultilevel"/>
    <w:tmpl w:val="D430E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4" w15:restartNumberingAfterBreak="0">
    <w:nsid w:val="0EF0527E"/>
    <w:multiLevelType w:val="hybridMultilevel"/>
    <w:tmpl w:val="09E4DDAA"/>
    <w:lvl w:ilvl="0" w:tplc="0413000F">
      <w:start w:val="1"/>
      <w:numFmt w:val="decimal"/>
      <w:lvlText w:val="%1."/>
      <w:lvlJc w:val="left"/>
      <w:pPr>
        <w:ind w:left="1090" w:hanging="360"/>
      </w:pPr>
    </w:lvl>
    <w:lvl w:ilvl="1" w:tplc="04130019" w:tentative="1">
      <w:start w:val="1"/>
      <w:numFmt w:val="lowerLetter"/>
      <w:lvlText w:val="%2."/>
      <w:lvlJc w:val="left"/>
      <w:pPr>
        <w:ind w:left="1810" w:hanging="360"/>
      </w:pPr>
    </w:lvl>
    <w:lvl w:ilvl="2" w:tplc="0413001B" w:tentative="1">
      <w:start w:val="1"/>
      <w:numFmt w:val="lowerRoman"/>
      <w:lvlText w:val="%3."/>
      <w:lvlJc w:val="right"/>
      <w:pPr>
        <w:ind w:left="2530" w:hanging="180"/>
      </w:pPr>
    </w:lvl>
    <w:lvl w:ilvl="3" w:tplc="0413000F" w:tentative="1">
      <w:start w:val="1"/>
      <w:numFmt w:val="decimal"/>
      <w:lvlText w:val="%4."/>
      <w:lvlJc w:val="left"/>
      <w:pPr>
        <w:ind w:left="3250" w:hanging="360"/>
      </w:pPr>
    </w:lvl>
    <w:lvl w:ilvl="4" w:tplc="04130019" w:tentative="1">
      <w:start w:val="1"/>
      <w:numFmt w:val="lowerLetter"/>
      <w:lvlText w:val="%5."/>
      <w:lvlJc w:val="left"/>
      <w:pPr>
        <w:ind w:left="3970" w:hanging="360"/>
      </w:pPr>
    </w:lvl>
    <w:lvl w:ilvl="5" w:tplc="0413001B" w:tentative="1">
      <w:start w:val="1"/>
      <w:numFmt w:val="lowerRoman"/>
      <w:lvlText w:val="%6."/>
      <w:lvlJc w:val="right"/>
      <w:pPr>
        <w:ind w:left="4690" w:hanging="180"/>
      </w:pPr>
    </w:lvl>
    <w:lvl w:ilvl="6" w:tplc="0413000F" w:tentative="1">
      <w:start w:val="1"/>
      <w:numFmt w:val="decimal"/>
      <w:lvlText w:val="%7."/>
      <w:lvlJc w:val="left"/>
      <w:pPr>
        <w:ind w:left="5410" w:hanging="360"/>
      </w:pPr>
    </w:lvl>
    <w:lvl w:ilvl="7" w:tplc="04130019" w:tentative="1">
      <w:start w:val="1"/>
      <w:numFmt w:val="lowerLetter"/>
      <w:lvlText w:val="%8."/>
      <w:lvlJc w:val="left"/>
      <w:pPr>
        <w:ind w:left="6130" w:hanging="360"/>
      </w:pPr>
    </w:lvl>
    <w:lvl w:ilvl="8" w:tplc="0413001B" w:tentative="1">
      <w:start w:val="1"/>
      <w:numFmt w:val="lowerRoman"/>
      <w:lvlText w:val="%9."/>
      <w:lvlJc w:val="right"/>
      <w:pPr>
        <w:ind w:left="6850" w:hanging="180"/>
      </w:pPr>
    </w:lvl>
  </w:abstractNum>
  <w:abstractNum w:abstractNumId="5"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6" w15:restartNumberingAfterBreak="0">
    <w:nsid w:val="161428F9"/>
    <w:multiLevelType w:val="hybridMultilevel"/>
    <w:tmpl w:val="234CA38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568B4"/>
    <w:multiLevelType w:val="hybridMultilevel"/>
    <w:tmpl w:val="42E83F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644"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A5A20BC"/>
    <w:multiLevelType w:val="multilevel"/>
    <w:tmpl w:val="5AEEDE88"/>
    <w:numStyleLink w:val="StyleBulleted"/>
  </w:abstractNum>
  <w:abstractNum w:abstractNumId="9"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85FFE"/>
    <w:multiLevelType w:val="multilevel"/>
    <w:tmpl w:val="E14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F2D80"/>
    <w:multiLevelType w:val="hybridMultilevel"/>
    <w:tmpl w:val="96524C5C"/>
    <w:lvl w:ilvl="0" w:tplc="04130001">
      <w:start w:val="1"/>
      <w:numFmt w:val="bullet"/>
      <w:lvlText w:val=""/>
      <w:lvlJc w:val="left"/>
      <w:pPr>
        <w:ind w:left="1090" w:hanging="360"/>
      </w:pPr>
      <w:rPr>
        <w:rFonts w:ascii="Symbol" w:hAnsi="Symbol"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3"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4" w15:restartNumberingAfterBreak="0">
    <w:nsid w:val="2E4377D1"/>
    <w:multiLevelType w:val="multilevel"/>
    <w:tmpl w:val="9650F816"/>
    <w:lvl w:ilvl="0">
      <w:start w:val="1"/>
      <w:numFmt w:val="bullet"/>
      <w:lvlText w:val=""/>
      <w:lvlJc w:val="left"/>
      <w:pPr>
        <w:ind w:left="360" w:hanging="360"/>
      </w:pPr>
      <w:rPr>
        <w:rFonts w:ascii="Symbol" w:hAnsi="Symbol"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15"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6"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F46E88"/>
    <w:multiLevelType w:val="hybridMultilevel"/>
    <w:tmpl w:val="FE0234F6"/>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9" w15:restartNumberingAfterBreak="0">
    <w:nsid w:val="412317A1"/>
    <w:multiLevelType w:val="multilevel"/>
    <w:tmpl w:val="487E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6D52DF6"/>
    <w:multiLevelType w:val="hybridMultilevel"/>
    <w:tmpl w:val="DC729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601C7F"/>
    <w:multiLevelType w:val="multilevel"/>
    <w:tmpl w:val="D75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59334295"/>
    <w:multiLevelType w:val="hybridMultilevel"/>
    <w:tmpl w:val="256E6224"/>
    <w:lvl w:ilvl="0" w:tplc="04130015">
      <w:start w:val="1"/>
      <w:numFmt w:val="upperLetter"/>
      <w:lvlText w:val="%1."/>
      <w:lvlJc w:val="left"/>
      <w:pPr>
        <w:ind w:left="1090" w:hanging="360"/>
      </w:pPr>
    </w:lvl>
    <w:lvl w:ilvl="1" w:tplc="04130019" w:tentative="1">
      <w:start w:val="1"/>
      <w:numFmt w:val="lowerLetter"/>
      <w:lvlText w:val="%2."/>
      <w:lvlJc w:val="left"/>
      <w:pPr>
        <w:ind w:left="1810" w:hanging="360"/>
      </w:pPr>
    </w:lvl>
    <w:lvl w:ilvl="2" w:tplc="0413001B" w:tentative="1">
      <w:start w:val="1"/>
      <w:numFmt w:val="lowerRoman"/>
      <w:lvlText w:val="%3."/>
      <w:lvlJc w:val="right"/>
      <w:pPr>
        <w:ind w:left="2530" w:hanging="180"/>
      </w:pPr>
    </w:lvl>
    <w:lvl w:ilvl="3" w:tplc="0413000F" w:tentative="1">
      <w:start w:val="1"/>
      <w:numFmt w:val="decimal"/>
      <w:lvlText w:val="%4."/>
      <w:lvlJc w:val="left"/>
      <w:pPr>
        <w:ind w:left="3250" w:hanging="360"/>
      </w:pPr>
    </w:lvl>
    <w:lvl w:ilvl="4" w:tplc="04130019" w:tentative="1">
      <w:start w:val="1"/>
      <w:numFmt w:val="lowerLetter"/>
      <w:lvlText w:val="%5."/>
      <w:lvlJc w:val="left"/>
      <w:pPr>
        <w:ind w:left="3970" w:hanging="360"/>
      </w:pPr>
    </w:lvl>
    <w:lvl w:ilvl="5" w:tplc="0413001B" w:tentative="1">
      <w:start w:val="1"/>
      <w:numFmt w:val="lowerRoman"/>
      <w:lvlText w:val="%6."/>
      <w:lvlJc w:val="right"/>
      <w:pPr>
        <w:ind w:left="4690" w:hanging="180"/>
      </w:pPr>
    </w:lvl>
    <w:lvl w:ilvl="6" w:tplc="0413000F" w:tentative="1">
      <w:start w:val="1"/>
      <w:numFmt w:val="decimal"/>
      <w:lvlText w:val="%7."/>
      <w:lvlJc w:val="left"/>
      <w:pPr>
        <w:ind w:left="5410" w:hanging="360"/>
      </w:pPr>
    </w:lvl>
    <w:lvl w:ilvl="7" w:tplc="04130019" w:tentative="1">
      <w:start w:val="1"/>
      <w:numFmt w:val="lowerLetter"/>
      <w:lvlText w:val="%8."/>
      <w:lvlJc w:val="left"/>
      <w:pPr>
        <w:ind w:left="6130" w:hanging="360"/>
      </w:pPr>
    </w:lvl>
    <w:lvl w:ilvl="8" w:tplc="0413001B" w:tentative="1">
      <w:start w:val="1"/>
      <w:numFmt w:val="lowerRoman"/>
      <w:lvlText w:val="%9."/>
      <w:lvlJc w:val="right"/>
      <w:pPr>
        <w:ind w:left="6850" w:hanging="180"/>
      </w:pPr>
    </w:lvl>
  </w:abstractNum>
  <w:abstractNum w:abstractNumId="26" w15:restartNumberingAfterBreak="0">
    <w:nsid w:val="5C894ACE"/>
    <w:multiLevelType w:val="multilevel"/>
    <w:tmpl w:val="1A0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F6141F"/>
    <w:multiLevelType w:val="multilevel"/>
    <w:tmpl w:val="187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29"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31"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32" w15:restartNumberingAfterBreak="0">
    <w:nsid w:val="667F6F0E"/>
    <w:multiLevelType w:val="hybridMultilevel"/>
    <w:tmpl w:val="8146F7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34"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35" w15:restartNumberingAfterBreak="0">
    <w:nsid w:val="6C8A2BF0"/>
    <w:multiLevelType w:val="multilevel"/>
    <w:tmpl w:val="9650F816"/>
    <w:lvl w:ilvl="0">
      <w:start w:val="1"/>
      <w:numFmt w:val="bullet"/>
      <w:lvlText w:val=""/>
      <w:lvlJc w:val="left"/>
      <w:pPr>
        <w:ind w:left="360" w:hanging="360"/>
      </w:pPr>
      <w:rPr>
        <w:rFonts w:ascii="Symbol" w:hAnsi="Symbol"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6"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7" w15:restartNumberingAfterBreak="0">
    <w:nsid w:val="777342D4"/>
    <w:multiLevelType w:val="multilevel"/>
    <w:tmpl w:val="F56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D55C6C"/>
    <w:multiLevelType w:val="hybridMultilevel"/>
    <w:tmpl w:val="B4E41FDC"/>
    <w:lvl w:ilvl="0" w:tplc="9FD2C66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7E4E4B4B"/>
    <w:multiLevelType w:val="hybridMultilevel"/>
    <w:tmpl w:val="2E783350"/>
    <w:lvl w:ilvl="0" w:tplc="04130001">
      <w:start w:val="1"/>
      <w:numFmt w:val="bullet"/>
      <w:lvlText w:val=""/>
      <w:lvlJc w:val="left"/>
      <w:pPr>
        <w:ind w:left="1090" w:hanging="360"/>
      </w:pPr>
      <w:rPr>
        <w:rFonts w:ascii="Symbol" w:hAnsi="Symbol"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41" w15:restartNumberingAfterBreak="0">
    <w:nsid w:val="7F122441"/>
    <w:multiLevelType w:val="multilevel"/>
    <w:tmpl w:val="28A2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739684">
    <w:abstractNumId w:val="28"/>
  </w:num>
  <w:num w:numId="2" w16cid:durableId="284311903">
    <w:abstractNumId w:val="31"/>
  </w:num>
  <w:num w:numId="3" w16cid:durableId="587690219">
    <w:abstractNumId w:val="18"/>
  </w:num>
  <w:num w:numId="4" w16cid:durableId="235826922">
    <w:abstractNumId w:val="0"/>
  </w:num>
  <w:num w:numId="5" w16cid:durableId="280891140">
    <w:abstractNumId w:val="34"/>
  </w:num>
  <w:num w:numId="6" w16cid:durableId="1047072295">
    <w:abstractNumId w:val="3"/>
  </w:num>
  <w:num w:numId="7" w16cid:durableId="314527761">
    <w:abstractNumId w:val="10"/>
  </w:num>
  <w:num w:numId="8" w16cid:durableId="756706139">
    <w:abstractNumId w:val="8"/>
  </w:num>
  <w:num w:numId="9" w16cid:durableId="1177692037">
    <w:abstractNumId w:val="30"/>
  </w:num>
  <w:num w:numId="10" w16cid:durableId="1831561140">
    <w:abstractNumId w:val="15"/>
  </w:num>
  <w:num w:numId="11" w16cid:durableId="1559248764">
    <w:abstractNumId w:val="36"/>
  </w:num>
  <w:num w:numId="12" w16cid:durableId="818033085">
    <w:abstractNumId w:val="5"/>
  </w:num>
  <w:num w:numId="13" w16cid:durableId="720596893">
    <w:abstractNumId w:val="9"/>
  </w:num>
  <w:num w:numId="14" w16cid:durableId="1294555136">
    <w:abstractNumId w:val="22"/>
  </w:num>
  <w:num w:numId="15" w16cid:durableId="1422216929">
    <w:abstractNumId w:val="29"/>
  </w:num>
  <w:num w:numId="16" w16cid:durableId="1604067006">
    <w:abstractNumId w:val="33"/>
  </w:num>
  <w:num w:numId="17" w16cid:durableId="20059299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3"/>
  </w:num>
  <w:num w:numId="21" w16cid:durableId="164833070">
    <w:abstractNumId w:val="16"/>
  </w:num>
  <w:num w:numId="22" w16cid:durableId="1340545236">
    <w:abstractNumId w:val="7"/>
  </w:num>
  <w:num w:numId="23" w16cid:durableId="782188914">
    <w:abstractNumId w:val="37"/>
  </w:num>
  <w:num w:numId="24" w16cid:durableId="1984038806">
    <w:abstractNumId w:val="23"/>
  </w:num>
  <w:num w:numId="25" w16cid:durableId="30884167">
    <w:abstractNumId w:val="11"/>
  </w:num>
  <w:num w:numId="26" w16cid:durableId="1915816731">
    <w:abstractNumId w:val="14"/>
  </w:num>
  <w:num w:numId="27" w16cid:durableId="488988187">
    <w:abstractNumId w:val="35"/>
  </w:num>
  <w:num w:numId="28" w16cid:durableId="1172525533">
    <w:abstractNumId w:val="19"/>
  </w:num>
  <w:num w:numId="29" w16cid:durableId="733115944">
    <w:abstractNumId w:val="1"/>
  </w:num>
  <w:num w:numId="30" w16cid:durableId="2005931254">
    <w:abstractNumId w:val="27"/>
  </w:num>
  <w:num w:numId="31" w16cid:durableId="786391626">
    <w:abstractNumId w:val="26"/>
  </w:num>
  <w:num w:numId="32" w16cid:durableId="2054496444">
    <w:abstractNumId w:val="41"/>
  </w:num>
  <w:num w:numId="33" w16cid:durableId="1497726254">
    <w:abstractNumId w:val="8"/>
  </w:num>
  <w:num w:numId="34" w16cid:durableId="1679305053">
    <w:abstractNumId w:val="20"/>
  </w:num>
  <w:num w:numId="35" w16cid:durableId="1185512259">
    <w:abstractNumId w:val="4"/>
  </w:num>
  <w:num w:numId="36" w16cid:durableId="1975333853">
    <w:abstractNumId w:val="25"/>
  </w:num>
  <w:num w:numId="37" w16cid:durableId="25983773">
    <w:abstractNumId w:val="38"/>
  </w:num>
  <w:num w:numId="38" w16cid:durableId="562251870">
    <w:abstractNumId w:val="17"/>
  </w:num>
  <w:num w:numId="39" w16cid:durableId="1160585726">
    <w:abstractNumId w:val="21"/>
  </w:num>
  <w:num w:numId="40" w16cid:durableId="2071267871">
    <w:abstractNumId w:val="2"/>
  </w:num>
  <w:num w:numId="41" w16cid:durableId="1424228593">
    <w:abstractNumId w:val="12"/>
  </w:num>
  <w:num w:numId="42" w16cid:durableId="930547835">
    <w:abstractNumId w:val="40"/>
  </w:num>
  <w:num w:numId="43" w16cid:durableId="2830851">
    <w:abstractNumId w:val="32"/>
  </w:num>
  <w:num w:numId="44" w16cid:durableId="41216974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3325"/>
    <w:rsid w:val="0000367D"/>
    <w:rsid w:val="0000392E"/>
    <w:rsid w:val="00003A32"/>
    <w:rsid w:val="00005884"/>
    <w:rsid w:val="00006E47"/>
    <w:rsid w:val="0001095C"/>
    <w:rsid w:val="000114F8"/>
    <w:rsid w:val="00013196"/>
    <w:rsid w:val="000133C9"/>
    <w:rsid w:val="00016C57"/>
    <w:rsid w:val="00020189"/>
    <w:rsid w:val="00020EE4"/>
    <w:rsid w:val="000220C2"/>
    <w:rsid w:val="000227EB"/>
    <w:rsid w:val="0002283C"/>
    <w:rsid w:val="000234D6"/>
    <w:rsid w:val="00024F20"/>
    <w:rsid w:val="0002628D"/>
    <w:rsid w:val="00026447"/>
    <w:rsid w:val="0002695C"/>
    <w:rsid w:val="000304C1"/>
    <w:rsid w:val="00031203"/>
    <w:rsid w:val="00031268"/>
    <w:rsid w:val="00032C0E"/>
    <w:rsid w:val="00033419"/>
    <w:rsid w:val="00033426"/>
    <w:rsid w:val="00033950"/>
    <w:rsid w:val="00033B68"/>
    <w:rsid w:val="00033E8D"/>
    <w:rsid w:val="00034A84"/>
    <w:rsid w:val="00035E67"/>
    <w:rsid w:val="0004048A"/>
    <w:rsid w:val="00040E9B"/>
    <w:rsid w:val="0004192F"/>
    <w:rsid w:val="000422E7"/>
    <w:rsid w:val="00043BCC"/>
    <w:rsid w:val="00044809"/>
    <w:rsid w:val="00045A4F"/>
    <w:rsid w:val="00045E5C"/>
    <w:rsid w:val="00046866"/>
    <w:rsid w:val="00047318"/>
    <w:rsid w:val="0005061F"/>
    <w:rsid w:val="00050ABD"/>
    <w:rsid w:val="00050B6A"/>
    <w:rsid w:val="00051416"/>
    <w:rsid w:val="0005459E"/>
    <w:rsid w:val="00054A4B"/>
    <w:rsid w:val="000559DE"/>
    <w:rsid w:val="00056A80"/>
    <w:rsid w:val="00057B03"/>
    <w:rsid w:val="0006027D"/>
    <w:rsid w:val="000605A3"/>
    <w:rsid w:val="00060FD4"/>
    <w:rsid w:val="00061924"/>
    <w:rsid w:val="000621D1"/>
    <w:rsid w:val="0006223F"/>
    <w:rsid w:val="00066F2B"/>
    <w:rsid w:val="0006700B"/>
    <w:rsid w:val="000705D1"/>
    <w:rsid w:val="000707AB"/>
    <w:rsid w:val="00071F28"/>
    <w:rsid w:val="00072371"/>
    <w:rsid w:val="0007330F"/>
    <w:rsid w:val="000737CF"/>
    <w:rsid w:val="00076FCC"/>
    <w:rsid w:val="00077900"/>
    <w:rsid w:val="00080AE8"/>
    <w:rsid w:val="00081825"/>
    <w:rsid w:val="00081DD4"/>
    <w:rsid w:val="0008255C"/>
    <w:rsid w:val="00082BB1"/>
    <w:rsid w:val="000842B5"/>
    <w:rsid w:val="000842F4"/>
    <w:rsid w:val="00085DD7"/>
    <w:rsid w:val="00085DFF"/>
    <w:rsid w:val="00085F22"/>
    <w:rsid w:val="0008640E"/>
    <w:rsid w:val="0008685F"/>
    <w:rsid w:val="0008784B"/>
    <w:rsid w:val="00087FA0"/>
    <w:rsid w:val="000903DE"/>
    <w:rsid w:val="00090808"/>
    <w:rsid w:val="0009114D"/>
    <w:rsid w:val="000912C6"/>
    <w:rsid w:val="000924C1"/>
    <w:rsid w:val="000930B0"/>
    <w:rsid w:val="000934B5"/>
    <w:rsid w:val="00093522"/>
    <w:rsid w:val="00093A5B"/>
    <w:rsid w:val="00094518"/>
    <w:rsid w:val="00094A14"/>
    <w:rsid w:val="00094B45"/>
    <w:rsid w:val="00096680"/>
    <w:rsid w:val="000968DA"/>
    <w:rsid w:val="00097B3F"/>
    <w:rsid w:val="000A01F6"/>
    <w:rsid w:val="000A0BB1"/>
    <w:rsid w:val="000A22CF"/>
    <w:rsid w:val="000A27FF"/>
    <w:rsid w:val="000A2DF7"/>
    <w:rsid w:val="000A381C"/>
    <w:rsid w:val="000A3A2F"/>
    <w:rsid w:val="000A3AF6"/>
    <w:rsid w:val="000B2A0F"/>
    <w:rsid w:val="000B422A"/>
    <w:rsid w:val="000B477F"/>
    <w:rsid w:val="000B56BB"/>
    <w:rsid w:val="000B64F8"/>
    <w:rsid w:val="000B7281"/>
    <w:rsid w:val="000B73BA"/>
    <w:rsid w:val="000B74FA"/>
    <w:rsid w:val="000B7F41"/>
    <w:rsid w:val="000C05BF"/>
    <w:rsid w:val="000C0757"/>
    <w:rsid w:val="000C07A1"/>
    <w:rsid w:val="000C082E"/>
    <w:rsid w:val="000C0FB6"/>
    <w:rsid w:val="000C3F40"/>
    <w:rsid w:val="000C43A2"/>
    <w:rsid w:val="000C4679"/>
    <w:rsid w:val="000C521E"/>
    <w:rsid w:val="000C575D"/>
    <w:rsid w:val="000C5810"/>
    <w:rsid w:val="000C5E4F"/>
    <w:rsid w:val="000C6EED"/>
    <w:rsid w:val="000D23CF"/>
    <w:rsid w:val="000D2C16"/>
    <w:rsid w:val="000D3986"/>
    <w:rsid w:val="000D7BB7"/>
    <w:rsid w:val="000E1062"/>
    <w:rsid w:val="000E15AA"/>
    <w:rsid w:val="000E1935"/>
    <w:rsid w:val="000E21AD"/>
    <w:rsid w:val="000E3AC1"/>
    <w:rsid w:val="000E71A3"/>
    <w:rsid w:val="000F03D7"/>
    <w:rsid w:val="000F1533"/>
    <w:rsid w:val="000F1A72"/>
    <w:rsid w:val="000F2632"/>
    <w:rsid w:val="000F2D5F"/>
    <w:rsid w:val="000F46A7"/>
    <w:rsid w:val="000F4821"/>
    <w:rsid w:val="000F4B53"/>
    <w:rsid w:val="000F50E5"/>
    <w:rsid w:val="000F53BE"/>
    <w:rsid w:val="000F6168"/>
    <w:rsid w:val="000F61BB"/>
    <w:rsid w:val="000F67BA"/>
    <w:rsid w:val="000F6808"/>
    <w:rsid w:val="00101F98"/>
    <w:rsid w:val="00102DFB"/>
    <w:rsid w:val="001031E7"/>
    <w:rsid w:val="00103CC2"/>
    <w:rsid w:val="00104517"/>
    <w:rsid w:val="001069BA"/>
    <w:rsid w:val="00107EB4"/>
    <w:rsid w:val="0011116F"/>
    <w:rsid w:val="00114212"/>
    <w:rsid w:val="00114290"/>
    <w:rsid w:val="001159B1"/>
    <w:rsid w:val="00116E2A"/>
    <w:rsid w:val="001210BF"/>
    <w:rsid w:val="00121AD6"/>
    <w:rsid w:val="00122BDB"/>
    <w:rsid w:val="00123082"/>
    <w:rsid w:val="00123704"/>
    <w:rsid w:val="00123841"/>
    <w:rsid w:val="00123F48"/>
    <w:rsid w:val="00124B64"/>
    <w:rsid w:val="00125028"/>
    <w:rsid w:val="00125154"/>
    <w:rsid w:val="00125A07"/>
    <w:rsid w:val="001270C7"/>
    <w:rsid w:val="00130DA2"/>
    <w:rsid w:val="00131D1F"/>
    <w:rsid w:val="00132AEB"/>
    <w:rsid w:val="0013367A"/>
    <w:rsid w:val="00133AC7"/>
    <w:rsid w:val="00134D07"/>
    <w:rsid w:val="00136130"/>
    <w:rsid w:val="00136D94"/>
    <w:rsid w:val="0014161D"/>
    <w:rsid w:val="00142259"/>
    <w:rsid w:val="00142628"/>
    <w:rsid w:val="00142859"/>
    <w:rsid w:val="001429A1"/>
    <w:rsid w:val="00142BCD"/>
    <w:rsid w:val="001431E5"/>
    <w:rsid w:val="00144379"/>
    <w:rsid w:val="0014786A"/>
    <w:rsid w:val="001505FB"/>
    <w:rsid w:val="0015109B"/>
    <w:rsid w:val="001516A4"/>
    <w:rsid w:val="0015316C"/>
    <w:rsid w:val="001548D7"/>
    <w:rsid w:val="00154AD8"/>
    <w:rsid w:val="00155179"/>
    <w:rsid w:val="00155B02"/>
    <w:rsid w:val="001566C4"/>
    <w:rsid w:val="00156E1E"/>
    <w:rsid w:val="00163F42"/>
    <w:rsid w:val="00163F5B"/>
    <w:rsid w:val="00163FA2"/>
    <w:rsid w:val="00163FF4"/>
    <w:rsid w:val="00164384"/>
    <w:rsid w:val="00164D75"/>
    <w:rsid w:val="001654A8"/>
    <w:rsid w:val="00165BCE"/>
    <w:rsid w:val="00166242"/>
    <w:rsid w:val="00167F79"/>
    <w:rsid w:val="001706AE"/>
    <w:rsid w:val="00171AFC"/>
    <w:rsid w:val="001739A0"/>
    <w:rsid w:val="00173C3A"/>
    <w:rsid w:val="001742A8"/>
    <w:rsid w:val="001753DD"/>
    <w:rsid w:val="00177E59"/>
    <w:rsid w:val="001801DC"/>
    <w:rsid w:val="001802CA"/>
    <w:rsid w:val="00180CBA"/>
    <w:rsid w:val="00181629"/>
    <w:rsid w:val="00181A35"/>
    <w:rsid w:val="00182BC9"/>
    <w:rsid w:val="00182C7C"/>
    <w:rsid w:val="00183CBA"/>
    <w:rsid w:val="00183FB1"/>
    <w:rsid w:val="00185576"/>
    <w:rsid w:val="00185951"/>
    <w:rsid w:val="00190517"/>
    <w:rsid w:val="00191587"/>
    <w:rsid w:val="00192687"/>
    <w:rsid w:val="0019336F"/>
    <w:rsid w:val="00193994"/>
    <w:rsid w:val="00193C27"/>
    <w:rsid w:val="00193FFD"/>
    <w:rsid w:val="00194809"/>
    <w:rsid w:val="001952F9"/>
    <w:rsid w:val="00195B13"/>
    <w:rsid w:val="001A20AC"/>
    <w:rsid w:val="001A2505"/>
    <w:rsid w:val="001A4CE3"/>
    <w:rsid w:val="001A5422"/>
    <w:rsid w:val="001A5841"/>
    <w:rsid w:val="001A70CC"/>
    <w:rsid w:val="001B0189"/>
    <w:rsid w:val="001B0197"/>
    <w:rsid w:val="001B01D9"/>
    <w:rsid w:val="001B1B4E"/>
    <w:rsid w:val="001B1C18"/>
    <w:rsid w:val="001B2C4B"/>
    <w:rsid w:val="001B3A53"/>
    <w:rsid w:val="001B5DC5"/>
    <w:rsid w:val="001B69A6"/>
    <w:rsid w:val="001B6A49"/>
    <w:rsid w:val="001B793F"/>
    <w:rsid w:val="001B7D7E"/>
    <w:rsid w:val="001C0CF4"/>
    <w:rsid w:val="001C1AF8"/>
    <w:rsid w:val="001C2B49"/>
    <w:rsid w:val="001C3DBE"/>
    <w:rsid w:val="001C3DE6"/>
    <w:rsid w:val="001C47F8"/>
    <w:rsid w:val="001C49CC"/>
    <w:rsid w:val="001C6550"/>
    <w:rsid w:val="001C793E"/>
    <w:rsid w:val="001D0371"/>
    <w:rsid w:val="001D0E4E"/>
    <w:rsid w:val="001D0FB6"/>
    <w:rsid w:val="001D26DD"/>
    <w:rsid w:val="001D288C"/>
    <w:rsid w:val="001D4F8D"/>
    <w:rsid w:val="001D5178"/>
    <w:rsid w:val="001D7F60"/>
    <w:rsid w:val="001E0C36"/>
    <w:rsid w:val="001E1014"/>
    <w:rsid w:val="001E1E35"/>
    <w:rsid w:val="001E2B9C"/>
    <w:rsid w:val="001E34C6"/>
    <w:rsid w:val="001E4F43"/>
    <w:rsid w:val="001E5581"/>
    <w:rsid w:val="001E58AD"/>
    <w:rsid w:val="001E73BA"/>
    <w:rsid w:val="001F0250"/>
    <w:rsid w:val="001F0D75"/>
    <w:rsid w:val="001F2538"/>
    <w:rsid w:val="001F299B"/>
    <w:rsid w:val="001F3AD3"/>
    <w:rsid w:val="001F41EE"/>
    <w:rsid w:val="001F4D72"/>
    <w:rsid w:val="001F54D1"/>
    <w:rsid w:val="001F562C"/>
    <w:rsid w:val="001F583B"/>
    <w:rsid w:val="001F6340"/>
    <w:rsid w:val="00203FCD"/>
    <w:rsid w:val="00204045"/>
    <w:rsid w:val="002068BD"/>
    <w:rsid w:val="00210629"/>
    <w:rsid w:val="00211122"/>
    <w:rsid w:val="0021113E"/>
    <w:rsid w:val="002121BE"/>
    <w:rsid w:val="00213265"/>
    <w:rsid w:val="0021384A"/>
    <w:rsid w:val="00216302"/>
    <w:rsid w:val="002165AB"/>
    <w:rsid w:val="00216ADD"/>
    <w:rsid w:val="002210FF"/>
    <w:rsid w:val="002212B1"/>
    <w:rsid w:val="00221806"/>
    <w:rsid w:val="0022184D"/>
    <w:rsid w:val="002222A2"/>
    <w:rsid w:val="00222326"/>
    <w:rsid w:val="0022295F"/>
    <w:rsid w:val="00223E42"/>
    <w:rsid w:val="002267E5"/>
    <w:rsid w:val="0023238C"/>
    <w:rsid w:val="00233D10"/>
    <w:rsid w:val="00234DF4"/>
    <w:rsid w:val="00234F48"/>
    <w:rsid w:val="00235AF9"/>
    <w:rsid w:val="002361F6"/>
    <w:rsid w:val="00237401"/>
    <w:rsid w:val="00237F45"/>
    <w:rsid w:val="002404E7"/>
    <w:rsid w:val="00240E28"/>
    <w:rsid w:val="0024163C"/>
    <w:rsid w:val="00242356"/>
    <w:rsid w:val="002428E3"/>
    <w:rsid w:val="00244A5A"/>
    <w:rsid w:val="00247458"/>
    <w:rsid w:val="0025034D"/>
    <w:rsid w:val="00251C77"/>
    <w:rsid w:val="00254103"/>
    <w:rsid w:val="0025600F"/>
    <w:rsid w:val="002568BC"/>
    <w:rsid w:val="00256E73"/>
    <w:rsid w:val="002579E2"/>
    <w:rsid w:val="00260BAF"/>
    <w:rsid w:val="00261F77"/>
    <w:rsid w:val="00262AAB"/>
    <w:rsid w:val="002633CA"/>
    <w:rsid w:val="002644F5"/>
    <w:rsid w:val="00264CB9"/>
    <w:rsid w:val="002650F7"/>
    <w:rsid w:val="00265477"/>
    <w:rsid w:val="00265FA2"/>
    <w:rsid w:val="00266018"/>
    <w:rsid w:val="00267BA5"/>
    <w:rsid w:val="0027051F"/>
    <w:rsid w:val="0027073C"/>
    <w:rsid w:val="002731C3"/>
    <w:rsid w:val="002733CD"/>
    <w:rsid w:val="00273D62"/>
    <w:rsid w:val="0027471C"/>
    <w:rsid w:val="00274E51"/>
    <w:rsid w:val="00275555"/>
    <w:rsid w:val="002803F3"/>
    <w:rsid w:val="0028070F"/>
    <w:rsid w:val="00280CF7"/>
    <w:rsid w:val="00280F74"/>
    <w:rsid w:val="00281846"/>
    <w:rsid w:val="00282B41"/>
    <w:rsid w:val="00283363"/>
    <w:rsid w:val="00283899"/>
    <w:rsid w:val="00286998"/>
    <w:rsid w:val="002874CC"/>
    <w:rsid w:val="00290320"/>
    <w:rsid w:val="0029055F"/>
    <w:rsid w:val="00290657"/>
    <w:rsid w:val="002912C8"/>
    <w:rsid w:val="002912E8"/>
    <w:rsid w:val="0029150C"/>
    <w:rsid w:val="002957DE"/>
    <w:rsid w:val="00296115"/>
    <w:rsid w:val="00297270"/>
    <w:rsid w:val="00297320"/>
    <w:rsid w:val="002A1373"/>
    <w:rsid w:val="002A149F"/>
    <w:rsid w:val="002A1CB5"/>
    <w:rsid w:val="002A1F0D"/>
    <w:rsid w:val="002A30F9"/>
    <w:rsid w:val="002A310E"/>
    <w:rsid w:val="002A5261"/>
    <w:rsid w:val="002A6BF7"/>
    <w:rsid w:val="002B0AFC"/>
    <w:rsid w:val="002B0F2F"/>
    <w:rsid w:val="002B153C"/>
    <w:rsid w:val="002B1BE2"/>
    <w:rsid w:val="002B6523"/>
    <w:rsid w:val="002B6A2F"/>
    <w:rsid w:val="002B7582"/>
    <w:rsid w:val="002B76D0"/>
    <w:rsid w:val="002B7FAF"/>
    <w:rsid w:val="002C0EE7"/>
    <w:rsid w:val="002C1141"/>
    <w:rsid w:val="002C2320"/>
    <w:rsid w:val="002C3659"/>
    <w:rsid w:val="002C45B0"/>
    <w:rsid w:val="002C54FA"/>
    <w:rsid w:val="002C55E0"/>
    <w:rsid w:val="002C6064"/>
    <w:rsid w:val="002C6A05"/>
    <w:rsid w:val="002C7285"/>
    <w:rsid w:val="002C7362"/>
    <w:rsid w:val="002C75D9"/>
    <w:rsid w:val="002C77AF"/>
    <w:rsid w:val="002D1801"/>
    <w:rsid w:val="002D1BD5"/>
    <w:rsid w:val="002D1C24"/>
    <w:rsid w:val="002D3129"/>
    <w:rsid w:val="002D317B"/>
    <w:rsid w:val="002D3BC0"/>
    <w:rsid w:val="002D5A57"/>
    <w:rsid w:val="002D6BF5"/>
    <w:rsid w:val="002D70F3"/>
    <w:rsid w:val="002E05CA"/>
    <w:rsid w:val="002E0F69"/>
    <w:rsid w:val="002E14DF"/>
    <w:rsid w:val="002E14E1"/>
    <w:rsid w:val="002E184D"/>
    <w:rsid w:val="002E1FAD"/>
    <w:rsid w:val="002E278A"/>
    <w:rsid w:val="002E3F64"/>
    <w:rsid w:val="002E44D1"/>
    <w:rsid w:val="002E47C2"/>
    <w:rsid w:val="002E5540"/>
    <w:rsid w:val="002E572E"/>
    <w:rsid w:val="002E69D5"/>
    <w:rsid w:val="002E7941"/>
    <w:rsid w:val="002F070F"/>
    <w:rsid w:val="002F1D5F"/>
    <w:rsid w:val="002F35DC"/>
    <w:rsid w:val="002F499A"/>
    <w:rsid w:val="002F4CA6"/>
    <w:rsid w:val="002F56DD"/>
    <w:rsid w:val="002F5E6C"/>
    <w:rsid w:val="002F6CE5"/>
    <w:rsid w:val="002F7070"/>
    <w:rsid w:val="002F7C05"/>
    <w:rsid w:val="0030018C"/>
    <w:rsid w:val="00300D9E"/>
    <w:rsid w:val="0030201A"/>
    <w:rsid w:val="00302C0A"/>
    <w:rsid w:val="0030310E"/>
    <w:rsid w:val="00303724"/>
    <w:rsid w:val="003051CC"/>
    <w:rsid w:val="00306B7E"/>
    <w:rsid w:val="00307981"/>
    <w:rsid w:val="00307CF0"/>
    <w:rsid w:val="00311D97"/>
    <w:rsid w:val="00312597"/>
    <w:rsid w:val="00312AE6"/>
    <w:rsid w:val="003139A4"/>
    <w:rsid w:val="00313F33"/>
    <w:rsid w:val="003141DF"/>
    <w:rsid w:val="00316305"/>
    <w:rsid w:val="0031751C"/>
    <w:rsid w:val="003202B9"/>
    <w:rsid w:val="00321AA3"/>
    <w:rsid w:val="00323304"/>
    <w:rsid w:val="00326699"/>
    <w:rsid w:val="003275F5"/>
    <w:rsid w:val="0033173E"/>
    <w:rsid w:val="00331B8E"/>
    <w:rsid w:val="00331EE5"/>
    <w:rsid w:val="0033207E"/>
    <w:rsid w:val="00333036"/>
    <w:rsid w:val="003331DA"/>
    <w:rsid w:val="00333A30"/>
    <w:rsid w:val="00333A9E"/>
    <w:rsid w:val="00334334"/>
    <w:rsid w:val="00335F89"/>
    <w:rsid w:val="003412ED"/>
    <w:rsid w:val="00341585"/>
    <w:rsid w:val="00341B5D"/>
    <w:rsid w:val="00342938"/>
    <w:rsid w:val="003431AC"/>
    <w:rsid w:val="00343E76"/>
    <w:rsid w:val="00343F24"/>
    <w:rsid w:val="00346306"/>
    <w:rsid w:val="003477DF"/>
    <w:rsid w:val="00350DC8"/>
    <w:rsid w:val="00353058"/>
    <w:rsid w:val="00353D56"/>
    <w:rsid w:val="003540E9"/>
    <w:rsid w:val="003554B8"/>
    <w:rsid w:val="00355575"/>
    <w:rsid w:val="003555BF"/>
    <w:rsid w:val="00357FCF"/>
    <w:rsid w:val="00361F33"/>
    <w:rsid w:val="0036223B"/>
    <w:rsid w:val="0036252A"/>
    <w:rsid w:val="00362B8F"/>
    <w:rsid w:val="003646BF"/>
    <w:rsid w:val="00364D9D"/>
    <w:rsid w:val="00365036"/>
    <w:rsid w:val="003662DC"/>
    <w:rsid w:val="003668AB"/>
    <w:rsid w:val="003707BD"/>
    <w:rsid w:val="00371603"/>
    <w:rsid w:val="00371806"/>
    <w:rsid w:val="00372476"/>
    <w:rsid w:val="003735B9"/>
    <w:rsid w:val="003737A8"/>
    <w:rsid w:val="0037461E"/>
    <w:rsid w:val="00374748"/>
    <w:rsid w:val="00376EEC"/>
    <w:rsid w:val="00380678"/>
    <w:rsid w:val="00382AE3"/>
    <w:rsid w:val="00383906"/>
    <w:rsid w:val="00383DA1"/>
    <w:rsid w:val="00387E90"/>
    <w:rsid w:val="003912B4"/>
    <w:rsid w:val="0039160C"/>
    <w:rsid w:val="00391E88"/>
    <w:rsid w:val="00392007"/>
    <w:rsid w:val="00392FDC"/>
    <w:rsid w:val="00393A3F"/>
    <w:rsid w:val="003943AF"/>
    <w:rsid w:val="003956AE"/>
    <w:rsid w:val="0039660F"/>
    <w:rsid w:val="0039741E"/>
    <w:rsid w:val="0039744C"/>
    <w:rsid w:val="00397C46"/>
    <w:rsid w:val="003A06C8"/>
    <w:rsid w:val="003A0D7C"/>
    <w:rsid w:val="003A1E73"/>
    <w:rsid w:val="003A32D7"/>
    <w:rsid w:val="003A65E8"/>
    <w:rsid w:val="003A667A"/>
    <w:rsid w:val="003A6C57"/>
    <w:rsid w:val="003A74F5"/>
    <w:rsid w:val="003A7AFA"/>
    <w:rsid w:val="003A7CA6"/>
    <w:rsid w:val="003B17D6"/>
    <w:rsid w:val="003B3443"/>
    <w:rsid w:val="003B40BE"/>
    <w:rsid w:val="003B4CB4"/>
    <w:rsid w:val="003B518B"/>
    <w:rsid w:val="003B529C"/>
    <w:rsid w:val="003B58E3"/>
    <w:rsid w:val="003B7321"/>
    <w:rsid w:val="003B7612"/>
    <w:rsid w:val="003B7799"/>
    <w:rsid w:val="003B7EE7"/>
    <w:rsid w:val="003C18C0"/>
    <w:rsid w:val="003C6ADC"/>
    <w:rsid w:val="003C72F3"/>
    <w:rsid w:val="003C7467"/>
    <w:rsid w:val="003D149A"/>
    <w:rsid w:val="003D1F17"/>
    <w:rsid w:val="003D244F"/>
    <w:rsid w:val="003D39EC"/>
    <w:rsid w:val="003D3A86"/>
    <w:rsid w:val="003D3E27"/>
    <w:rsid w:val="003D3F39"/>
    <w:rsid w:val="003D53B3"/>
    <w:rsid w:val="003D5452"/>
    <w:rsid w:val="003D606F"/>
    <w:rsid w:val="003D6943"/>
    <w:rsid w:val="003D78F6"/>
    <w:rsid w:val="003E0D8B"/>
    <w:rsid w:val="003E0DD1"/>
    <w:rsid w:val="003E231E"/>
    <w:rsid w:val="003E3DD5"/>
    <w:rsid w:val="003E5286"/>
    <w:rsid w:val="003E537A"/>
    <w:rsid w:val="003E55D6"/>
    <w:rsid w:val="003E6FCE"/>
    <w:rsid w:val="003E713E"/>
    <w:rsid w:val="003E7BF8"/>
    <w:rsid w:val="003E7ECF"/>
    <w:rsid w:val="003F0833"/>
    <w:rsid w:val="003F0B8C"/>
    <w:rsid w:val="003F1ECD"/>
    <w:rsid w:val="003F26FC"/>
    <w:rsid w:val="003F350F"/>
    <w:rsid w:val="003F44B7"/>
    <w:rsid w:val="003F75A0"/>
    <w:rsid w:val="00400683"/>
    <w:rsid w:val="00400F1C"/>
    <w:rsid w:val="00402366"/>
    <w:rsid w:val="0040306E"/>
    <w:rsid w:val="004030D8"/>
    <w:rsid w:val="00404B4E"/>
    <w:rsid w:val="00404BA4"/>
    <w:rsid w:val="00405BB4"/>
    <w:rsid w:val="00406AF7"/>
    <w:rsid w:val="004075F2"/>
    <w:rsid w:val="00410DE8"/>
    <w:rsid w:val="00410EFB"/>
    <w:rsid w:val="00411100"/>
    <w:rsid w:val="004111DA"/>
    <w:rsid w:val="00413826"/>
    <w:rsid w:val="00413D48"/>
    <w:rsid w:val="00414ACD"/>
    <w:rsid w:val="004168AE"/>
    <w:rsid w:val="004213B0"/>
    <w:rsid w:val="00422948"/>
    <w:rsid w:val="00422FEE"/>
    <w:rsid w:val="00425154"/>
    <w:rsid w:val="004264DC"/>
    <w:rsid w:val="00430CBE"/>
    <w:rsid w:val="00433051"/>
    <w:rsid w:val="0043601C"/>
    <w:rsid w:val="0043641A"/>
    <w:rsid w:val="00437014"/>
    <w:rsid w:val="004374FA"/>
    <w:rsid w:val="00437960"/>
    <w:rsid w:val="00437A9F"/>
    <w:rsid w:val="00437C5E"/>
    <w:rsid w:val="00441AC2"/>
    <w:rsid w:val="004425A0"/>
    <w:rsid w:val="00444592"/>
    <w:rsid w:val="00445FEE"/>
    <w:rsid w:val="00446396"/>
    <w:rsid w:val="0044678E"/>
    <w:rsid w:val="004469C1"/>
    <w:rsid w:val="00446D46"/>
    <w:rsid w:val="00447073"/>
    <w:rsid w:val="00447E60"/>
    <w:rsid w:val="00447F8F"/>
    <w:rsid w:val="0045061E"/>
    <w:rsid w:val="004510AC"/>
    <w:rsid w:val="004520E4"/>
    <w:rsid w:val="0045217A"/>
    <w:rsid w:val="004528F1"/>
    <w:rsid w:val="00452BCD"/>
    <w:rsid w:val="00453A1E"/>
    <w:rsid w:val="00454EC1"/>
    <w:rsid w:val="004555D7"/>
    <w:rsid w:val="00456A79"/>
    <w:rsid w:val="00456B63"/>
    <w:rsid w:val="00456C9B"/>
    <w:rsid w:val="0046002C"/>
    <w:rsid w:val="00460E7F"/>
    <w:rsid w:val="0046218D"/>
    <w:rsid w:val="00463FDE"/>
    <w:rsid w:val="0046457D"/>
    <w:rsid w:val="004655AB"/>
    <w:rsid w:val="004659CD"/>
    <w:rsid w:val="00467144"/>
    <w:rsid w:val="00467D2E"/>
    <w:rsid w:val="00470830"/>
    <w:rsid w:val="0047133E"/>
    <w:rsid w:val="004726E9"/>
    <w:rsid w:val="00473B74"/>
    <w:rsid w:val="00475966"/>
    <w:rsid w:val="00476574"/>
    <w:rsid w:val="00476808"/>
    <w:rsid w:val="00476C91"/>
    <w:rsid w:val="0048144D"/>
    <w:rsid w:val="0048181B"/>
    <w:rsid w:val="00483F0B"/>
    <w:rsid w:val="004846C7"/>
    <w:rsid w:val="00484913"/>
    <w:rsid w:val="00485A46"/>
    <w:rsid w:val="00486000"/>
    <w:rsid w:val="004867B9"/>
    <w:rsid w:val="004867E2"/>
    <w:rsid w:val="00487229"/>
    <w:rsid w:val="00487527"/>
    <w:rsid w:val="00490590"/>
    <w:rsid w:val="00492A5E"/>
    <w:rsid w:val="00493487"/>
    <w:rsid w:val="00494F1D"/>
    <w:rsid w:val="004956ED"/>
    <w:rsid w:val="004970A5"/>
    <w:rsid w:val="004972BD"/>
    <w:rsid w:val="004976BE"/>
    <w:rsid w:val="0049773D"/>
    <w:rsid w:val="004A05D0"/>
    <w:rsid w:val="004A2C08"/>
    <w:rsid w:val="004A5672"/>
    <w:rsid w:val="004A5E48"/>
    <w:rsid w:val="004A5F55"/>
    <w:rsid w:val="004A7BAF"/>
    <w:rsid w:val="004B02EC"/>
    <w:rsid w:val="004B0D6A"/>
    <w:rsid w:val="004B30C6"/>
    <w:rsid w:val="004B3BB8"/>
    <w:rsid w:val="004B5465"/>
    <w:rsid w:val="004B68F5"/>
    <w:rsid w:val="004B7506"/>
    <w:rsid w:val="004C0099"/>
    <w:rsid w:val="004C1744"/>
    <w:rsid w:val="004C1DAB"/>
    <w:rsid w:val="004C4242"/>
    <w:rsid w:val="004C6647"/>
    <w:rsid w:val="004C6666"/>
    <w:rsid w:val="004C7FE0"/>
    <w:rsid w:val="004D07B2"/>
    <w:rsid w:val="004D106D"/>
    <w:rsid w:val="004D1C3B"/>
    <w:rsid w:val="004D1C8B"/>
    <w:rsid w:val="004D2E94"/>
    <w:rsid w:val="004D372F"/>
    <w:rsid w:val="004D403F"/>
    <w:rsid w:val="004D4757"/>
    <w:rsid w:val="004D5060"/>
    <w:rsid w:val="004D5643"/>
    <w:rsid w:val="004D6378"/>
    <w:rsid w:val="004D6440"/>
    <w:rsid w:val="004E004C"/>
    <w:rsid w:val="004E022E"/>
    <w:rsid w:val="004E13BE"/>
    <w:rsid w:val="004E15C9"/>
    <w:rsid w:val="004E2609"/>
    <w:rsid w:val="004E271E"/>
    <w:rsid w:val="004E32F0"/>
    <w:rsid w:val="004E4EE9"/>
    <w:rsid w:val="004E60C0"/>
    <w:rsid w:val="004E611E"/>
    <w:rsid w:val="004E7715"/>
    <w:rsid w:val="004F0EF9"/>
    <w:rsid w:val="004F110E"/>
    <w:rsid w:val="004F252B"/>
    <w:rsid w:val="004F391C"/>
    <w:rsid w:val="004F3C83"/>
    <w:rsid w:val="004F4285"/>
    <w:rsid w:val="004F5098"/>
    <w:rsid w:val="004F53BC"/>
    <w:rsid w:val="004F5AFE"/>
    <w:rsid w:val="004F657C"/>
    <w:rsid w:val="004F680B"/>
    <w:rsid w:val="004F6950"/>
    <w:rsid w:val="00502AF4"/>
    <w:rsid w:val="00504887"/>
    <w:rsid w:val="00504EC6"/>
    <w:rsid w:val="005059B4"/>
    <w:rsid w:val="00505E80"/>
    <w:rsid w:val="00507B8D"/>
    <w:rsid w:val="00510633"/>
    <w:rsid w:val="00512A53"/>
    <w:rsid w:val="00513024"/>
    <w:rsid w:val="00513D35"/>
    <w:rsid w:val="00514729"/>
    <w:rsid w:val="005150FC"/>
    <w:rsid w:val="00516022"/>
    <w:rsid w:val="005166D1"/>
    <w:rsid w:val="00517B94"/>
    <w:rsid w:val="00521CEE"/>
    <w:rsid w:val="0052308A"/>
    <w:rsid w:val="00523546"/>
    <w:rsid w:val="00523BBF"/>
    <w:rsid w:val="00523F8B"/>
    <w:rsid w:val="00524549"/>
    <w:rsid w:val="005245FF"/>
    <w:rsid w:val="00524D65"/>
    <w:rsid w:val="00524EAB"/>
    <w:rsid w:val="00526152"/>
    <w:rsid w:val="00526C5B"/>
    <w:rsid w:val="00526E66"/>
    <w:rsid w:val="00526EC4"/>
    <w:rsid w:val="00526EEB"/>
    <w:rsid w:val="00527AD1"/>
    <w:rsid w:val="00530233"/>
    <w:rsid w:val="00530EAC"/>
    <w:rsid w:val="00532172"/>
    <w:rsid w:val="00532596"/>
    <w:rsid w:val="00534880"/>
    <w:rsid w:val="00537033"/>
    <w:rsid w:val="0053789D"/>
    <w:rsid w:val="00537DB3"/>
    <w:rsid w:val="005415F2"/>
    <w:rsid w:val="005443A9"/>
    <w:rsid w:val="005452CC"/>
    <w:rsid w:val="00545DC1"/>
    <w:rsid w:val="00546561"/>
    <w:rsid w:val="005466EF"/>
    <w:rsid w:val="005469CE"/>
    <w:rsid w:val="005477C5"/>
    <w:rsid w:val="00547CB3"/>
    <w:rsid w:val="0055032A"/>
    <w:rsid w:val="005505A1"/>
    <w:rsid w:val="005506A2"/>
    <w:rsid w:val="00551E1E"/>
    <w:rsid w:val="00553084"/>
    <w:rsid w:val="005530A7"/>
    <w:rsid w:val="005546E2"/>
    <w:rsid w:val="00554727"/>
    <w:rsid w:val="005553AD"/>
    <w:rsid w:val="005557A8"/>
    <w:rsid w:val="00555E3E"/>
    <w:rsid w:val="00556805"/>
    <w:rsid w:val="00556D2C"/>
    <w:rsid w:val="00557538"/>
    <w:rsid w:val="0055776D"/>
    <w:rsid w:val="005624A7"/>
    <w:rsid w:val="00562963"/>
    <w:rsid w:val="00562B28"/>
    <w:rsid w:val="00562ED1"/>
    <w:rsid w:val="0056454C"/>
    <w:rsid w:val="005652E2"/>
    <w:rsid w:val="00565C73"/>
    <w:rsid w:val="0057025E"/>
    <w:rsid w:val="00570367"/>
    <w:rsid w:val="00573041"/>
    <w:rsid w:val="00573368"/>
    <w:rsid w:val="0057402A"/>
    <w:rsid w:val="00574095"/>
    <w:rsid w:val="005749A5"/>
    <w:rsid w:val="00574A0A"/>
    <w:rsid w:val="00574C4F"/>
    <w:rsid w:val="005753FA"/>
    <w:rsid w:val="0057732A"/>
    <w:rsid w:val="0058059C"/>
    <w:rsid w:val="00581BED"/>
    <w:rsid w:val="00582942"/>
    <w:rsid w:val="00583AB8"/>
    <w:rsid w:val="00584568"/>
    <w:rsid w:val="00587797"/>
    <w:rsid w:val="00587CE6"/>
    <w:rsid w:val="005903FB"/>
    <w:rsid w:val="005906E8"/>
    <w:rsid w:val="00593255"/>
    <w:rsid w:val="005936CB"/>
    <w:rsid w:val="00593B69"/>
    <w:rsid w:val="005943F9"/>
    <w:rsid w:val="0059530B"/>
    <w:rsid w:val="0059680A"/>
    <w:rsid w:val="005968D8"/>
    <w:rsid w:val="00597477"/>
    <w:rsid w:val="00597D04"/>
    <w:rsid w:val="005A03A3"/>
    <w:rsid w:val="005A1A33"/>
    <w:rsid w:val="005A1D89"/>
    <w:rsid w:val="005A1DCC"/>
    <w:rsid w:val="005A463A"/>
    <w:rsid w:val="005A5D46"/>
    <w:rsid w:val="005A6ADB"/>
    <w:rsid w:val="005A79E3"/>
    <w:rsid w:val="005B0ADD"/>
    <w:rsid w:val="005B13DC"/>
    <w:rsid w:val="005B1F8E"/>
    <w:rsid w:val="005B1FB2"/>
    <w:rsid w:val="005B36E0"/>
    <w:rsid w:val="005B3919"/>
    <w:rsid w:val="005B4D49"/>
    <w:rsid w:val="005B4E04"/>
    <w:rsid w:val="005B4F7B"/>
    <w:rsid w:val="005B4F97"/>
    <w:rsid w:val="005B56E6"/>
    <w:rsid w:val="005B6A16"/>
    <w:rsid w:val="005B6D82"/>
    <w:rsid w:val="005B77E3"/>
    <w:rsid w:val="005C164B"/>
    <w:rsid w:val="005C1A3A"/>
    <w:rsid w:val="005C22DD"/>
    <w:rsid w:val="005C3A0F"/>
    <w:rsid w:val="005C3B9A"/>
    <w:rsid w:val="005C3FE0"/>
    <w:rsid w:val="005C400C"/>
    <w:rsid w:val="005C4875"/>
    <w:rsid w:val="005C4A83"/>
    <w:rsid w:val="005C7308"/>
    <w:rsid w:val="005C740C"/>
    <w:rsid w:val="005C79BA"/>
    <w:rsid w:val="005D003B"/>
    <w:rsid w:val="005D011F"/>
    <w:rsid w:val="005D0300"/>
    <w:rsid w:val="005D063A"/>
    <w:rsid w:val="005D1311"/>
    <w:rsid w:val="005D1E27"/>
    <w:rsid w:val="005D2310"/>
    <w:rsid w:val="005D3322"/>
    <w:rsid w:val="005D605B"/>
    <w:rsid w:val="005D6886"/>
    <w:rsid w:val="005D7CED"/>
    <w:rsid w:val="005E0571"/>
    <w:rsid w:val="005E17A4"/>
    <w:rsid w:val="005E25D4"/>
    <w:rsid w:val="005E2E6C"/>
    <w:rsid w:val="005E6236"/>
    <w:rsid w:val="005F0E31"/>
    <w:rsid w:val="005F23DB"/>
    <w:rsid w:val="005F2AD7"/>
    <w:rsid w:val="005F2F08"/>
    <w:rsid w:val="005F3C85"/>
    <w:rsid w:val="005F3FB6"/>
    <w:rsid w:val="005F431D"/>
    <w:rsid w:val="005F4FE7"/>
    <w:rsid w:val="005F55C9"/>
    <w:rsid w:val="00600777"/>
    <w:rsid w:val="0060167A"/>
    <w:rsid w:val="00601DC5"/>
    <w:rsid w:val="00602145"/>
    <w:rsid w:val="00602453"/>
    <w:rsid w:val="00604859"/>
    <w:rsid w:val="006048F4"/>
    <w:rsid w:val="00604AE1"/>
    <w:rsid w:val="00604F46"/>
    <w:rsid w:val="006064E1"/>
    <w:rsid w:val="0060660A"/>
    <w:rsid w:val="00610AAA"/>
    <w:rsid w:val="00611CB0"/>
    <w:rsid w:val="00612294"/>
    <w:rsid w:val="006123B1"/>
    <w:rsid w:val="00612E83"/>
    <w:rsid w:val="00613D07"/>
    <w:rsid w:val="006144B7"/>
    <w:rsid w:val="0061509D"/>
    <w:rsid w:val="006154C6"/>
    <w:rsid w:val="00615DAA"/>
    <w:rsid w:val="00616503"/>
    <w:rsid w:val="00616671"/>
    <w:rsid w:val="00616BC8"/>
    <w:rsid w:val="00617313"/>
    <w:rsid w:val="00617A44"/>
    <w:rsid w:val="006202B8"/>
    <w:rsid w:val="00621767"/>
    <w:rsid w:val="00625CD0"/>
    <w:rsid w:val="00625EB1"/>
    <w:rsid w:val="006271BD"/>
    <w:rsid w:val="00627C64"/>
    <w:rsid w:val="006315A0"/>
    <w:rsid w:val="006316B8"/>
    <w:rsid w:val="00631889"/>
    <w:rsid w:val="00632896"/>
    <w:rsid w:val="006329A1"/>
    <w:rsid w:val="00633D2B"/>
    <w:rsid w:val="00634A3C"/>
    <w:rsid w:val="00635DE3"/>
    <w:rsid w:val="00636AFD"/>
    <w:rsid w:val="006375B8"/>
    <w:rsid w:val="00641DD7"/>
    <w:rsid w:val="00643545"/>
    <w:rsid w:val="00645EC4"/>
    <w:rsid w:val="006469F6"/>
    <w:rsid w:val="00646D95"/>
    <w:rsid w:val="00646E47"/>
    <w:rsid w:val="006475C7"/>
    <w:rsid w:val="00651441"/>
    <w:rsid w:val="00651DC0"/>
    <w:rsid w:val="006522A0"/>
    <w:rsid w:val="0065281C"/>
    <w:rsid w:val="00652924"/>
    <w:rsid w:val="00653664"/>
    <w:rsid w:val="0065535E"/>
    <w:rsid w:val="006565D2"/>
    <w:rsid w:val="006569DB"/>
    <w:rsid w:val="00656C96"/>
    <w:rsid w:val="00657247"/>
    <w:rsid w:val="006578A0"/>
    <w:rsid w:val="006609AC"/>
    <w:rsid w:val="00661023"/>
    <w:rsid w:val="006614C4"/>
    <w:rsid w:val="00661591"/>
    <w:rsid w:val="00661F82"/>
    <w:rsid w:val="00662125"/>
    <w:rsid w:val="00663E9A"/>
    <w:rsid w:val="0066632F"/>
    <w:rsid w:val="006665E1"/>
    <w:rsid w:val="00667BAB"/>
    <w:rsid w:val="00670069"/>
    <w:rsid w:val="0067057E"/>
    <w:rsid w:val="00670DD3"/>
    <w:rsid w:val="006711DA"/>
    <w:rsid w:val="0067329B"/>
    <w:rsid w:val="00674C14"/>
    <w:rsid w:val="0068182A"/>
    <w:rsid w:val="00681B2D"/>
    <w:rsid w:val="00681BA9"/>
    <w:rsid w:val="006822AD"/>
    <w:rsid w:val="00683127"/>
    <w:rsid w:val="00683C15"/>
    <w:rsid w:val="00687354"/>
    <w:rsid w:val="00687998"/>
    <w:rsid w:val="0069047B"/>
    <w:rsid w:val="00690DCA"/>
    <w:rsid w:val="00691046"/>
    <w:rsid w:val="0069253C"/>
    <w:rsid w:val="00692E7B"/>
    <w:rsid w:val="0069317D"/>
    <w:rsid w:val="00693C3B"/>
    <w:rsid w:val="006956A1"/>
    <w:rsid w:val="00696E08"/>
    <w:rsid w:val="0069702B"/>
    <w:rsid w:val="0069776B"/>
    <w:rsid w:val="00697C09"/>
    <w:rsid w:val="006A3362"/>
    <w:rsid w:val="006A470A"/>
    <w:rsid w:val="006A4DB5"/>
    <w:rsid w:val="006A52D6"/>
    <w:rsid w:val="006A5A41"/>
    <w:rsid w:val="006A670C"/>
    <w:rsid w:val="006A6A21"/>
    <w:rsid w:val="006A6FA2"/>
    <w:rsid w:val="006A73B3"/>
    <w:rsid w:val="006A78DD"/>
    <w:rsid w:val="006B021E"/>
    <w:rsid w:val="006B03AF"/>
    <w:rsid w:val="006B0504"/>
    <w:rsid w:val="006B0D67"/>
    <w:rsid w:val="006B2292"/>
    <w:rsid w:val="006B329D"/>
    <w:rsid w:val="006B3A5E"/>
    <w:rsid w:val="006B45BD"/>
    <w:rsid w:val="006B7F3F"/>
    <w:rsid w:val="006C114E"/>
    <w:rsid w:val="006C1EB0"/>
    <w:rsid w:val="006C24D1"/>
    <w:rsid w:val="006C2535"/>
    <w:rsid w:val="006C3A41"/>
    <w:rsid w:val="006C5413"/>
    <w:rsid w:val="006C65A1"/>
    <w:rsid w:val="006C6C0A"/>
    <w:rsid w:val="006C6C62"/>
    <w:rsid w:val="006C7CA9"/>
    <w:rsid w:val="006C7E1C"/>
    <w:rsid w:val="006D3256"/>
    <w:rsid w:val="006D4B0D"/>
    <w:rsid w:val="006D5DC2"/>
    <w:rsid w:val="006D60B4"/>
    <w:rsid w:val="006D75E1"/>
    <w:rsid w:val="006D7F64"/>
    <w:rsid w:val="006E263E"/>
    <w:rsid w:val="006E3546"/>
    <w:rsid w:val="006E365A"/>
    <w:rsid w:val="006E38C3"/>
    <w:rsid w:val="006E4B0A"/>
    <w:rsid w:val="006E4D97"/>
    <w:rsid w:val="006E63A3"/>
    <w:rsid w:val="006E6F4C"/>
    <w:rsid w:val="006E7216"/>
    <w:rsid w:val="006F06CE"/>
    <w:rsid w:val="006F0F93"/>
    <w:rsid w:val="006F17B6"/>
    <w:rsid w:val="006F28F9"/>
    <w:rsid w:val="006F34F3"/>
    <w:rsid w:val="006F35FA"/>
    <w:rsid w:val="00703AEF"/>
    <w:rsid w:val="00704CCA"/>
    <w:rsid w:val="0070543F"/>
    <w:rsid w:val="00705BC0"/>
    <w:rsid w:val="00705C87"/>
    <w:rsid w:val="00706061"/>
    <w:rsid w:val="00707E10"/>
    <w:rsid w:val="00707EA6"/>
    <w:rsid w:val="00710225"/>
    <w:rsid w:val="007104A0"/>
    <w:rsid w:val="00710978"/>
    <w:rsid w:val="00711E50"/>
    <w:rsid w:val="0071245F"/>
    <w:rsid w:val="00713044"/>
    <w:rsid w:val="00713F74"/>
    <w:rsid w:val="007146F0"/>
    <w:rsid w:val="00714C30"/>
    <w:rsid w:val="00715237"/>
    <w:rsid w:val="00715F39"/>
    <w:rsid w:val="00716F76"/>
    <w:rsid w:val="00720573"/>
    <w:rsid w:val="00720E6C"/>
    <w:rsid w:val="0072120E"/>
    <w:rsid w:val="00721D81"/>
    <w:rsid w:val="00722293"/>
    <w:rsid w:val="00722A0C"/>
    <w:rsid w:val="00722F4B"/>
    <w:rsid w:val="007230FA"/>
    <w:rsid w:val="00724101"/>
    <w:rsid w:val="007250F0"/>
    <w:rsid w:val="007254A5"/>
    <w:rsid w:val="00725748"/>
    <w:rsid w:val="00730D14"/>
    <w:rsid w:val="00734374"/>
    <w:rsid w:val="0073445D"/>
    <w:rsid w:val="00735496"/>
    <w:rsid w:val="00736D0D"/>
    <w:rsid w:val="0073720D"/>
    <w:rsid w:val="007402E0"/>
    <w:rsid w:val="0074103A"/>
    <w:rsid w:val="007418AE"/>
    <w:rsid w:val="00742AB9"/>
    <w:rsid w:val="00743337"/>
    <w:rsid w:val="00745016"/>
    <w:rsid w:val="00746658"/>
    <w:rsid w:val="00750048"/>
    <w:rsid w:val="00750A91"/>
    <w:rsid w:val="00751CF9"/>
    <w:rsid w:val="00751D15"/>
    <w:rsid w:val="0075240B"/>
    <w:rsid w:val="00753443"/>
    <w:rsid w:val="0075368B"/>
    <w:rsid w:val="007537E8"/>
    <w:rsid w:val="00754176"/>
    <w:rsid w:val="00754666"/>
    <w:rsid w:val="00754FBF"/>
    <w:rsid w:val="00755248"/>
    <w:rsid w:val="0075642A"/>
    <w:rsid w:val="00756754"/>
    <w:rsid w:val="00757005"/>
    <w:rsid w:val="00757A72"/>
    <w:rsid w:val="00757AB1"/>
    <w:rsid w:val="0076016D"/>
    <w:rsid w:val="007606CE"/>
    <w:rsid w:val="00760C95"/>
    <w:rsid w:val="00761980"/>
    <w:rsid w:val="00762BBD"/>
    <w:rsid w:val="00762EFC"/>
    <w:rsid w:val="00763BB2"/>
    <w:rsid w:val="00766106"/>
    <w:rsid w:val="0076673F"/>
    <w:rsid w:val="0077029E"/>
    <w:rsid w:val="0077048E"/>
    <w:rsid w:val="00770864"/>
    <w:rsid w:val="007718C9"/>
    <w:rsid w:val="007724AB"/>
    <w:rsid w:val="00772734"/>
    <w:rsid w:val="00772863"/>
    <w:rsid w:val="00774B22"/>
    <w:rsid w:val="00775344"/>
    <w:rsid w:val="00775D8A"/>
    <w:rsid w:val="0077737C"/>
    <w:rsid w:val="007777DF"/>
    <w:rsid w:val="00781101"/>
    <w:rsid w:val="00781BE3"/>
    <w:rsid w:val="00781CED"/>
    <w:rsid w:val="007831C7"/>
    <w:rsid w:val="00783559"/>
    <w:rsid w:val="00783691"/>
    <w:rsid w:val="007836EE"/>
    <w:rsid w:val="00783B2B"/>
    <w:rsid w:val="0078554C"/>
    <w:rsid w:val="00785F18"/>
    <w:rsid w:val="00786645"/>
    <w:rsid w:val="00786698"/>
    <w:rsid w:val="00786BE7"/>
    <w:rsid w:val="0079029D"/>
    <w:rsid w:val="0079174A"/>
    <w:rsid w:val="00791B89"/>
    <w:rsid w:val="00792AB2"/>
    <w:rsid w:val="00793FBA"/>
    <w:rsid w:val="007A1788"/>
    <w:rsid w:val="007A3BEE"/>
    <w:rsid w:val="007A4105"/>
    <w:rsid w:val="007A474C"/>
    <w:rsid w:val="007B0201"/>
    <w:rsid w:val="007B0280"/>
    <w:rsid w:val="007B0A66"/>
    <w:rsid w:val="007B0EE2"/>
    <w:rsid w:val="007B163C"/>
    <w:rsid w:val="007B1702"/>
    <w:rsid w:val="007B2BC2"/>
    <w:rsid w:val="007B54BC"/>
    <w:rsid w:val="007B5B64"/>
    <w:rsid w:val="007B5EED"/>
    <w:rsid w:val="007B6E9D"/>
    <w:rsid w:val="007B787C"/>
    <w:rsid w:val="007B7975"/>
    <w:rsid w:val="007C0285"/>
    <w:rsid w:val="007C0CE8"/>
    <w:rsid w:val="007C406E"/>
    <w:rsid w:val="007C548A"/>
    <w:rsid w:val="007C66A9"/>
    <w:rsid w:val="007C70AD"/>
    <w:rsid w:val="007C789F"/>
    <w:rsid w:val="007C7B47"/>
    <w:rsid w:val="007C7F09"/>
    <w:rsid w:val="007D08AB"/>
    <w:rsid w:val="007D0AC3"/>
    <w:rsid w:val="007D1692"/>
    <w:rsid w:val="007D25B4"/>
    <w:rsid w:val="007D2C22"/>
    <w:rsid w:val="007D3EE3"/>
    <w:rsid w:val="007D4AA6"/>
    <w:rsid w:val="007D5658"/>
    <w:rsid w:val="007D650E"/>
    <w:rsid w:val="007D6565"/>
    <w:rsid w:val="007E0656"/>
    <w:rsid w:val="007E1149"/>
    <w:rsid w:val="007E177C"/>
    <w:rsid w:val="007E2A51"/>
    <w:rsid w:val="007E2C0D"/>
    <w:rsid w:val="007E33F7"/>
    <w:rsid w:val="007E3550"/>
    <w:rsid w:val="007E3EBC"/>
    <w:rsid w:val="007E3ECC"/>
    <w:rsid w:val="007E435C"/>
    <w:rsid w:val="007E580B"/>
    <w:rsid w:val="007E6BE6"/>
    <w:rsid w:val="007F0679"/>
    <w:rsid w:val="007F100C"/>
    <w:rsid w:val="007F1982"/>
    <w:rsid w:val="007F274A"/>
    <w:rsid w:val="007F3F43"/>
    <w:rsid w:val="007F428E"/>
    <w:rsid w:val="007F448F"/>
    <w:rsid w:val="007F74ED"/>
    <w:rsid w:val="0080096E"/>
    <w:rsid w:val="00802B78"/>
    <w:rsid w:val="008041B4"/>
    <w:rsid w:val="00804DEB"/>
    <w:rsid w:val="008050E6"/>
    <w:rsid w:val="00806B95"/>
    <w:rsid w:val="00807805"/>
    <w:rsid w:val="00810CFA"/>
    <w:rsid w:val="00811392"/>
    <w:rsid w:val="00812028"/>
    <w:rsid w:val="00814D03"/>
    <w:rsid w:val="0081537D"/>
    <w:rsid w:val="00815437"/>
    <w:rsid w:val="00815494"/>
    <w:rsid w:val="00816074"/>
    <w:rsid w:val="00820C94"/>
    <w:rsid w:val="00820F4D"/>
    <w:rsid w:val="008226EC"/>
    <w:rsid w:val="00824629"/>
    <w:rsid w:val="00825A50"/>
    <w:rsid w:val="0082611F"/>
    <w:rsid w:val="00827539"/>
    <w:rsid w:val="00830A20"/>
    <w:rsid w:val="0083178B"/>
    <w:rsid w:val="00833695"/>
    <w:rsid w:val="00834F3C"/>
    <w:rsid w:val="00834F99"/>
    <w:rsid w:val="008364EF"/>
    <w:rsid w:val="00836C83"/>
    <w:rsid w:val="0083788B"/>
    <w:rsid w:val="008379A0"/>
    <w:rsid w:val="00837C66"/>
    <w:rsid w:val="008407B5"/>
    <w:rsid w:val="008409AE"/>
    <w:rsid w:val="00840D0E"/>
    <w:rsid w:val="00842A21"/>
    <w:rsid w:val="00842CD8"/>
    <w:rsid w:val="008435CC"/>
    <w:rsid w:val="008467EB"/>
    <w:rsid w:val="008517DE"/>
    <w:rsid w:val="00851BC3"/>
    <w:rsid w:val="00851D54"/>
    <w:rsid w:val="008520D8"/>
    <w:rsid w:val="008525B2"/>
    <w:rsid w:val="0085270C"/>
    <w:rsid w:val="008530B2"/>
    <w:rsid w:val="008553C7"/>
    <w:rsid w:val="00857770"/>
    <w:rsid w:val="00857FEB"/>
    <w:rsid w:val="00860B95"/>
    <w:rsid w:val="008616E0"/>
    <w:rsid w:val="00862050"/>
    <w:rsid w:val="008624AD"/>
    <w:rsid w:val="008624F0"/>
    <w:rsid w:val="00862E13"/>
    <w:rsid w:val="00863BB0"/>
    <w:rsid w:val="008646B0"/>
    <w:rsid w:val="008648B2"/>
    <w:rsid w:val="00864B45"/>
    <w:rsid w:val="008666D2"/>
    <w:rsid w:val="008716B3"/>
    <w:rsid w:val="00871B05"/>
    <w:rsid w:val="00871B8C"/>
    <w:rsid w:val="008720EB"/>
    <w:rsid w:val="008725F6"/>
    <w:rsid w:val="008735BA"/>
    <w:rsid w:val="00873E5C"/>
    <w:rsid w:val="00874A11"/>
    <w:rsid w:val="008753FC"/>
    <w:rsid w:val="008761B5"/>
    <w:rsid w:val="0087640E"/>
    <w:rsid w:val="008777AA"/>
    <w:rsid w:val="008802A6"/>
    <w:rsid w:val="008804F2"/>
    <w:rsid w:val="00880749"/>
    <w:rsid w:val="00880A18"/>
    <w:rsid w:val="008812FB"/>
    <w:rsid w:val="00881384"/>
    <w:rsid w:val="00882814"/>
    <w:rsid w:val="00886D3A"/>
    <w:rsid w:val="00886E97"/>
    <w:rsid w:val="00891692"/>
    <w:rsid w:val="00891A46"/>
    <w:rsid w:val="00892002"/>
    <w:rsid w:val="008934AE"/>
    <w:rsid w:val="008934E6"/>
    <w:rsid w:val="00893EC9"/>
    <w:rsid w:val="008A2975"/>
    <w:rsid w:val="008A46A9"/>
    <w:rsid w:val="008A489D"/>
    <w:rsid w:val="008A5A3F"/>
    <w:rsid w:val="008A646F"/>
    <w:rsid w:val="008A6ABD"/>
    <w:rsid w:val="008A702B"/>
    <w:rsid w:val="008A7174"/>
    <w:rsid w:val="008A74FA"/>
    <w:rsid w:val="008B02F7"/>
    <w:rsid w:val="008B0868"/>
    <w:rsid w:val="008B1BE5"/>
    <w:rsid w:val="008B3718"/>
    <w:rsid w:val="008B378C"/>
    <w:rsid w:val="008B3929"/>
    <w:rsid w:val="008B3C2F"/>
    <w:rsid w:val="008B4118"/>
    <w:rsid w:val="008B4208"/>
    <w:rsid w:val="008B45D6"/>
    <w:rsid w:val="008B4B54"/>
    <w:rsid w:val="008B4CB3"/>
    <w:rsid w:val="008B54B2"/>
    <w:rsid w:val="008B62CA"/>
    <w:rsid w:val="008B720C"/>
    <w:rsid w:val="008B731A"/>
    <w:rsid w:val="008C1ABF"/>
    <w:rsid w:val="008C2425"/>
    <w:rsid w:val="008C2444"/>
    <w:rsid w:val="008C3F57"/>
    <w:rsid w:val="008C4223"/>
    <w:rsid w:val="008C46FD"/>
    <w:rsid w:val="008C5B1C"/>
    <w:rsid w:val="008C67AF"/>
    <w:rsid w:val="008C78FD"/>
    <w:rsid w:val="008C7E99"/>
    <w:rsid w:val="008D0EBE"/>
    <w:rsid w:val="008D2355"/>
    <w:rsid w:val="008D2FA9"/>
    <w:rsid w:val="008D3CEA"/>
    <w:rsid w:val="008D5B01"/>
    <w:rsid w:val="008D5E3A"/>
    <w:rsid w:val="008E22BC"/>
    <w:rsid w:val="008E29B4"/>
    <w:rsid w:val="008E35E2"/>
    <w:rsid w:val="008E5F59"/>
    <w:rsid w:val="008E7AC3"/>
    <w:rsid w:val="008F0C84"/>
    <w:rsid w:val="008F1B70"/>
    <w:rsid w:val="008F2143"/>
    <w:rsid w:val="008F4A8D"/>
    <w:rsid w:val="008F4C32"/>
    <w:rsid w:val="008F5470"/>
    <w:rsid w:val="008F5938"/>
    <w:rsid w:val="00900C34"/>
    <w:rsid w:val="00901121"/>
    <w:rsid w:val="00901DEF"/>
    <w:rsid w:val="00902FF2"/>
    <w:rsid w:val="00903B67"/>
    <w:rsid w:val="009048BE"/>
    <w:rsid w:val="00904DB4"/>
    <w:rsid w:val="00905B6D"/>
    <w:rsid w:val="0090647C"/>
    <w:rsid w:val="0090651A"/>
    <w:rsid w:val="009073EE"/>
    <w:rsid w:val="0091000A"/>
    <w:rsid w:val="00910642"/>
    <w:rsid w:val="00911C22"/>
    <w:rsid w:val="009127F7"/>
    <w:rsid w:val="009160BB"/>
    <w:rsid w:val="009166AD"/>
    <w:rsid w:val="0091691A"/>
    <w:rsid w:val="00917821"/>
    <w:rsid w:val="00917BAC"/>
    <w:rsid w:val="00921A22"/>
    <w:rsid w:val="00922CEA"/>
    <w:rsid w:val="00927293"/>
    <w:rsid w:val="0093015A"/>
    <w:rsid w:val="00930559"/>
    <w:rsid w:val="009311C8"/>
    <w:rsid w:val="00933376"/>
    <w:rsid w:val="009336FC"/>
    <w:rsid w:val="00937CE6"/>
    <w:rsid w:val="00940C5F"/>
    <w:rsid w:val="00941DD2"/>
    <w:rsid w:val="00942355"/>
    <w:rsid w:val="009426FD"/>
    <w:rsid w:val="00943F25"/>
    <w:rsid w:val="00944F01"/>
    <w:rsid w:val="00945691"/>
    <w:rsid w:val="00945C5F"/>
    <w:rsid w:val="00946D29"/>
    <w:rsid w:val="0095050D"/>
    <w:rsid w:val="009513C2"/>
    <w:rsid w:val="0095259F"/>
    <w:rsid w:val="00952FDE"/>
    <w:rsid w:val="00953214"/>
    <w:rsid w:val="009534EF"/>
    <w:rsid w:val="0095352B"/>
    <w:rsid w:val="00954CE7"/>
    <w:rsid w:val="00955A7F"/>
    <w:rsid w:val="0095748C"/>
    <w:rsid w:val="0096077C"/>
    <w:rsid w:val="0096143B"/>
    <w:rsid w:val="00961BAF"/>
    <w:rsid w:val="00961C28"/>
    <w:rsid w:val="00961FA7"/>
    <w:rsid w:val="009627A5"/>
    <w:rsid w:val="00962C56"/>
    <w:rsid w:val="00964BBF"/>
    <w:rsid w:val="00964F30"/>
    <w:rsid w:val="00965FD5"/>
    <w:rsid w:val="009668DE"/>
    <w:rsid w:val="00967346"/>
    <w:rsid w:val="009711D9"/>
    <w:rsid w:val="009718F9"/>
    <w:rsid w:val="00975112"/>
    <w:rsid w:val="00975202"/>
    <w:rsid w:val="009753D7"/>
    <w:rsid w:val="00975719"/>
    <w:rsid w:val="00977002"/>
    <w:rsid w:val="009774C4"/>
    <w:rsid w:val="009811DF"/>
    <w:rsid w:val="00982B90"/>
    <w:rsid w:val="00982E82"/>
    <w:rsid w:val="00983333"/>
    <w:rsid w:val="0098336D"/>
    <w:rsid w:val="00983A7C"/>
    <w:rsid w:val="00984D7B"/>
    <w:rsid w:val="00984EFB"/>
    <w:rsid w:val="00984F0B"/>
    <w:rsid w:val="009854C3"/>
    <w:rsid w:val="00991B5F"/>
    <w:rsid w:val="00991C2E"/>
    <w:rsid w:val="0099240E"/>
    <w:rsid w:val="0099381A"/>
    <w:rsid w:val="00994E96"/>
    <w:rsid w:val="00994F7F"/>
    <w:rsid w:val="00996571"/>
    <w:rsid w:val="00997999"/>
    <w:rsid w:val="009A0FF6"/>
    <w:rsid w:val="009A15FA"/>
    <w:rsid w:val="009A1669"/>
    <w:rsid w:val="009A342B"/>
    <w:rsid w:val="009A3A5E"/>
    <w:rsid w:val="009A3B71"/>
    <w:rsid w:val="009A3CA0"/>
    <w:rsid w:val="009A513F"/>
    <w:rsid w:val="009A542C"/>
    <w:rsid w:val="009A61BC"/>
    <w:rsid w:val="009A6527"/>
    <w:rsid w:val="009A676D"/>
    <w:rsid w:val="009A727A"/>
    <w:rsid w:val="009B1066"/>
    <w:rsid w:val="009B1466"/>
    <w:rsid w:val="009B23D3"/>
    <w:rsid w:val="009B24B7"/>
    <w:rsid w:val="009B41E7"/>
    <w:rsid w:val="009B424D"/>
    <w:rsid w:val="009B4B28"/>
    <w:rsid w:val="009B4F54"/>
    <w:rsid w:val="009B57FB"/>
    <w:rsid w:val="009B743E"/>
    <w:rsid w:val="009B7709"/>
    <w:rsid w:val="009B7883"/>
    <w:rsid w:val="009C1AC6"/>
    <w:rsid w:val="009C1C75"/>
    <w:rsid w:val="009C37AE"/>
    <w:rsid w:val="009C42BC"/>
    <w:rsid w:val="009C4AAC"/>
    <w:rsid w:val="009C4F04"/>
    <w:rsid w:val="009C6399"/>
    <w:rsid w:val="009C692B"/>
    <w:rsid w:val="009C7C85"/>
    <w:rsid w:val="009D277F"/>
    <w:rsid w:val="009D447D"/>
    <w:rsid w:val="009D660B"/>
    <w:rsid w:val="009D7120"/>
    <w:rsid w:val="009D7DFA"/>
    <w:rsid w:val="009E042D"/>
    <w:rsid w:val="009E1B8B"/>
    <w:rsid w:val="009E2109"/>
    <w:rsid w:val="009E37E6"/>
    <w:rsid w:val="009E584D"/>
    <w:rsid w:val="009E6427"/>
    <w:rsid w:val="009E7023"/>
    <w:rsid w:val="009E71C1"/>
    <w:rsid w:val="009E72DF"/>
    <w:rsid w:val="009F1560"/>
    <w:rsid w:val="009F1810"/>
    <w:rsid w:val="009F312B"/>
    <w:rsid w:val="009F3784"/>
    <w:rsid w:val="009F3851"/>
    <w:rsid w:val="009F42A2"/>
    <w:rsid w:val="009F6F2E"/>
    <w:rsid w:val="009F734D"/>
    <w:rsid w:val="00A01E25"/>
    <w:rsid w:val="00A02980"/>
    <w:rsid w:val="00A04081"/>
    <w:rsid w:val="00A043B4"/>
    <w:rsid w:val="00A04DC0"/>
    <w:rsid w:val="00A06827"/>
    <w:rsid w:val="00A07737"/>
    <w:rsid w:val="00A07D00"/>
    <w:rsid w:val="00A10614"/>
    <w:rsid w:val="00A10DFA"/>
    <w:rsid w:val="00A10E98"/>
    <w:rsid w:val="00A11768"/>
    <w:rsid w:val="00A11DD8"/>
    <w:rsid w:val="00A12458"/>
    <w:rsid w:val="00A13499"/>
    <w:rsid w:val="00A140D0"/>
    <w:rsid w:val="00A141AB"/>
    <w:rsid w:val="00A149C1"/>
    <w:rsid w:val="00A14A93"/>
    <w:rsid w:val="00A167EA"/>
    <w:rsid w:val="00A1753E"/>
    <w:rsid w:val="00A17578"/>
    <w:rsid w:val="00A200FA"/>
    <w:rsid w:val="00A2172A"/>
    <w:rsid w:val="00A21A93"/>
    <w:rsid w:val="00A21B3B"/>
    <w:rsid w:val="00A2455B"/>
    <w:rsid w:val="00A245B7"/>
    <w:rsid w:val="00A25B4A"/>
    <w:rsid w:val="00A25E49"/>
    <w:rsid w:val="00A27328"/>
    <w:rsid w:val="00A277F9"/>
    <w:rsid w:val="00A30E68"/>
    <w:rsid w:val="00A31885"/>
    <w:rsid w:val="00A33763"/>
    <w:rsid w:val="00A34AA0"/>
    <w:rsid w:val="00A35B30"/>
    <w:rsid w:val="00A35BEC"/>
    <w:rsid w:val="00A36B94"/>
    <w:rsid w:val="00A373C4"/>
    <w:rsid w:val="00A37B64"/>
    <w:rsid w:val="00A37B8E"/>
    <w:rsid w:val="00A408B2"/>
    <w:rsid w:val="00A41B84"/>
    <w:rsid w:val="00A41EFC"/>
    <w:rsid w:val="00A4371E"/>
    <w:rsid w:val="00A43EA3"/>
    <w:rsid w:val="00A45C83"/>
    <w:rsid w:val="00A46E7B"/>
    <w:rsid w:val="00A47733"/>
    <w:rsid w:val="00A511CD"/>
    <w:rsid w:val="00A52A6F"/>
    <w:rsid w:val="00A551E6"/>
    <w:rsid w:val="00A56946"/>
    <w:rsid w:val="00A578D8"/>
    <w:rsid w:val="00A61759"/>
    <w:rsid w:val="00A61A6C"/>
    <w:rsid w:val="00A62FBB"/>
    <w:rsid w:val="00A637E5"/>
    <w:rsid w:val="00A63889"/>
    <w:rsid w:val="00A6421B"/>
    <w:rsid w:val="00A64A23"/>
    <w:rsid w:val="00A64F05"/>
    <w:rsid w:val="00A65FF9"/>
    <w:rsid w:val="00A66330"/>
    <w:rsid w:val="00A67533"/>
    <w:rsid w:val="00A70E93"/>
    <w:rsid w:val="00A71A15"/>
    <w:rsid w:val="00A73A4D"/>
    <w:rsid w:val="00A73DC4"/>
    <w:rsid w:val="00A74DEC"/>
    <w:rsid w:val="00A76D10"/>
    <w:rsid w:val="00A76DC7"/>
    <w:rsid w:val="00A774C4"/>
    <w:rsid w:val="00A77D7A"/>
    <w:rsid w:val="00A811CC"/>
    <w:rsid w:val="00A83CA4"/>
    <w:rsid w:val="00A84B60"/>
    <w:rsid w:val="00A84E68"/>
    <w:rsid w:val="00A84F62"/>
    <w:rsid w:val="00A850AE"/>
    <w:rsid w:val="00A8630D"/>
    <w:rsid w:val="00A86F31"/>
    <w:rsid w:val="00A87B6C"/>
    <w:rsid w:val="00A908F9"/>
    <w:rsid w:val="00A91516"/>
    <w:rsid w:val="00A91B1B"/>
    <w:rsid w:val="00A9351D"/>
    <w:rsid w:val="00A94A09"/>
    <w:rsid w:val="00A967EE"/>
    <w:rsid w:val="00AA04AC"/>
    <w:rsid w:val="00AA1C42"/>
    <w:rsid w:val="00AA4277"/>
    <w:rsid w:val="00AA4C2B"/>
    <w:rsid w:val="00AA4D58"/>
    <w:rsid w:val="00AA5B94"/>
    <w:rsid w:val="00AA5DFA"/>
    <w:rsid w:val="00AA6265"/>
    <w:rsid w:val="00AB1B85"/>
    <w:rsid w:val="00AB34E9"/>
    <w:rsid w:val="00AB4880"/>
    <w:rsid w:val="00AB4A30"/>
    <w:rsid w:val="00AB5963"/>
    <w:rsid w:val="00AB5E63"/>
    <w:rsid w:val="00AB762B"/>
    <w:rsid w:val="00AB78E0"/>
    <w:rsid w:val="00AC0810"/>
    <w:rsid w:val="00AC0B3D"/>
    <w:rsid w:val="00AC1ED1"/>
    <w:rsid w:val="00AC211D"/>
    <w:rsid w:val="00AC3701"/>
    <w:rsid w:val="00AC3A8A"/>
    <w:rsid w:val="00AC3DAB"/>
    <w:rsid w:val="00AC49D8"/>
    <w:rsid w:val="00AC523C"/>
    <w:rsid w:val="00AC567F"/>
    <w:rsid w:val="00AC6855"/>
    <w:rsid w:val="00AC6B29"/>
    <w:rsid w:val="00AD0478"/>
    <w:rsid w:val="00AD0CCB"/>
    <w:rsid w:val="00AD0D21"/>
    <w:rsid w:val="00AD0E63"/>
    <w:rsid w:val="00AD14D5"/>
    <w:rsid w:val="00AD21F0"/>
    <w:rsid w:val="00AD245D"/>
    <w:rsid w:val="00AD24CE"/>
    <w:rsid w:val="00AD279E"/>
    <w:rsid w:val="00AD2B89"/>
    <w:rsid w:val="00AD3A3C"/>
    <w:rsid w:val="00AD47F3"/>
    <w:rsid w:val="00AD5C2E"/>
    <w:rsid w:val="00AE0CDB"/>
    <w:rsid w:val="00AE11B7"/>
    <w:rsid w:val="00AE1D85"/>
    <w:rsid w:val="00AE3F3E"/>
    <w:rsid w:val="00AE4E07"/>
    <w:rsid w:val="00AE5230"/>
    <w:rsid w:val="00AE5901"/>
    <w:rsid w:val="00AE77B6"/>
    <w:rsid w:val="00AF0612"/>
    <w:rsid w:val="00AF0888"/>
    <w:rsid w:val="00AF2170"/>
    <w:rsid w:val="00AF2E8C"/>
    <w:rsid w:val="00AF2F4F"/>
    <w:rsid w:val="00AF36B0"/>
    <w:rsid w:val="00AF612D"/>
    <w:rsid w:val="00AF6CAF"/>
    <w:rsid w:val="00AF7691"/>
    <w:rsid w:val="00AF7F47"/>
    <w:rsid w:val="00B00A55"/>
    <w:rsid w:val="00B00F22"/>
    <w:rsid w:val="00B01071"/>
    <w:rsid w:val="00B02719"/>
    <w:rsid w:val="00B02EE1"/>
    <w:rsid w:val="00B03DAC"/>
    <w:rsid w:val="00B0436F"/>
    <w:rsid w:val="00B06444"/>
    <w:rsid w:val="00B0686B"/>
    <w:rsid w:val="00B06C4D"/>
    <w:rsid w:val="00B06CE6"/>
    <w:rsid w:val="00B06D4B"/>
    <w:rsid w:val="00B11243"/>
    <w:rsid w:val="00B1151F"/>
    <w:rsid w:val="00B14B61"/>
    <w:rsid w:val="00B15545"/>
    <w:rsid w:val="00B16C55"/>
    <w:rsid w:val="00B17D4D"/>
    <w:rsid w:val="00B201ED"/>
    <w:rsid w:val="00B214B2"/>
    <w:rsid w:val="00B21B3E"/>
    <w:rsid w:val="00B24584"/>
    <w:rsid w:val="00B24C4A"/>
    <w:rsid w:val="00B25CD9"/>
    <w:rsid w:val="00B25EBF"/>
    <w:rsid w:val="00B26356"/>
    <w:rsid w:val="00B26CCF"/>
    <w:rsid w:val="00B30004"/>
    <w:rsid w:val="00B30353"/>
    <w:rsid w:val="00B316B9"/>
    <w:rsid w:val="00B322C1"/>
    <w:rsid w:val="00B34461"/>
    <w:rsid w:val="00B34C1E"/>
    <w:rsid w:val="00B35331"/>
    <w:rsid w:val="00B36546"/>
    <w:rsid w:val="00B424BA"/>
    <w:rsid w:val="00B43745"/>
    <w:rsid w:val="00B45AD1"/>
    <w:rsid w:val="00B464BB"/>
    <w:rsid w:val="00B47D28"/>
    <w:rsid w:val="00B51544"/>
    <w:rsid w:val="00B52E2F"/>
    <w:rsid w:val="00B531DD"/>
    <w:rsid w:val="00B531F5"/>
    <w:rsid w:val="00B54564"/>
    <w:rsid w:val="00B54948"/>
    <w:rsid w:val="00B55390"/>
    <w:rsid w:val="00B56A07"/>
    <w:rsid w:val="00B56D45"/>
    <w:rsid w:val="00B572E8"/>
    <w:rsid w:val="00B574FB"/>
    <w:rsid w:val="00B603B4"/>
    <w:rsid w:val="00B60860"/>
    <w:rsid w:val="00B60B5C"/>
    <w:rsid w:val="00B62948"/>
    <w:rsid w:val="00B63309"/>
    <w:rsid w:val="00B645D2"/>
    <w:rsid w:val="00B6785B"/>
    <w:rsid w:val="00B67E6B"/>
    <w:rsid w:val="00B7118A"/>
    <w:rsid w:val="00B715DA"/>
    <w:rsid w:val="00B717B0"/>
    <w:rsid w:val="00B71DC2"/>
    <w:rsid w:val="00B73414"/>
    <w:rsid w:val="00B73546"/>
    <w:rsid w:val="00B74DD5"/>
    <w:rsid w:val="00B74F88"/>
    <w:rsid w:val="00B76565"/>
    <w:rsid w:val="00B76A6E"/>
    <w:rsid w:val="00B8447B"/>
    <w:rsid w:val="00B84A83"/>
    <w:rsid w:val="00B84B2D"/>
    <w:rsid w:val="00B850A7"/>
    <w:rsid w:val="00B879C7"/>
    <w:rsid w:val="00B90D3F"/>
    <w:rsid w:val="00B90DA2"/>
    <w:rsid w:val="00B919E2"/>
    <w:rsid w:val="00B92662"/>
    <w:rsid w:val="00B932C3"/>
    <w:rsid w:val="00B93893"/>
    <w:rsid w:val="00B93DCE"/>
    <w:rsid w:val="00B94700"/>
    <w:rsid w:val="00B95E58"/>
    <w:rsid w:val="00B95FC2"/>
    <w:rsid w:val="00B96027"/>
    <w:rsid w:val="00B975D5"/>
    <w:rsid w:val="00B979F2"/>
    <w:rsid w:val="00B97DCD"/>
    <w:rsid w:val="00BA06AC"/>
    <w:rsid w:val="00BA1B1C"/>
    <w:rsid w:val="00BA2CB0"/>
    <w:rsid w:val="00BA3472"/>
    <w:rsid w:val="00BA537F"/>
    <w:rsid w:val="00BA5DF2"/>
    <w:rsid w:val="00BA5E9E"/>
    <w:rsid w:val="00BA770E"/>
    <w:rsid w:val="00BA77F1"/>
    <w:rsid w:val="00BA7A60"/>
    <w:rsid w:val="00BA7EDA"/>
    <w:rsid w:val="00BB055B"/>
    <w:rsid w:val="00BB11E1"/>
    <w:rsid w:val="00BB1318"/>
    <w:rsid w:val="00BB1594"/>
    <w:rsid w:val="00BB1670"/>
    <w:rsid w:val="00BB2328"/>
    <w:rsid w:val="00BB2BC0"/>
    <w:rsid w:val="00BB6311"/>
    <w:rsid w:val="00BB6DA1"/>
    <w:rsid w:val="00BB7A20"/>
    <w:rsid w:val="00BB7ABD"/>
    <w:rsid w:val="00BB7EB7"/>
    <w:rsid w:val="00BC02E9"/>
    <w:rsid w:val="00BC0A80"/>
    <w:rsid w:val="00BC12A3"/>
    <w:rsid w:val="00BC1933"/>
    <w:rsid w:val="00BC3445"/>
    <w:rsid w:val="00BC3B53"/>
    <w:rsid w:val="00BC4A98"/>
    <w:rsid w:val="00BC4D64"/>
    <w:rsid w:val="00BC56F5"/>
    <w:rsid w:val="00BC67FC"/>
    <w:rsid w:val="00BC73AC"/>
    <w:rsid w:val="00BC7D8C"/>
    <w:rsid w:val="00BD0F12"/>
    <w:rsid w:val="00BD1454"/>
    <w:rsid w:val="00BD336C"/>
    <w:rsid w:val="00BD4723"/>
    <w:rsid w:val="00BD4929"/>
    <w:rsid w:val="00BD5455"/>
    <w:rsid w:val="00BD5DFC"/>
    <w:rsid w:val="00BD7AE6"/>
    <w:rsid w:val="00BE0B32"/>
    <w:rsid w:val="00BE2497"/>
    <w:rsid w:val="00BE2A73"/>
    <w:rsid w:val="00BE3DAF"/>
    <w:rsid w:val="00BE458E"/>
    <w:rsid w:val="00BE5564"/>
    <w:rsid w:val="00BE7D21"/>
    <w:rsid w:val="00BF1365"/>
    <w:rsid w:val="00BF2B59"/>
    <w:rsid w:val="00BF2B99"/>
    <w:rsid w:val="00BF2C4F"/>
    <w:rsid w:val="00BF37A3"/>
    <w:rsid w:val="00BF3D01"/>
    <w:rsid w:val="00BF3D32"/>
    <w:rsid w:val="00BF563D"/>
    <w:rsid w:val="00BF5B51"/>
    <w:rsid w:val="00BF731A"/>
    <w:rsid w:val="00C00B67"/>
    <w:rsid w:val="00C00F4E"/>
    <w:rsid w:val="00C01061"/>
    <w:rsid w:val="00C010DC"/>
    <w:rsid w:val="00C019B1"/>
    <w:rsid w:val="00C036D8"/>
    <w:rsid w:val="00C040CF"/>
    <w:rsid w:val="00C05318"/>
    <w:rsid w:val="00C05FF0"/>
    <w:rsid w:val="00C07B2F"/>
    <w:rsid w:val="00C10839"/>
    <w:rsid w:val="00C10869"/>
    <w:rsid w:val="00C10EC1"/>
    <w:rsid w:val="00C117E2"/>
    <w:rsid w:val="00C11CAF"/>
    <w:rsid w:val="00C12C00"/>
    <w:rsid w:val="00C12E90"/>
    <w:rsid w:val="00C12EB9"/>
    <w:rsid w:val="00C1320B"/>
    <w:rsid w:val="00C14CC1"/>
    <w:rsid w:val="00C206F1"/>
    <w:rsid w:val="00C210F3"/>
    <w:rsid w:val="00C26035"/>
    <w:rsid w:val="00C26079"/>
    <w:rsid w:val="00C27206"/>
    <w:rsid w:val="00C3006B"/>
    <w:rsid w:val="00C30AC1"/>
    <w:rsid w:val="00C315C1"/>
    <w:rsid w:val="00C3189F"/>
    <w:rsid w:val="00C3256E"/>
    <w:rsid w:val="00C33340"/>
    <w:rsid w:val="00C3445F"/>
    <w:rsid w:val="00C35A00"/>
    <w:rsid w:val="00C35A91"/>
    <w:rsid w:val="00C371A6"/>
    <w:rsid w:val="00C40461"/>
    <w:rsid w:val="00C40C60"/>
    <w:rsid w:val="00C4103B"/>
    <w:rsid w:val="00C42756"/>
    <w:rsid w:val="00C42F03"/>
    <w:rsid w:val="00C43022"/>
    <w:rsid w:val="00C447C0"/>
    <w:rsid w:val="00C458C9"/>
    <w:rsid w:val="00C45F02"/>
    <w:rsid w:val="00C46293"/>
    <w:rsid w:val="00C46B84"/>
    <w:rsid w:val="00C50ECF"/>
    <w:rsid w:val="00C52281"/>
    <w:rsid w:val="00C52E42"/>
    <w:rsid w:val="00C53426"/>
    <w:rsid w:val="00C5401F"/>
    <w:rsid w:val="00C54FEA"/>
    <w:rsid w:val="00C550B4"/>
    <w:rsid w:val="00C551B8"/>
    <w:rsid w:val="00C55E5A"/>
    <w:rsid w:val="00C56BE8"/>
    <w:rsid w:val="00C57FBE"/>
    <w:rsid w:val="00C60E49"/>
    <w:rsid w:val="00C62081"/>
    <w:rsid w:val="00C62A0B"/>
    <w:rsid w:val="00C63108"/>
    <w:rsid w:val="00C638E2"/>
    <w:rsid w:val="00C6537C"/>
    <w:rsid w:val="00C65866"/>
    <w:rsid w:val="00C666E4"/>
    <w:rsid w:val="00C66944"/>
    <w:rsid w:val="00C66D36"/>
    <w:rsid w:val="00C77676"/>
    <w:rsid w:val="00C812F7"/>
    <w:rsid w:val="00C833B6"/>
    <w:rsid w:val="00C855A7"/>
    <w:rsid w:val="00C85838"/>
    <w:rsid w:val="00C876B7"/>
    <w:rsid w:val="00C90846"/>
    <w:rsid w:val="00C91B2C"/>
    <w:rsid w:val="00C92CA5"/>
    <w:rsid w:val="00C938C8"/>
    <w:rsid w:val="00C93B39"/>
    <w:rsid w:val="00C952D3"/>
    <w:rsid w:val="00C955CC"/>
    <w:rsid w:val="00C95961"/>
    <w:rsid w:val="00C96037"/>
    <w:rsid w:val="00CA0A69"/>
    <w:rsid w:val="00CA0E76"/>
    <w:rsid w:val="00CA40F8"/>
    <w:rsid w:val="00CA473C"/>
    <w:rsid w:val="00CA47D3"/>
    <w:rsid w:val="00CA52E3"/>
    <w:rsid w:val="00CA53DE"/>
    <w:rsid w:val="00CA58C3"/>
    <w:rsid w:val="00CA5BC9"/>
    <w:rsid w:val="00CA61EE"/>
    <w:rsid w:val="00CA6A55"/>
    <w:rsid w:val="00CA6DEF"/>
    <w:rsid w:val="00CB156F"/>
    <w:rsid w:val="00CB1BBD"/>
    <w:rsid w:val="00CB3777"/>
    <w:rsid w:val="00CB4B81"/>
    <w:rsid w:val="00CB5A73"/>
    <w:rsid w:val="00CB6B65"/>
    <w:rsid w:val="00CC0BB4"/>
    <w:rsid w:val="00CC12DF"/>
    <w:rsid w:val="00CC36C4"/>
    <w:rsid w:val="00CC4D8D"/>
    <w:rsid w:val="00CC63E0"/>
    <w:rsid w:val="00CC6FDD"/>
    <w:rsid w:val="00CD0092"/>
    <w:rsid w:val="00CD033D"/>
    <w:rsid w:val="00CD1689"/>
    <w:rsid w:val="00CD2492"/>
    <w:rsid w:val="00CD47BA"/>
    <w:rsid w:val="00CD5427"/>
    <w:rsid w:val="00CD604A"/>
    <w:rsid w:val="00CD66BC"/>
    <w:rsid w:val="00CD6791"/>
    <w:rsid w:val="00CD7B6F"/>
    <w:rsid w:val="00CE15C4"/>
    <w:rsid w:val="00CE2E6A"/>
    <w:rsid w:val="00CE2EA9"/>
    <w:rsid w:val="00CE346A"/>
    <w:rsid w:val="00CE3BFB"/>
    <w:rsid w:val="00CE41DA"/>
    <w:rsid w:val="00CE555F"/>
    <w:rsid w:val="00CE6D64"/>
    <w:rsid w:val="00CE74D9"/>
    <w:rsid w:val="00CF053F"/>
    <w:rsid w:val="00CF064B"/>
    <w:rsid w:val="00CF0A55"/>
    <w:rsid w:val="00CF301C"/>
    <w:rsid w:val="00CF3BC3"/>
    <w:rsid w:val="00CF5904"/>
    <w:rsid w:val="00CF7C8B"/>
    <w:rsid w:val="00D00180"/>
    <w:rsid w:val="00D00793"/>
    <w:rsid w:val="00D01D15"/>
    <w:rsid w:val="00D029F7"/>
    <w:rsid w:val="00D03D2B"/>
    <w:rsid w:val="00D04078"/>
    <w:rsid w:val="00D04083"/>
    <w:rsid w:val="00D078E1"/>
    <w:rsid w:val="00D102D2"/>
    <w:rsid w:val="00D10AEF"/>
    <w:rsid w:val="00D12A7F"/>
    <w:rsid w:val="00D131D6"/>
    <w:rsid w:val="00D135BA"/>
    <w:rsid w:val="00D1759D"/>
    <w:rsid w:val="00D17A1D"/>
    <w:rsid w:val="00D20C77"/>
    <w:rsid w:val="00D218AC"/>
    <w:rsid w:val="00D221A6"/>
    <w:rsid w:val="00D232A2"/>
    <w:rsid w:val="00D23522"/>
    <w:rsid w:val="00D25C90"/>
    <w:rsid w:val="00D25F5C"/>
    <w:rsid w:val="00D26196"/>
    <w:rsid w:val="00D279AE"/>
    <w:rsid w:val="00D30900"/>
    <w:rsid w:val="00D30E3E"/>
    <w:rsid w:val="00D30F08"/>
    <w:rsid w:val="00D311EA"/>
    <w:rsid w:val="00D31324"/>
    <w:rsid w:val="00D31C61"/>
    <w:rsid w:val="00D323BE"/>
    <w:rsid w:val="00D32F98"/>
    <w:rsid w:val="00D358D8"/>
    <w:rsid w:val="00D365C5"/>
    <w:rsid w:val="00D36C95"/>
    <w:rsid w:val="00D405AB"/>
    <w:rsid w:val="00D40C9E"/>
    <w:rsid w:val="00D41280"/>
    <w:rsid w:val="00D43528"/>
    <w:rsid w:val="00D45EB0"/>
    <w:rsid w:val="00D46125"/>
    <w:rsid w:val="00D52F46"/>
    <w:rsid w:val="00D53D30"/>
    <w:rsid w:val="00D5423B"/>
    <w:rsid w:val="00D54D92"/>
    <w:rsid w:val="00D54F4E"/>
    <w:rsid w:val="00D54F8A"/>
    <w:rsid w:val="00D554DC"/>
    <w:rsid w:val="00D5565B"/>
    <w:rsid w:val="00D55865"/>
    <w:rsid w:val="00D56274"/>
    <w:rsid w:val="00D605DD"/>
    <w:rsid w:val="00D60BA4"/>
    <w:rsid w:val="00D61E03"/>
    <w:rsid w:val="00D62942"/>
    <w:rsid w:val="00D62F23"/>
    <w:rsid w:val="00D6528F"/>
    <w:rsid w:val="00D67A7A"/>
    <w:rsid w:val="00D67F8F"/>
    <w:rsid w:val="00D71099"/>
    <w:rsid w:val="00D711A5"/>
    <w:rsid w:val="00D713FF"/>
    <w:rsid w:val="00D72421"/>
    <w:rsid w:val="00D734E5"/>
    <w:rsid w:val="00D73E9A"/>
    <w:rsid w:val="00D73F97"/>
    <w:rsid w:val="00D745A7"/>
    <w:rsid w:val="00D74D0A"/>
    <w:rsid w:val="00D767FA"/>
    <w:rsid w:val="00D77EF8"/>
    <w:rsid w:val="00D80CCE"/>
    <w:rsid w:val="00D81A03"/>
    <w:rsid w:val="00D81C5D"/>
    <w:rsid w:val="00D81D90"/>
    <w:rsid w:val="00D82202"/>
    <w:rsid w:val="00D83104"/>
    <w:rsid w:val="00D83137"/>
    <w:rsid w:val="00D832A5"/>
    <w:rsid w:val="00D836FE"/>
    <w:rsid w:val="00D83800"/>
    <w:rsid w:val="00D83CDA"/>
    <w:rsid w:val="00D846CD"/>
    <w:rsid w:val="00D85213"/>
    <w:rsid w:val="00D85A93"/>
    <w:rsid w:val="00D86A70"/>
    <w:rsid w:val="00D87330"/>
    <w:rsid w:val="00D87FF1"/>
    <w:rsid w:val="00D91D4C"/>
    <w:rsid w:val="00D920AA"/>
    <w:rsid w:val="00D92483"/>
    <w:rsid w:val="00D92633"/>
    <w:rsid w:val="00D93CE9"/>
    <w:rsid w:val="00D94DB4"/>
    <w:rsid w:val="00D951CB"/>
    <w:rsid w:val="00D975D7"/>
    <w:rsid w:val="00DA11ED"/>
    <w:rsid w:val="00DA2288"/>
    <w:rsid w:val="00DA243E"/>
    <w:rsid w:val="00DA295D"/>
    <w:rsid w:val="00DA298C"/>
    <w:rsid w:val="00DA6162"/>
    <w:rsid w:val="00DB030C"/>
    <w:rsid w:val="00DB2280"/>
    <w:rsid w:val="00DB2AF2"/>
    <w:rsid w:val="00DB403F"/>
    <w:rsid w:val="00DB4A3A"/>
    <w:rsid w:val="00DB4D70"/>
    <w:rsid w:val="00DB4FA7"/>
    <w:rsid w:val="00DB7D94"/>
    <w:rsid w:val="00DB7DFE"/>
    <w:rsid w:val="00DC1AA9"/>
    <w:rsid w:val="00DC2000"/>
    <w:rsid w:val="00DC3B21"/>
    <w:rsid w:val="00DC5F6C"/>
    <w:rsid w:val="00DC6D12"/>
    <w:rsid w:val="00DC6E11"/>
    <w:rsid w:val="00DD1B91"/>
    <w:rsid w:val="00DD368B"/>
    <w:rsid w:val="00DD6E29"/>
    <w:rsid w:val="00DE26D6"/>
    <w:rsid w:val="00DE2DA8"/>
    <w:rsid w:val="00DE343C"/>
    <w:rsid w:val="00DE3CCB"/>
    <w:rsid w:val="00DE575C"/>
    <w:rsid w:val="00DE578A"/>
    <w:rsid w:val="00DE59AF"/>
    <w:rsid w:val="00DE5D8B"/>
    <w:rsid w:val="00DE6AC5"/>
    <w:rsid w:val="00DE6E7E"/>
    <w:rsid w:val="00DE7DDA"/>
    <w:rsid w:val="00DF1D1E"/>
    <w:rsid w:val="00DF2583"/>
    <w:rsid w:val="00DF4252"/>
    <w:rsid w:val="00DF52DF"/>
    <w:rsid w:val="00DF54D9"/>
    <w:rsid w:val="00DF5A3C"/>
    <w:rsid w:val="00DF6973"/>
    <w:rsid w:val="00DF7874"/>
    <w:rsid w:val="00DF79E9"/>
    <w:rsid w:val="00E00687"/>
    <w:rsid w:val="00E008CB"/>
    <w:rsid w:val="00E0158F"/>
    <w:rsid w:val="00E021C8"/>
    <w:rsid w:val="00E03D32"/>
    <w:rsid w:val="00E03E8B"/>
    <w:rsid w:val="00E04465"/>
    <w:rsid w:val="00E04E34"/>
    <w:rsid w:val="00E05C0B"/>
    <w:rsid w:val="00E05FDB"/>
    <w:rsid w:val="00E10991"/>
    <w:rsid w:val="00E10DC6"/>
    <w:rsid w:val="00E11F8E"/>
    <w:rsid w:val="00E12B7F"/>
    <w:rsid w:val="00E145EA"/>
    <w:rsid w:val="00E14F8E"/>
    <w:rsid w:val="00E17944"/>
    <w:rsid w:val="00E17BC5"/>
    <w:rsid w:val="00E2094B"/>
    <w:rsid w:val="00E20A86"/>
    <w:rsid w:val="00E22722"/>
    <w:rsid w:val="00E2347F"/>
    <w:rsid w:val="00E276B2"/>
    <w:rsid w:val="00E33DA0"/>
    <w:rsid w:val="00E33FD4"/>
    <w:rsid w:val="00E34ED6"/>
    <w:rsid w:val="00E3596E"/>
    <w:rsid w:val="00E364EF"/>
    <w:rsid w:val="00E377C0"/>
    <w:rsid w:val="00E37F4A"/>
    <w:rsid w:val="00E4094E"/>
    <w:rsid w:val="00E426A4"/>
    <w:rsid w:val="00E42D22"/>
    <w:rsid w:val="00E431EC"/>
    <w:rsid w:val="00E43371"/>
    <w:rsid w:val="00E4573C"/>
    <w:rsid w:val="00E458E2"/>
    <w:rsid w:val="00E45F37"/>
    <w:rsid w:val="00E45F84"/>
    <w:rsid w:val="00E466F2"/>
    <w:rsid w:val="00E50A17"/>
    <w:rsid w:val="00E50BD4"/>
    <w:rsid w:val="00E5117C"/>
    <w:rsid w:val="00E51959"/>
    <w:rsid w:val="00E52DDD"/>
    <w:rsid w:val="00E54466"/>
    <w:rsid w:val="00E55AD1"/>
    <w:rsid w:val="00E56173"/>
    <w:rsid w:val="00E56899"/>
    <w:rsid w:val="00E56ADD"/>
    <w:rsid w:val="00E575BA"/>
    <w:rsid w:val="00E5788D"/>
    <w:rsid w:val="00E57CC8"/>
    <w:rsid w:val="00E60B21"/>
    <w:rsid w:val="00E61D0A"/>
    <w:rsid w:val="00E62286"/>
    <w:rsid w:val="00E634B6"/>
    <w:rsid w:val="00E634E3"/>
    <w:rsid w:val="00E645B1"/>
    <w:rsid w:val="00E6586E"/>
    <w:rsid w:val="00E659A6"/>
    <w:rsid w:val="00E67140"/>
    <w:rsid w:val="00E724F5"/>
    <w:rsid w:val="00E725FF"/>
    <w:rsid w:val="00E72823"/>
    <w:rsid w:val="00E75C19"/>
    <w:rsid w:val="00E75D2C"/>
    <w:rsid w:val="00E7671D"/>
    <w:rsid w:val="00E7699E"/>
    <w:rsid w:val="00E80636"/>
    <w:rsid w:val="00E80F31"/>
    <w:rsid w:val="00E811E7"/>
    <w:rsid w:val="00E82965"/>
    <w:rsid w:val="00E82C7D"/>
    <w:rsid w:val="00E83B09"/>
    <w:rsid w:val="00E84782"/>
    <w:rsid w:val="00E85102"/>
    <w:rsid w:val="00E8592D"/>
    <w:rsid w:val="00E86633"/>
    <w:rsid w:val="00E871A0"/>
    <w:rsid w:val="00E876A6"/>
    <w:rsid w:val="00E9497F"/>
    <w:rsid w:val="00E96181"/>
    <w:rsid w:val="00E96A64"/>
    <w:rsid w:val="00E96C67"/>
    <w:rsid w:val="00E96D0E"/>
    <w:rsid w:val="00E96DE5"/>
    <w:rsid w:val="00E975DB"/>
    <w:rsid w:val="00EA0AA8"/>
    <w:rsid w:val="00EA14C5"/>
    <w:rsid w:val="00EA1765"/>
    <w:rsid w:val="00EA26EF"/>
    <w:rsid w:val="00EA3241"/>
    <w:rsid w:val="00EA3B5F"/>
    <w:rsid w:val="00EA5786"/>
    <w:rsid w:val="00EA615D"/>
    <w:rsid w:val="00EA75C1"/>
    <w:rsid w:val="00EA7B10"/>
    <w:rsid w:val="00EB02B3"/>
    <w:rsid w:val="00EB141A"/>
    <w:rsid w:val="00EB1508"/>
    <w:rsid w:val="00EB2B97"/>
    <w:rsid w:val="00EB2DEB"/>
    <w:rsid w:val="00EB40BD"/>
    <w:rsid w:val="00EB6D1A"/>
    <w:rsid w:val="00EB7038"/>
    <w:rsid w:val="00EB71FE"/>
    <w:rsid w:val="00EB7550"/>
    <w:rsid w:val="00EB7C2E"/>
    <w:rsid w:val="00EC09DA"/>
    <w:rsid w:val="00EC0F04"/>
    <w:rsid w:val="00EC1309"/>
    <w:rsid w:val="00EC237D"/>
    <w:rsid w:val="00EC3951"/>
    <w:rsid w:val="00EC3F55"/>
    <w:rsid w:val="00EC48FA"/>
    <w:rsid w:val="00EC4BDF"/>
    <w:rsid w:val="00EC4D3C"/>
    <w:rsid w:val="00EC56FD"/>
    <w:rsid w:val="00EC5F70"/>
    <w:rsid w:val="00EC6A83"/>
    <w:rsid w:val="00EC6AAB"/>
    <w:rsid w:val="00EC6F2A"/>
    <w:rsid w:val="00ED078E"/>
    <w:rsid w:val="00ED2542"/>
    <w:rsid w:val="00ED2F32"/>
    <w:rsid w:val="00ED2F66"/>
    <w:rsid w:val="00ED35F3"/>
    <w:rsid w:val="00ED4248"/>
    <w:rsid w:val="00ED60CA"/>
    <w:rsid w:val="00ED64EF"/>
    <w:rsid w:val="00ED6CDA"/>
    <w:rsid w:val="00EE04C2"/>
    <w:rsid w:val="00EE0CAE"/>
    <w:rsid w:val="00EE0EC3"/>
    <w:rsid w:val="00EE1819"/>
    <w:rsid w:val="00EE1A75"/>
    <w:rsid w:val="00EE1B9E"/>
    <w:rsid w:val="00EE1DC0"/>
    <w:rsid w:val="00EE1FEB"/>
    <w:rsid w:val="00EE2C06"/>
    <w:rsid w:val="00EE4A1F"/>
    <w:rsid w:val="00EE53EA"/>
    <w:rsid w:val="00EE78D0"/>
    <w:rsid w:val="00EE7E82"/>
    <w:rsid w:val="00EF009A"/>
    <w:rsid w:val="00EF0D0D"/>
    <w:rsid w:val="00EF0ED5"/>
    <w:rsid w:val="00EF1B5A"/>
    <w:rsid w:val="00EF1F4C"/>
    <w:rsid w:val="00EF23D2"/>
    <w:rsid w:val="00EF27A7"/>
    <w:rsid w:val="00EF2CCA"/>
    <w:rsid w:val="00EF5F22"/>
    <w:rsid w:val="00EF61AC"/>
    <w:rsid w:val="00EF791D"/>
    <w:rsid w:val="00F01325"/>
    <w:rsid w:val="00F0172C"/>
    <w:rsid w:val="00F017B1"/>
    <w:rsid w:val="00F01BA1"/>
    <w:rsid w:val="00F03B5E"/>
    <w:rsid w:val="00F03E1B"/>
    <w:rsid w:val="00F04D64"/>
    <w:rsid w:val="00F04F96"/>
    <w:rsid w:val="00F057E0"/>
    <w:rsid w:val="00F05885"/>
    <w:rsid w:val="00F0753A"/>
    <w:rsid w:val="00F10ADF"/>
    <w:rsid w:val="00F13172"/>
    <w:rsid w:val="00F13F47"/>
    <w:rsid w:val="00F14655"/>
    <w:rsid w:val="00F16EBD"/>
    <w:rsid w:val="00F173BA"/>
    <w:rsid w:val="00F17B20"/>
    <w:rsid w:val="00F214D5"/>
    <w:rsid w:val="00F22004"/>
    <w:rsid w:val="00F229EF"/>
    <w:rsid w:val="00F22C62"/>
    <w:rsid w:val="00F24A31"/>
    <w:rsid w:val="00F24B62"/>
    <w:rsid w:val="00F24E4E"/>
    <w:rsid w:val="00F25B7F"/>
    <w:rsid w:val="00F26059"/>
    <w:rsid w:val="00F2608D"/>
    <w:rsid w:val="00F30D3E"/>
    <w:rsid w:val="00F313B0"/>
    <w:rsid w:val="00F33E73"/>
    <w:rsid w:val="00F3424F"/>
    <w:rsid w:val="00F343DA"/>
    <w:rsid w:val="00F34C83"/>
    <w:rsid w:val="00F359F8"/>
    <w:rsid w:val="00F3652C"/>
    <w:rsid w:val="00F366F4"/>
    <w:rsid w:val="00F36803"/>
    <w:rsid w:val="00F376A8"/>
    <w:rsid w:val="00F403C0"/>
    <w:rsid w:val="00F43D1A"/>
    <w:rsid w:val="00F43E8A"/>
    <w:rsid w:val="00F45528"/>
    <w:rsid w:val="00F46AA1"/>
    <w:rsid w:val="00F47235"/>
    <w:rsid w:val="00F47A9A"/>
    <w:rsid w:val="00F50554"/>
    <w:rsid w:val="00F51771"/>
    <w:rsid w:val="00F52B47"/>
    <w:rsid w:val="00F5333D"/>
    <w:rsid w:val="00F53F91"/>
    <w:rsid w:val="00F543E4"/>
    <w:rsid w:val="00F56255"/>
    <w:rsid w:val="00F56386"/>
    <w:rsid w:val="00F57321"/>
    <w:rsid w:val="00F57CD4"/>
    <w:rsid w:val="00F613E9"/>
    <w:rsid w:val="00F6168C"/>
    <w:rsid w:val="00F61A72"/>
    <w:rsid w:val="00F62092"/>
    <w:rsid w:val="00F62D1F"/>
    <w:rsid w:val="00F62E68"/>
    <w:rsid w:val="00F6371E"/>
    <w:rsid w:val="00F63E0E"/>
    <w:rsid w:val="00F6441B"/>
    <w:rsid w:val="00F6527F"/>
    <w:rsid w:val="00F658C3"/>
    <w:rsid w:val="00F65951"/>
    <w:rsid w:val="00F65DE4"/>
    <w:rsid w:val="00F66F13"/>
    <w:rsid w:val="00F74073"/>
    <w:rsid w:val="00F74AC4"/>
    <w:rsid w:val="00F74D7D"/>
    <w:rsid w:val="00F75D6F"/>
    <w:rsid w:val="00F7614E"/>
    <w:rsid w:val="00F77453"/>
    <w:rsid w:val="00F80F82"/>
    <w:rsid w:val="00F81A04"/>
    <w:rsid w:val="00F84116"/>
    <w:rsid w:val="00F8524E"/>
    <w:rsid w:val="00F8778E"/>
    <w:rsid w:val="00F87D67"/>
    <w:rsid w:val="00F87D80"/>
    <w:rsid w:val="00F90E04"/>
    <w:rsid w:val="00F9189A"/>
    <w:rsid w:val="00F928C5"/>
    <w:rsid w:val="00F94551"/>
    <w:rsid w:val="00F95F2B"/>
    <w:rsid w:val="00F96225"/>
    <w:rsid w:val="00F970A1"/>
    <w:rsid w:val="00F978F0"/>
    <w:rsid w:val="00FA1759"/>
    <w:rsid w:val="00FA277B"/>
    <w:rsid w:val="00FA6188"/>
    <w:rsid w:val="00FA6987"/>
    <w:rsid w:val="00FB06ED"/>
    <w:rsid w:val="00FB14BD"/>
    <w:rsid w:val="00FB5B8D"/>
    <w:rsid w:val="00FB743A"/>
    <w:rsid w:val="00FB76DB"/>
    <w:rsid w:val="00FC084D"/>
    <w:rsid w:val="00FC1D9B"/>
    <w:rsid w:val="00FC36AB"/>
    <w:rsid w:val="00FC3F21"/>
    <w:rsid w:val="00FC4193"/>
    <w:rsid w:val="00FC5A5F"/>
    <w:rsid w:val="00FC6410"/>
    <w:rsid w:val="00FC6A06"/>
    <w:rsid w:val="00FC6AB4"/>
    <w:rsid w:val="00FC6EC6"/>
    <w:rsid w:val="00FD09E3"/>
    <w:rsid w:val="00FD1727"/>
    <w:rsid w:val="00FD1D6B"/>
    <w:rsid w:val="00FD1EE0"/>
    <w:rsid w:val="00FD2798"/>
    <w:rsid w:val="00FD2A72"/>
    <w:rsid w:val="00FD5819"/>
    <w:rsid w:val="00FE15EB"/>
    <w:rsid w:val="00FE4F08"/>
    <w:rsid w:val="00FE5C0A"/>
    <w:rsid w:val="00FE5D1D"/>
    <w:rsid w:val="00FE64E4"/>
    <w:rsid w:val="00FF0D35"/>
    <w:rsid w:val="00FF0DF2"/>
    <w:rsid w:val="00FF2229"/>
    <w:rsid w:val="00FF2CEC"/>
    <w:rsid w:val="00FF314A"/>
    <w:rsid w:val="00FF360E"/>
    <w:rsid w:val="00FF3A5A"/>
    <w:rsid w:val="00FF5128"/>
    <w:rsid w:val="00FF5602"/>
    <w:rsid w:val="00FF64A0"/>
    <w:rsid w:val="00FF6EDD"/>
    <w:rsid w:val="26FFF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A57"/>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link w:val="HeaderChar"/>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link w:val="TitleChar"/>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uiPriority w:val="99"/>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C05FF0"/>
    <w:rPr>
      <w:rFonts w:ascii="Verdana" w:hAnsi="Verdana"/>
      <w:sz w:val="18"/>
      <w:szCs w:val="24"/>
    </w:rPr>
  </w:style>
  <w:style w:type="character" w:styleId="UnresolvedMention">
    <w:name w:val="Unresolved Mention"/>
    <w:basedOn w:val="DefaultParagraphFont"/>
    <w:uiPriority w:val="99"/>
    <w:semiHidden/>
    <w:unhideWhenUsed/>
    <w:rsid w:val="004F657C"/>
    <w:rPr>
      <w:color w:val="605E5C"/>
      <w:shd w:val="clear" w:color="auto" w:fill="E1DFDD"/>
    </w:rPr>
  </w:style>
  <w:style w:type="character" w:styleId="Strong">
    <w:name w:val="Strong"/>
    <w:basedOn w:val="DefaultParagraphFont"/>
    <w:uiPriority w:val="22"/>
    <w:qFormat/>
    <w:rsid w:val="00B15545"/>
    <w:rPr>
      <w:b/>
      <w:bCs/>
    </w:rPr>
  </w:style>
  <w:style w:type="character" w:customStyle="1" w:styleId="relative">
    <w:name w:val="relative"/>
    <w:basedOn w:val="DefaultParagraphFont"/>
    <w:rsid w:val="00B15545"/>
  </w:style>
  <w:style w:type="character" w:styleId="FollowedHyperlink">
    <w:name w:val="FollowedHyperlink"/>
    <w:basedOn w:val="DefaultParagraphFont"/>
    <w:rsid w:val="00653664"/>
    <w:rPr>
      <w:color w:val="954F72" w:themeColor="followedHyperlink"/>
      <w:u w:val="single"/>
    </w:rPr>
  </w:style>
  <w:style w:type="character" w:customStyle="1" w:styleId="TitleChar">
    <w:name w:val="Title Char"/>
    <w:basedOn w:val="DefaultParagraphFont"/>
    <w:link w:val="Title"/>
    <w:rsid w:val="002D5A57"/>
    <w:rPr>
      <w:rFonts w:ascii="Verdana" w:hAnsi="Verdana" w:cs="Arial"/>
      <w:b/>
      <w:bCs/>
      <w:kern w:val="28"/>
      <w:sz w:val="24"/>
      <w:szCs w:val="32"/>
    </w:rPr>
  </w:style>
  <w:style w:type="character" w:customStyle="1" w:styleId="HeaderChar">
    <w:name w:val="Header Char"/>
    <w:basedOn w:val="DefaultParagraphFont"/>
    <w:link w:val="Header"/>
    <w:rsid w:val="002D5A57"/>
    <w:rPr>
      <w:rFonts w:ascii="Verdana" w:hAnsi="Verdana"/>
      <w:sz w:val="18"/>
      <w:szCs w:val="24"/>
    </w:rPr>
  </w:style>
  <w:style w:type="character" w:customStyle="1" w:styleId="Heading4Char">
    <w:name w:val="Heading 4 Char"/>
    <w:basedOn w:val="DefaultParagraphFont"/>
    <w:link w:val="Heading4"/>
    <w:rsid w:val="002D5A57"/>
    <w:rPr>
      <w:rFonts w:ascii="Verdana" w:hAnsi="Verdana" w:cs="Arial"/>
      <w:kern w:val="32"/>
      <w:sz w:val="18"/>
      <w:szCs w:val="28"/>
    </w:rPr>
  </w:style>
  <w:style w:type="character" w:customStyle="1" w:styleId="Heading1Char">
    <w:name w:val="Heading 1 Char"/>
    <w:basedOn w:val="DefaultParagraphFont"/>
    <w:link w:val="Heading1"/>
    <w:rsid w:val="001F41EE"/>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137572208">
      <w:bodyDiv w:val="1"/>
      <w:marLeft w:val="0"/>
      <w:marRight w:val="0"/>
      <w:marTop w:val="0"/>
      <w:marBottom w:val="0"/>
      <w:divBdr>
        <w:top w:val="none" w:sz="0" w:space="0" w:color="auto"/>
        <w:left w:val="none" w:sz="0" w:space="0" w:color="auto"/>
        <w:bottom w:val="none" w:sz="0" w:space="0" w:color="auto"/>
        <w:right w:val="none" w:sz="0" w:space="0" w:color="auto"/>
      </w:divBdr>
    </w:div>
    <w:div w:id="295061514">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98327">
      <w:bodyDiv w:val="1"/>
      <w:marLeft w:val="0"/>
      <w:marRight w:val="0"/>
      <w:marTop w:val="0"/>
      <w:marBottom w:val="0"/>
      <w:divBdr>
        <w:top w:val="none" w:sz="0" w:space="0" w:color="auto"/>
        <w:left w:val="none" w:sz="0" w:space="0" w:color="auto"/>
        <w:bottom w:val="none" w:sz="0" w:space="0" w:color="auto"/>
        <w:right w:val="none" w:sz="0" w:space="0" w:color="auto"/>
      </w:divBdr>
    </w:div>
    <w:div w:id="569114951">
      <w:bodyDiv w:val="1"/>
      <w:marLeft w:val="0"/>
      <w:marRight w:val="0"/>
      <w:marTop w:val="0"/>
      <w:marBottom w:val="0"/>
      <w:divBdr>
        <w:top w:val="none" w:sz="0" w:space="0" w:color="auto"/>
        <w:left w:val="none" w:sz="0" w:space="0" w:color="auto"/>
        <w:bottom w:val="none" w:sz="0" w:space="0" w:color="auto"/>
        <w:right w:val="none" w:sz="0" w:space="0" w:color="auto"/>
      </w:divBdr>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783185414">
      <w:bodyDiv w:val="1"/>
      <w:marLeft w:val="0"/>
      <w:marRight w:val="0"/>
      <w:marTop w:val="0"/>
      <w:marBottom w:val="0"/>
      <w:divBdr>
        <w:top w:val="none" w:sz="0" w:space="0" w:color="auto"/>
        <w:left w:val="none" w:sz="0" w:space="0" w:color="auto"/>
        <w:bottom w:val="none" w:sz="0" w:space="0" w:color="auto"/>
        <w:right w:val="none" w:sz="0" w:space="0" w:color="auto"/>
      </w:divBdr>
    </w:div>
    <w:div w:id="800921784">
      <w:bodyDiv w:val="1"/>
      <w:marLeft w:val="0"/>
      <w:marRight w:val="0"/>
      <w:marTop w:val="0"/>
      <w:marBottom w:val="0"/>
      <w:divBdr>
        <w:top w:val="none" w:sz="0" w:space="0" w:color="auto"/>
        <w:left w:val="none" w:sz="0" w:space="0" w:color="auto"/>
        <w:bottom w:val="none" w:sz="0" w:space="0" w:color="auto"/>
        <w:right w:val="none" w:sz="0" w:space="0" w:color="auto"/>
      </w:divBdr>
    </w:div>
    <w:div w:id="896598110">
      <w:bodyDiv w:val="1"/>
      <w:marLeft w:val="0"/>
      <w:marRight w:val="0"/>
      <w:marTop w:val="0"/>
      <w:marBottom w:val="0"/>
      <w:divBdr>
        <w:top w:val="none" w:sz="0" w:space="0" w:color="auto"/>
        <w:left w:val="none" w:sz="0" w:space="0" w:color="auto"/>
        <w:bottom w:val="none" w:sz="0" w:space="0" w:color="auto"/>
        <w:right w:val="none" w:sz="0" w:space="0" w:color="auto"/>
      </w:divBdr>
    </w:div>
    <w:div w:id="936794674">
      <w:bodyDiv w:val="1"/>
      <w:marLeft w:val="0"/>
      <w:marRight w:val="0"/>
      <w:marTop w:val="0"/>
      <w:marBottom w:val="0"/>
      <w:divBdr>
        <w:top w:val="none" w:sz="0" w:space="0" w:color="auto"/>
        <w:left w:val="none" w:sz="0" w:space="0" w:color="auto"/>
        <w:bottom w:val="none" w:sz="0" w:space="0" w:color="auto"/>
        <w:right w:val="none" w:sz="0" w:space="0" w:color="auto"/>
      </w:divBdr>
      <w:divsChild>
        <w:div w:id="901479864">
          <w:marLeft w:val="0"/>
          <w:marRight w:val="0"/>
          <w:marTop w:val="0"/>
          <w:marBottom w:val="0"/>
          <w:divBdr>
            <w:top w:val="none" w:sz="0" w:space="0" w:color="auto"/>
            <w:left w:val="none" w:sz="0" w:space="0" w:color="auto"/>
            <w:bottom w:val="none" w:sz="0" w:space="0" w:color="auto"/>
            <w:right w:val="none" w:sz="0" w:space="0" w:color="auto"/>
          </w:divBdr>
          <w:divsChild>
            <w:div w:id="980231278">
              <w:marLeft w:val="0"/>
              <w:marRight w:val="0"/>
              <w:marTop w:val="0"/>
              <w:marBottom w:val="0"/>
              <w:divBdr>
                <w:top w:val="none" w:sz="0" w:space="0" w:color="auto"/>
                <w:left w:val="none" w:sz="0" w:space="0" w:color="auto"/>
                <w:bottom w:val="none" w:sz="0" w:space="0" w:color="auto"/>
                <w:right w:val="none" w:sz="0" w:space="0" w:color="auto"/>
              </w:divBdr>
              <w:divsChild>
                <w:div w:id="478115112">
                  <w:marLeft w:val="0"/>
                  <w:marRight w:val="0"/>
                  <w:marTop w:val="0"/>
                  <w:marBottom w:val="0"/>
                  <w:divBdr>
                    <w:top w:val="none" w:sz="0" w:space="0" w:color="auto"/>
                    <w:left w:val="none" w:sz="0" w:space="0" w:color="auto"/>
                    <w:bottom w:val="none" w:sz="0" w:space="0" w:color="auto"/>
                    <w:right w:val="none" w:sz="0" w:space="0" w:color="auto"/>
                  </w:divBdr>
                  <w:divsChild>
                    <w:div w:id="1732533595">
                      <w:marLeft w:val="0"/>
                      <w:marRight w:val="0"/>
                      <w:marTop w:val="0"/>
                      <w:marBottom w:val="0"/>
                      <w:divBdr>
                        <w:top w:val="none" w:sz="0" w:space="0" w:color="auto"/>
                        <w:left w:val="none" w:sz="0" w:space="0" w:color="auto"/>
                        <w:bottom w:val="none" w:sz="0" w:space="0" w:color="auto"/>
                        <w:right w:val="none" w:sz="0" w:space="0" w:color="auto"/>
                      </w:divBdr>
                      <w:divsChild>
                        <w:div w:id="128132585">
                          <w:marLeft w:val="0"/>
                          <w:marRight w:val="0"/>
                          <w:marTop w:val="0"/>
                          <w:marBottom w:val="0"/>
                          <w:divBdr>
                            <w:top w:val="none" w:sz="0" w:space="0" w:color="auto"/>
                            <w:left w:val="none" w:sz="0" w:space="0" w:color="auto"/>
                            <w:bottom w:val="none" w:sz="0" w:space="0" w:color="auto"/>
                            <w:right w:val="none" w:sz="0" w:space="0" w:color="auto"/>
                          </w:divBdr>
                          <w:divsChild>
                            <w:div w:id="1835028272">
                              <w:marLeft w:val="0"/>
                              <w:marRight w:val="0"/>
                              <w:marTop w:val="0"/>
                              <w:marBottom w:val="0"/>
                              <w:divBdr>
                                <w:top w:val="none" w:sz="0" w:space="0" w:color="auto"/>
                                <w:left w:val="none" w:sz="0" w:space="0" w:color="auto"/>
                                <w:bottom w:val="none" w:sz="0" w:space="0" w:color="auto"/>
                                <w:right w:val="none" w:sz="0" w:space="0" w:color="auto"/>
                              </w:divBdr>
                              <w:divsChild>
                                <w:div w:id="234051243">
                                  <w:marLeft w:val="0"/>
                                  <w:marRight w:val="0"/>
                                  <w:marTop w:val="0"/>
                                  <w:marBottom w:val="0"/>
                                  <w:divBdr>
                                    <w:top w:val="none" w:sz="0" w:space="0" w:color="auto"/>
                                    <w:left w:val="none" w:sz="0" w:space="0" w:color="auto"/>
                                    <w:bottom w:val="none" w:sz="0" w:space="0" w:color="auto"/>
                                    <w:right w:val="none" w:sz="0" w:space="0" w:color="auto"/>
                                  </w:divBdr>
                                  <w:divsChild>
                                    <w:div w:id="20347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2509">
      <w:bodyDiv w:val="1"/>
      <w:marLeft w:val="0"/>
      <w:marRight w:val="0"/>
      <w:marTop w:val="0"/>
      <w:marBottom w:val="0"/>
      <w:divBdr>
        <w:top w:val="none" w:sz="0" w:space="0" w:color="auto"/>
        <w:left w:val="none" w:sz="0" w:space="0" w:color="auto"/>
        <w:bottom w:val="none" w:sz="0" w:space="0" w:color="auto"/>
        <w:right w:val="none" w:sz="0" w:space="0" w:color="auto"/>
      </w:divBdr>
    </w:div>
    <w:div w:id="1093434291">
      <w:bodyDiv w:val="1"/>
      <w:marLeft w:val="0"/>
      <w:marRight w:val="0"/>
      <w:marTop w:val="0"/>
      <w:marBottom w:val="0"/>
      <w:divBdr>
        <w:top w:val="none" w:sz="0" w:space="0" w:color="auto"/>
        <w:left w:val="none" w:sz="0" w:space="0" w:color="auto"/>
        <w:bottom w:val="none" w:sz="0" w:space="0" w:color="auto"/>
        <w:right w:val="none" w:sz="0" w:space="0" w:color="auto"/>
      </w:divBdr>
    </w:div>
    <w:div w:id="1215854491">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352075777">
      <w:bodyDiv w:val="1"/>
      <w:marLeft w:val="0"/>
      <w:marRight w:val="0"/>
      <w:marTop w:val="0"/>
      <w:marBottom w:val="0"/>
      <w:divBdr>
        <w:top w:val="none" w:sz="0" w:space="0" w:color="auto"/>
        <w:left w:val="none" w:sz="0" w:space="0" w:color="auto"/>
        <w:bottom w:val="none" w:sz="0" w:space="0" w:color="auto"/>
        <w:right w:val="none" w:sz="0" w:space="0" w:color="auto"/>
      </w:divBdr>
    </w:div>
    <w:div w:id="1422681924">
      <w:bodyDiv w:val="1"/>
      <w:marLeft w:val="0"/>
      <w:marRight w:val="0"/>
      <w:marTop w:val="0"/>
      <w:marBottom w:val="0"/>
      <w:divBdr>
        <w:top w:val="none" w:sz="0" w:space="0" w:color="auto"/>
        <w:left w:val="none" w:sz="0" w:space="0" w:color="auto"/>
        <w:bottom w:val="none" w:sz="0" w:space="0" w:color="auto"/>
        <w:right w:val="none" w:sz="0" w:space="0" w:color="auto"/>
      </w:divBdr>
    </w:div>
    <w:div w:id="1475677200">
      <w:bodyDiv w:val="1"/>
      <w:marLeft w:val="0"/>
      <w:marRight w:val="0"/>
      <w:marTop w:val="0"/>
      <w:marBottom w:val="0"/>
      <w:divBdr>
        <w:top w:val="none" w:sz="0" w:space="0" w:color="auto"/>
        <w:left w:val="none" w:sz="0" w:space="0" w:color="auto"/>
        <w:bottom w:val="none" w:sz="0" w:space="0" w:color="auto"/>
        <w:right w:val="none" w:sz="0" w:space="0" w:color="auto"/>
      </w:divBdr>
    </w:div>
    <w:div w:id="1543900664">
      <w:bodyDiv w:val="1"/>
      <w:marLeft w:val="0"/>
      <w:marRight w:val="0"/>
      <w:marTop w:val="0"/>
      <w:marBottom w:val="0"/>
      <w:divBdr>
        <w:top w:val="none" w:sz="0" w:space="0" w:color="auto"/>
        <w:left w:val="none" w:sz="0" w:space="0" w:color="auto"/>
        <w:bottom w:val="none" w:sz="0" w:space="0" w:color="auto"/>
        <w:right w:val="none" w:sz="0" w:space="0" w:color="auto"/>
      </w:divBdr>
    </w:div>
    <w:div w:id="1600795442">
      <w:bodyDiv w:val="1"/>
      <w:marLeft w:val="0"/>
      <w:marRight w:val="0"/>
      <w:marTop w:val="0"/>
      <w:marBottom w:val="0"/>
      <w:divBdr>
        <w:top w:val="none" w:sz="0" w:space="0" w:color="auto"/>
        <w:left w:val="none" w:sz="0" w:space="0" w:color="auto"/>
        <w:bottom w:val="none" w:sz="0" w:space="0" w:color="auto"/>
        <w:right w:val="none" w:sz="0" w:space="0" w:color="auto"/>
      </w:divBdr>
    </w:div>
    <w:div w:id="1654682092">
      <w:bodyDiv w:val="1"/>
      <w:marLeft w:val="0"/>
      <w:marRight w:val="0"/>
      <w:marTop w:val="0"/>
      <w:marBottom w:val="0"/>
      <w:divBdr>
        <w:top w:val="none" w:sz="0" w:space="0" w:color="auto"/>
        <w:left w:val="none" w:sz="0" w:space="0" w:color="auto"/>
        <w:bottom w:val="none" w:sz="0" w:space="0" w:color="auto"/>
        <w:right w:val="none" w:sz="0" w:space="0" w:color="auto"/>
      </w:divBdr>
    </w:div>
    <w:div w:id="1775520426">
      <w:bodyDiv w:val="1"/>
      <w:marLeft w:val="0"/>
      <w:marRight w:val="0"/>
      <w:marTop w:val="0"/>
      <w:marBottom w:val="0"/>
      <w:divBdr>
        <w:top w:val="none" w:sz="0" w:space="0" w:color="auto"/>
        <w:left w:val="none" w:sz="0" w:space="0" w:color="auto"/>
        <w:bottom w:val="none" w:sz="0" w:space="0" w:color="auto"/>
        <w:right w:val="none" w:sz="0" w:space="0" w:color="auto"/>
      </w:divBdr>
      <w:divsChild>
        <w:div w:id="1941641487">
          <w:marLeft w:val="0"/>
          <w:marRight w:val="0"/>
          <w:marTop w:val="0"/>
          <w:marBottom w:val="0"/>
          <w:divBdr>
            <w:top w:val="none" w:sz="0" w:space="0" w:color="auto"/>
            <w:left w:val="none" w:sz="0" w:space="0" w:color="auto"/>
            <w:bottom w:val="none" w:sz="0" w:space="0" w:color="auto"/>
            <w:right w:val="none" w:sz="0" w:space="0" w:color="auto"/>
          </w:divBdr>
          <w:divsChild>
            <w:div w:id="1927954229">
              <w:marLeft w:val="0"/>
              <w:marRight w:val="0"/>
              <w:marTop w:val="0"/>
              <w:marBottom w:val="0"/>
              <w:divBdr>
                <w:top w:val="none" w:sz="0" w:space="0" w:color="auto"/>
                <w:left w:val="none" w:sz="0" w:space="0" w:color="auto"/>
                <w:bottom w:val="none" w:sz="0" w:space="0" w:color="auto"/>
                <w:right w:val="none" w:sz="0" w:space="0" w:color="auto"/>
              </w:divBdr>
              <w:divsChild>
                <w:div w:id="2118287232">
                  <w:marLeft w:val="0"/>
                  <w:marRight w:val="0"/>
                  <w:marTop w:val="0"/>
                  <w:marBottom w:val="0"/>
                  <w:divBdr>
                    <w:top w:val="none" w:sz="0" w:space="0" w:color="auto"/>
                    <w:left w:val="none" w:sz="0" w:space="0" w:color="auto"/>
                    <w:bottom w:val="none" w:sz="0" w:space="0" w:color="auto"/>
                    <w:right w:val="none" w:sz="0" w:space="0" w:color="auto"/>
                  </w:divBdr>
                  <w:divsChild>
                    <w:div w:id="608633022">
                      <w:marLeft w:val="0"/>
                      <w:marRight w:val="0"/>
                      <w:marTop w:val="0"/>
                      <w:marBottom w:val="0"/>
                      <w:divBdr>
                        <w:top w:val="none" w:sz="0" w:space="0" w:color="auto"/>
                        <w:left w:val="none" w:sz="0" w:space="0" w:color="auto"/>
                        <w:bottom w:val="none" w:sz="0" w:space="0" w:color="auto"/>
                        <w:right w:val="none" w:sz="0" w:space="0" w:color="auto"/>
                      </w:divBdr>
                      <w:divsChild>
                        <w:div w:id="573130351">
                          <w:marLeft w:val="0"/>
                          <w:marRight w:val="0"/>
                          <w:marTop w:val="0"/>
                          <w:marBottom w:val="0"/>
                          <w:divBdr>
                            <w:top w:val="none" w:sz="0" w:space="0" w:color="auto"/>
                            <w:left w:val="none" w:sz="0" w:space="0" w:color="auto"/>
                            <w:bottom w:val="none" w:sz="0" w:space="0" w:color="auto"/>
                            <w:right w:val="none" w:sz="0" w:space="0" w:color="auto"/>
                          </w:divBdr>
                          <w:divsChild>
                            <w:div w:id="1794253957">
                              <w:marLeft w:val="0"/>
                              <w:marRight w:val="0"/>
                              <w:marTop w:val="0"/>
                              <w:marBottom w:val="0"/>
                              <w:divBdr>
                                <w:top w:val="none" w:sz="0" w:space="0" w:color="auto"/>
                                <w:left w:val="none" w:sz="0" w:space="0" w:color="auto"/>
                                <w:bottom w:val="none" w:sz="0" w:space="0" w:color="auto"/>
                                <w:right w:val="none" w:sz="0" w:space="0" w:color="auto"/>
                              </w:divBdr>
                              <w:divsChild>
                                <w:div w:id="1226140225">
                                  <w:marLeft w:val="0"/>
                                  <w:marRight w:val="0"/>
                                  <w:marTop w:val="0"/>
                                  <w:marBottom w:val="0"/>
                                  <w:divBdr>
                                    <w:top w:val="none" w:sz="0" w:space="0" w:color="auto"/>
                                    <w:left w:val="none" w:sz="0" w:space="0" w:color="auto"/>
                                    <w:bottom w:val="none" w:sz="0" w:space="0" w:color="auto"/>
                                    <w:right w:val="none" w:sz="0" w:space="0" w:color="auto"/>
                                  </w:divBdr>
                                  <w:divsChild>
                                    <w:div w:id="3262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147105">
      <w:bodyDiv w:val="1"/>
      <w:marLeft w:val="0"/>
      <w:marRight w:val="0"/>
      <w:marTop w:val="0"/>
      <w:marBottom w:val="0"/>
      <w:divBdr>
        <w:top w:val="none" w:sz="0" w:space="0" w:color="auto"/>
        <w:left w:val="none" w:sz="0" w:space="0" w:color="auto"/>
        <w:bottom w:val="none" w:sz="0" w:space="0" w:color="auto"/>
        <w:right w:val="none" w:sz="0" w:space="0" w:color="auto"/>
      </w:divBdr>
    </w:div>
    <w:div w:id="1950695678">
      <w:bodyDiv w:val="1"/>
      <w:marLeft w:val="0"/>
      <w:marRight w:val="0"/>
      <w:marTop w:val="0"/>
      <w:marBottom w:val="0"/>
      <w:divBdr>
        <w:top w:val="none" w:sz="0" w:space="0" w:color="auto"/>
        <w:left w:val="none" w:sz="0" w:space="0" w:color="auto"/>
        <w:bottom w:val="none" w:sz="0" w:space="0" w:color="auto"/>
        <w:right w:val="none" w:sz="0" w:space="0" w:color="auto"/>
      </w:divBdr>
    </w:div>
    <w:div w:id="2019651288">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3.jpeg"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brd.com/home/work-with-us/projects/tcpsd/16580.html" TargetMode="External"/><Relationship Id="rId13" Type="http://schemas.openxmlformats.org/officeDocument/2006/relationships/hyperlink" Target="https://www.ebrd.com/home/what-we-do/products-and-services/support-for-start-ups-and-msmes/our-programmes/women-in-business.html" TargetMode="External"/><Relationship Id="rId3" Type="http://schemas.openxmlformats.org/officeDocument/2006/relationships/hyperlink" Target="https://www.rijksoverheid.nl/documenten/rapporten/2025/04/28/rapport-seo-internationale-crisismaatregelen-tijdens-de-pandemie" TargetMode="External"/><Relationship Id="rId7" Type="http://schemas.openxmlformats.org/officeDocument/2006/relationships/hyperlink" Target="https://www.google.nl/url?sa=t&amp;rct=j&amp;q=&amp;esrc=s&amp;source=web&amp;cd=&amp;ved=2ahUKEwje9d7357aNAxWH3QIHHb0yPL0QFnoECBsQAQ&amp;url=https%3A%2F%2Fwww.ebrd.com%2Fcontent%2Fdam%2Febrd_dxp%2Fassets%2Fpdfs%2Fagribusiness%2Fagribusiness-strategy%2FEBRD%2BFood%2Band%2BAgribusiness%2BStrategy%2B2025.pdf&amp;usg=AOvVaw1rtn2M8YezMlIf_1fHzTF7&amp;opi=89978449" TargetMode="External"/><Relationship Id="rId12" Type="http://schemas.openxmlformats.org/officeDocument/2006/relationships/hyperlink" Target="https://www.ebrd.com/home/what-we-do/focus-areas/ebrd-gender-equality.html" TargetMode="External"/><Relationship Id="rId2" Type="http://schemas.openxmlformats.org/officeDocument/2006/relationships/hyperlink" Target="https://www.ebrd.com/home/work-with-us/donor-partnerships.html" TargetMode="External"/><Relationship Id="rId1" Type="http://schemas.openxmlformats.org/officeDocument/2006/relationships/hyperlink" Target="https://www.ebrd.com/home/who-we-are/our-organisation/shareholders/netherlands.html" TargetMode="External"/><Relationship Id="rId6" Type="http://schemas.openxmlformats.org/officeDocument/2006/relationships/hyperlink" Target="https://www.ebrd.com/home/news-and-events/publications/institutional-documents/basic-documents.html" TargetMode="External"/><Relationship Id="rId11" Type="http://schemas.openxmlformats.org/officeDocument/2006/relationships/hyperlink" Target="https://www.ebrd.com/home/news-and-events/news/2024/ebrd-to-allocate-additional-3-billion-for-its-green-cities-programme.html" TargetMode="External"/><Relationship Id="rId5" Type="http://schemas.openxmlformats.org/officeDocument/2006/relationships/hyperlink" Target="https://www.google.nl/url?sa=t&amp;rct=j&amp;q=&amp;esrc=s&amp;source=web&amp;cd=&amp;ved=2ahUKEwjCy6SD47SNAxXWgv0HHdB6I3IQFnoECB0QAQ&amp;url=https%3A%2F%2Fwww.ebrd.com%2Fdownloads%2Fprocurement%2Fcpu%2FRFIBC.doc&amp;usg=AOvVaw1lPkmDntG5xZEYl3SXKJpk&amp;opi=89978449" TargetMode="External"/><Relationship Id="rId10" Type="http://schemas.openxmlformats.org/officeDocument/2006/relationships/hyperlink" Target="https://www.ebrd.com/home/work-with-us/projects/psd/53257.html" TargetMode="External"/><Relationship Id="rId4" Type="http://schemas.openxmlformats.org/officeDocument/2006/relationships/hyperlink" Target="https://www.rijksoverheid.nl/documenten/kamerstukken/2025/04/28/kabinetsappreciatie-seo-rapport" TargetMode="External"/><Relationship Id="rId9" Type="http://schemas.openxmlformats.org/officeDocument/2006/relationships/hyperlink" Target="https://www.ebrd.com/home/work-with-us/trade-facilitation-programme.html" TargetMode="External"/><Relationship Id="rId14" Type="http://schemas.openxmlformats.org/officeDocument/2006/relationships/hyperlink" Target="https://www.ebrd.com/home/work-with-us/ebrd-and-civil-society/Approach-to-Civil-Society-Engagemen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6804</ap:Words>
  <ap:Characters>37428</ap:Characters>
  <ap:DocSecurity>0</ap:DocSecurity>
  <ap:Lines>311</ap:Lines>
  <ap:Paragraphs>88</ap:Paragraphs>
  <ap:ScaleCrop>false</ap:ScaleCrop>
  <ap:HeadingPairs>
    <vt:vector baseType="variant" size="2">
      <vt:variant>
        <vt:lpstr>Title</vt:lpstr>
      </vt:variant>
      <vt:variant>
        <vt:i4>1</vt:i4>
      </vt:variant>
    </vt:vector>
  </ap:HeadingPairs>
  <ap:TitlesOfParts>
    <vt:vector baseType="lpstr" size="1">
      <vt:lpstr>Algemene Aanwijzingen</vt:lpstr>
    </vt:vector>
  </ap:TitlesOfParts>
  <ap:LinksUpToDate>false</ap:LinksUpToDate>
  <ap:CharactersWithSpaces>44144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2025-09-26T14:56:00.0000000Z</dcterms:created>
  <dcterms:modified xsi:type="dcterms:W3CDTF">2025-09-26T14:56:00.0000000Z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_dlc_DocIdItemGuid">
    <vt:lpwstr>62be5cc2-61c8-445c-a903-148b4101f8ae</vt:lpwstr>
  </property>
</Properties>
</file>