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3E0A" w:rsidR="00367D55" w:rsidP="00367D55" w:rsidRDefault="00367D55" w14:paraId="563A8D8E" w14:textId="2D546ED9">
      <w:bookmarkStart w:name="_Toc209500354" w:id="0"/>
      <w:bookmarkStart w:name="_Toc219275270" w:id="1"/>
      <w:bookmarkStart w:name="_Toc219275340" w:id="2"/>
      <w:bookmarkStart w:name="_Toc219518985" w:id="3"/>
      <w:r w:rsidRPr="009D3E0A">
        <w:t>Score</w:t>
      </w:r>
      <w:r w:rsidRPr="009D3E0A" w:rsidR="000D6F5C">
        <w:t>kaart</w:t>
      </w:r>
      <w:r w:rsidRPr="009D3E0A" w:rsidR="00910DE7">
        <w:t xml:space="preserve"> </w:t>
      </w:r>
      <w:r w:rsidR="009D3E0A">
        <w:t>:</w:t>
      </w:r>
      <w:r w:rsidRPr="009D3E0A" w:rsidR="00AD5E85">
        <w:tab/>
      </w:r>
      <w:r w:rsidRPr="009D3E0A" w:rsidR="00AD5E85">
        <w:tab/>
      </w:r>
      <w:r w:rsidRPr="009D3E0A" w:rsidR="00AD5E85">
        <w:tab/>
      </w:r>
      <w:r w:rsidRPr="009D3E0A" w:rsidR="00AD5E85">
        <w:tab/>
      </w:r>
      <w:r w:rsidRPr="009D3E0A" w:rsidR="00AD5E85">
        <w:tab/>
      </w:r>
      <w:r w:rsidRPr="009D3E0A" w:rsidR="00AD5E85">
        <w:tab/>
      </w:r>
      <w:r w:rsidRPr="0022710D" w:rsidR="00AD5E85">
        <w:t>International Finance Corporation (IFC)</w:t>
      </w:r>
    </w:p>
    <w:p w:rsidRPr="009D3E0A" w:rsidR="008720EB" w:rsidP="002F6CE5" w:rsidRDefault="008720EB" w14:paraId="410997D3" w14:textId="77777777">
      <w:pPr>
        <w:ind w:left="2292" w:hanging="2292"/>
      </w:pPr>
    </w:p>
    <w:p w:rsidR="002F6CE5" w:rsidP="002F6CE5" w:rsidRDefault="005C35DB" w14:paraId="641AB823" w14:textId="1931F589">
      <w:pPr>
        <w:ind w:left="2292" w:hanging="2292"/>
      </w:pPr>
      <w:fldSimple w:instr=" DOCPROPERTY  L_CONTACT  \* MERGEFORMAT ">
        <w:r w:rsidR="00BA3472">
          <w:t>Opgesteld door</w:t>
        </w:r>
      </w:fldSimple>
      <w:r w:rsidR="00C3006B">
        <w:t>:</w:t>
      </w:r>
      <w:r w:rsidR="00B964FC">
        <w:tab/>
      </w:r>
      <w:r w:rsidRPr="009D3E0A" w:rsidR="009D3E0A">
        <w:t>Directie Multilaterale Instellingen en Mensenrechten</w:t>
      </w:r>
    </w:p>
    <w:p w:rsidRPr="00785F18" w:rsidR="009D3E0A" w:rsidP="002F6CE5" w:rsidRDefault="009D3E0A" w14:paraId="1BE924DC" w14:textId="77777777">
      <w:pPr>
        <w:ind w:left="2292" w:hanging="2292"/>
      </w:pPr>
    </w:p>
    <w:tbl>
      <w:tblPr>
        <w:tblW w:w="0" w:type="auto"/>
        <w:tblLook w:val="01E0" w:firstRow="1" w:lastRow="1" w:firstColumn="1" w:lastColumn="1" w:noHBand="0" w:noVBand="0"/>
      </w:tblPr>
      <w:tblGrid>
        <w:gridCol w:w="2127"/>
        <w:gridCol w:w="5599"/>
      </w:tblGrid>
      <w:tr w:rsidRPr="00785F18" w:rsidR="002F6CE5" w:rsidTr="000F5128" w14:paraId="0FA8C8CF" w14:textId="77777777">
        <w:tc>
          <w:tcPr>
            <w:tcW w:w="2127" w:type="dxa"/>
            <w:shd w:val="clear" w:color="auto" w:fill="auto"/>
          </w:tcPr>
          <w:p w:rsidRPr="00785F18" w:rsidR="002F6CE5" w:rsidP="00815437" w:rsidRDefault="005C35DB" w14:paraId="7016FA5E" w14:textId="73776E2F">
            <w:pPr>
              <w:ind w:left="-105"/>
            </w:pPr>
            <w:fldSimple w:instr=" DOCPROPERTY  L_AUTHOR  \* MERGEFORMAT ">
              <w:r w:rsidR="00367D55">
                <w:t>Afgestemd met</w:t>
              </w:r>
              <w:r w:rsidR="00BA3472">
                <w:t>:</w:t>
              </w:r>
            </w:fldSimple>
          </w:p>
        </w:tc>
        <w:tc>
          <w:tcPr>
            <w:tcW w:w="5599" w:type="dxa"/>
            <w:shd w:val="clear" w:color="auto" w:fill="auto"/>
          </w:tcPr>
          <w:p w:rsidRPr="00785F18" w:rsidR="002F6CE5" w:rsidP="00221806" w:rsidRDefault="009D3E0A" w14:paraId="756A721D" w14:textId="11636633">
            <w:r>
              <w:t>Het</w:t>
            </w:r>
            <w:r w:rsidRPr="00AD5E85" w:rsidR="00AD5E85">
              <w:t xml:space="preserve"> ministerie van Financiën en de Nederlandse Wereldbankgroep kiesgroep</w:t>
            </w:r>
          </w:p>
        </w:tc>
      </w:tr>
      <w:tr w:rsidRPr="00785F18" w:rsidR="00B964FC" w:rsidTr="000F5128" w14:paraId="5E3C1BEE" w14:textId="77777777">
        <w:tc>
          <w:tcPr>
            <w:tcW w:w="2127" w:type="dxa"/>
            <w:shd w:val="clear" w:color="auto" w:fill="auto"/>
          </w:tcPr>
          <w:p w:rsidR="00B964FC" w:rsidP="00B964FC" w:rsidRDefault="00B964FC" w14:paraId="64CC132E" w14:textId="77777777"/>
        </w:tc>
        <w:tc>
          <w:tcPr>
            <w:tcW w:w="5599" w:type="dxa"/>
            <w:shd w:val="clear" w:color="auto" w:fill="auto"/>
          </w:tcPr>
          <w:p w:rsidR="00B964FC" w:rsidP="00221806" w:rsidRDefault="00B964FC" w14:paraId="0408BCB5" w14:textId="77777777"/>
        </w:tc>
      </w:tr>
    </w:tbl>
    <w:p w:rsidR="00991C2E" w:rsidP="00991C2E" w:rsidRDefault="00991C2E" w14:paraId="658911B7" w14:textId="77777777"/>
    <w:p w:rsidR="00326699" w:rsidP="00B26CF2" w:rsidRDefault="00326699" w14:paraId="5B60A369" w14:textId="3810A6E8">
      <w:pPr>
        <w:spacing w:line="240" w:lineRule="auto"/>
        <w:ind w:left="720"/>
        <w:sectPr w:rsidR="00326699" w:rsidSect="007D6565">
          <w:headerReference w:type="even" r:id="rId13"/>
          <w:headerReference w:type="default" r:id="rId14"/>
          <w:footerReference w:type="even" r:id="rId15"/>
          <w:footerReference w:type="default" r:id="rId16"/>
          <w:headerReference w:type="first" r:id="rId17"/>
          <w:footerReference w:type="first" r:id="rId18"/>
          <w:pgSz w:w="11906" w:h="16838" w:code="9"/>
          <w:pgMar w:top="2520" w:right="960" w:bottom="1080" w:left="3220" w:header="200" w:footer="660" w:gutter="0"/>
          <w:cols w:space="708"/>
          <w:titlePg/>
          <w:docGrid w:linePitch="360"/>
        </w:sectPr>
      </w:pPr>
    </w:p>
    <w:p w:rsidRPr="00410EFB" w:rsidR="0093015A" w:rsidP="001E628B" w:rsidRDefault="0093015A" w14:paraId="070DD676" w14:textId="58766347">
      <w:pPr>
        <w:pStyle w:val="TOC3"/>
      </w:pPr>
      <w:bookmarkStart w:name="_Hlk203387640" w:id="7"/>
      <w:bookmarkEnd w:id="0"/>
      <w:bookmarkEnd w:id="1"/>
      <w:bookmarkEnd w:id="2"/>
      <w:bookmarkEnd w:id="3"/>
    </w:p>
    <w:sdt>
      <w:sdtPr>
        <w:rPr>
          <w:rFonts w:ascii="Verdana" w:hAnsi="Verdana" w:eastAsia="Times New Roman" w:cs="Times New Roman"/>
          <w:color w:val="auto"/>
          <w:sz w:val="18"/>
          <w:szCs w:val="24"/>
          <w:lang w:val="nl-NL" w:eastAsia="nl-NL"/>
        </w:rPr>
        <w:id w:val="-308933402"/>
        <w:docPartObj>
          <w:docPartGallery w:val="Table of Contents"/>
          <w:docPartUnique/>
        </w:docPartObj>
      </w:sdtPr>
      <w:sdtEndPr>
        <w:rPr>
          <w:b/>
          <w:bCs/>
          <w:noProof/>
        </w:rPr>
      </w:sdtEndPr>
      <w:sdtContent>
        <w:p w:rsidR="00B26CF2" w:rsidP="0093015A" w:rsidRDefault="00B26CF2" w14:paraId="5BB9C2DD" w14:textId="77777777">
          <w:pPr>
            <w:pStyle w:val="TOCHeading"/>
            <w:rPr>
              <w:rFonts w:ascii="Verdana" w:hAnsi="Verdana" w:eastAsia="Times New Roman" w:cs="Times New Roman"/>
              <w:color w:val="auto"/>
              <w:sz w:val="18"/>
              <w:szCs w:val="24"/>
              <w:lang w:val="nl-NL" w:eastAsia="nl-NL"/>
            </w:rPr>
          </w:pPr>
        </w:p>
        <w:p w:rsidR="00B26CF2" w:rsidRDefault="00B26CF2" w14:paraId="368811B3" w14:textId="77777777">
          <w:pPr>
            <w:spacing w:line="240" w:lineRule="auto"/>
          </w:pPr>
          <w:r>
            <w:br w:type="page"/>
          </w:r>
        </w:p>
        <w:p w:rsidR="0093015A" w:rsidP="0093015A" w:rsidRDefault="0093015A" w14:paraId="38E9116F" w14:textId="00757EA4">
          <w:pPr>
            <w:pStyle w:val="TOCHeading"/>
            <w:rPr>
              <w:rFonts w:ascii="Verdana" w:hAnsi="Verdana"/>
              <w:color w:val="auto"/>
              <w:sz w:val="24"/>
              <w:szCs w:val="24"/>
            </w:rPr>
          </w:pPr>
          <w:proofErr w:type="spellStart"/>
          <w:r>
            <w:rPr>
              <w:rFonts w:ascii="Verdana" w:hAnsi="Verdana"/>
              <w:color w:val="auto"/>
              <w:sz w:val="24"/>
              <w:szCs w:val="24"/>
            </w:rPr>
            <w:lastRenderedPageBreak/>
            <w:t>Inhoudsopgave</w:t>
          </w:r>
          <w:proofErr w:type="spellEnd"/>
          <w:r>
            <w:rPr>
              <w:rFonts w:ascii="Verdana" w:hAnsi="Verdana"/>
              <w:color w:val="auto"/>
              <w:sz w:val="24"/>
              <w:szCs w:val="24"/>
            </w:rPr>
            <w:t xml:space="preserve"> </w:t>
          </w:r>
        </w:p>
        <w:p w:rsidRPr="0093015A" w:rsidR="0093015A" w:rsidP="0093015A" w:rsidRDefault="0093015A" w14:paraId="7A08382C" w14:textId="77777777">
          <w:pPr>
            <w:rPr>
              <w:lang w:val="en-US" w:eastAsia="en-US"/>
            </w:rPr>
          </w:pPr>
        </w:p>
        <w:p w:rsidRPr="001E628B" w:rsidR="0093015A" w:rsidP="001E628B" w:rsidRDefault="0093015A" w14:paraId="7683ECFF" w14:textId="77777777">
          <w:pPr>
            <w:spacing w:line="360" w:lineRule="auto"/>
            <w:rPr>
              <w:b/>
              <w:bCs/>
              <w:lang w:val="en-US" w:eastAsia="en-US"/>
            </w:rPr>
          </w:pPr>
        </w:p>
        <w:p w:rsidR="00B26CF2" w:rsidRDefault="0093015A" w14:paraId="50F91AF7" w14:textId="7E9E0FC2">
          <w:pPr>
            <w:pStyle w:val="TOC1"/>
            <w:tabs>
              <w:tab w:val="left" w:pos="1440"/>
              <w:tab w:val="right" w:leader="dot" w:pos="7716"/>
            </w:tabs>
            <w:rPr>
              <w:rFonts w:asciiTheme="minorHAnsi" w:hAnsiTheme="minorHAnsi" w:eastAsiaTheme="minorEastAsia" w:cstheme="minorBidi"/>
              <w:noProof/>
              <w:kern w:val="2"/>
              <w:sz w:val="24"/>
              <w14:ligatures w14:val="standardContextual"/>
            </w:rPr>
          </w:pPr>
          <w:r w:rsidRPr="001E628B">
            <w:rPr>
              <w:b/>
              <w:bCs/>
            </w:rPr>
            <w:fldChar w:fldCharType="begin"/>
          </w:r>
          <w:r w:rsidRPr="001E628B">
            <w:rPr>
              <w:b/>
              <w:bCs/>
            </w:rPr>
            <w:instrText xml:space="preserve"> TOC \o "1-3" \h \z \u </w:instrText>
          </w:r>
          <w:r w:rsidRPr="001E628B">
            <w:rPr>
              <w:b/>
              <w:bCs/>
            </w:rPr>
            <w:fldChar w:fldCharType="separate"/>
          </w:r>
          <w:hyperlink w:history="1" w:anchor="_Toc205306247">
            <w:r w:rsidRPr="003958AA" w:rsidR="00B26CF2">
              <w:rPr>
                <w:rStyle w:val="Hyperlink"/>
                <w:noProof/>
              </w:rPr>
              <w:t xml:space="preserve">1 </w:t>
            </w:r>
            <w:r w:rsidR="00B26CF2">
              <w:rPr>
                <w:rFonts w:asciiTheme="minorHAnsi" w:hAnsiTheme="minorHAnsi" w:eastAsiaTheme="minorEastAsia" w:cstheme="minorBidi"/>
                <w:noProof/>
                <w:kern w:val="2"/>
                <w:sz w:val="24"/>
                <w14:ligatures w14:val="standardContextual"/>
              </w:rPr>
              <w:tab/>
            </w:r>
            <w:r w:rsidRPr="003958AA" w:rsidR="00B26CF2">
              <w:rPr>
                <w:rStyle w:val="Hyperlink"/>
                <w:noProof/>
              </w:rPr>
              <w:t>Inleiding</w:t>
            </w:r>
            <w:r w:rsidR="00B26CF2">
              <w:rPr>
                <w:noProof/>
                <w:webHidden/>
              </w:rPr>
              <w:tab/>
            </w:r>
            <w:r w:rsidR="00B26CF2">
              <w:rPr>
                <w:noProof/>
                <w:webHidden/>
              </w:rPr>
              <w:fldChar w:fldCharType="begin"/>
            </w:r>
            <w:r w:rsidR="00B26CF2">
              <w:rPr>
                <w:noProof/>
                <w:webHidden/>
              </w:rPr>
              <w:instrText xml:space="preserve"> PAGEREF _Toc205306247 \h </w:instrText>
            </w:r>
            <w:r w:rsidR="00B26CF2">
              <w:rPr>
                <w:noProof/>
                <w:webHidden/>
              </w:rPr>
            </w:r>
            <w:r w:rsidR="00B26CF2">
              <w:rPr>
                <w:noProof/>
                <w:webHidden/>
              </w:rPr>
              <w:fldChar w:fldCharType="separate"/>
            </w:r>
            <w:r w:rsidR="00B26CF2">
              <w:rPr>
                <w:noProof/>
                <w:webHidden/>
              </w:rPr>
              <w:t>3</w:t>
            </w:r>
            <w:r w:rsidR="00B26CF2">
              <w:rPr>
                <w:noProof/>
                <w:webHidden/>
              </w:rPr>
              <w:fldChar w:fldCharType="end"/>
            </w:r>
          </w:hyperlink>
        </w:p>
        <w:p w:rsidR="00B26CF2" w:rsidRDefault="00CA4048" w14:paraId="7F8C618C" w14:textId="6759FC00">
          <w:pPr>
            <w:pStyle w:val="TOC1"/>
            <w:tabs>
              <w:tab w:val="left" w:pos="1440"/>
              <w:tab w:val="right" w:leader="dot" w:pos="7716"/>
            </w:tabs>
            <w:rPr>
              <w:rFonts w:asciiTheme="minorHAnsi" w:hAnsiTheme="minorHAnsi" w:eastAsiaTheme="minorEastAsia" w:cstheme="minorBidi"/>
              <w:noProof/>
              <w:kern w:val="2"/>
              <w:sz w:val="24"/>
              <w14:ligatures w14:val="standardContextual"/>
            </w:rPr>
          </w:pPr>
          <w:hyperlink w:history="1" w:anchor="_Toc205306248">
            <w:r w:rsidRPr="003958AA" w:rsidR="00B26CF2">
              <w:rPr>
                <w:rStyle w:val="Hyperlink"/>
                <w:noProof/>
              </w:rPr>
              <w:t>2</w:t>
            </w:r>
            <w:r w:rsidR="00B26CF2">
              <w:rPr>
                <w:rFonts w:asciiTheme="minorHAnsi" w:hAnsiTheme="minorHAnsi" w:eastAsiaTheme="minorEastAsia" w:cstheme="minorBidi"/>
                <w:noProof/>
                <w:kern w:val="2"/>
                <w:sz w:val="24"/>
                <w14:ligatures w14:val="standardContextual"/>
              </w:rPr>
              <w:tab/>
            </w:r>
            <w:r w:rsidRPr="003958AA" w:rsidR="00B26CF2">
              <w:rPr>
                <w:rStyle w:val="Hyperlink"/>
                <w:noProof/>
              </w:rPr>
              <w:t>Samenvatting</w:t>
            </w:r>
            <w:r w:rsidR="00B26CF2">
              <w:rPr>
                <w:noProof/>
                <w:webHidden/>
              </w:rPr>
              <w:tab/>
            </w:r>
            <w:r w:rsidR="00B26CF2">
              <w:rPr>
                <w:noProof/>
                <w:webHidden/>
              </w:rPr>
              <w:fldChar w:fldCharType="begin"/>
            </w:r>
            <w:r w:rsidR="00B26CF2">
              <w:rPr>
                <w:noProof/>
                <w:webHidden/>
              </w:rPr>
              <w:instrText xml:space="preserve"> PAGEREF _Toc205306248 \h </w:instrText>
            </w:r>
            <w:r w:rsidR="00B26CF2">
              <w:rPr>
                <w:noProof/>
                <w:webHidden/>
              </w:rPr>
            </w:r>
            <w:r w:rsidR="00B26CF2">
              <w:rPr>
                <w:noProof/>
                <w:webHidden/>
              </w:rPr>
              <w:fldChar w:fldCharType="separate"/>
            </w:r>
            <w:r w:rsidR="00B26CF2">
              <w:rPr>
                <w:noProof/>
                <w:webHidden/>
              </w:rPr>
              <w:t>4</w:t>
            </w:r>
            <w:r w:rsidR="00B26CF2">
              <w:rPr>
                <w:noProof/>
                <w:webHidden/>
              </w:rPr>
              <w:fldChar w:fldCharType="end"/>
            </w:r>
          </w:hyperlink>
        </w:p>
        <w:p w:rsidR="00B26CF2" w:rsidRDefault="00CA4048" w14:paraId="478746AC" w14:textId="469C3A88">
          <w:pPr>
            <w:pStyle w:val="TOC1"/>
            <w:tabs>
              <w:tab w:val="left" w:pos="1440"/>
              <w:tab w:val="right" w:leader="dot" w:pos="7716"/>
            </w:tabs>
            <w:rPr>
              <w:rFonts w:asciiTheme="minorHAnsi" w:hAnsiTheme="minorHAnsi" w:eastAsiaTheme="minorEastAsia" w:cstheme="minorBidi"/>
              <w:noProof/>
              <w:kern w:val="2"/>
              <w:sz w:val="24"/>
              <w14:ligatures w14:val="standardContextual"/>
            </w:rPr>
          </w:pPr>
          <w:hyperlink w:history="1" w:anchor="_Toc205306249">
            <w:r w:rsidRPr="003958AA" w:rsidR="00B26CF2">
              <w:rPr>
                <w:rStyle w:val="Hyperlink"/>
                <w:noProof/>
              </w:rPr>
              <w:t xml:space="preserve">3 </w:t>
            </w:r>
            <w:r w:rsidR="00B26CF2">
              <w:rPr>
                <w:rFonts w:asciiTheme="minorHAnsi" w:hAnsiTheme="minorHAnsi" w:eastAsiaTheme="minorEastAsia" w:cstheme="minorBidi"/>
                <w:noProof/>
                <w:kern w:val="2"/>
                <w:sz w:val="24"/>
                <w14:ligatures w14:val="standardContextual"/>
              </w:rPr>
              <w:tab/>
            </w:r>
            <w:r w:rsidRPr="003958AA" w:rsidR="00B26CF2">
              <w:rPr>
                <w:rStyle w:val="Hyperlink"/>
                <w:noProof/>
              </w:rPr>
              <w:t>Algemene achtergrond</w:t>
            </w:r>
            <w:r w:rsidR="00B26CF2">
              <w:rPr>
                <w:noProof/>
                <w:webHidden/>
              </w:rPr>
              <w:tab/>
            </w:r>
            <w:r w:rsidR="00B26CF2">
              <w:rPr>
                <w:noProof/>
                <w:webHidden/>
              </w:rPr>
              <w:fldChar w:fldCharType="begin"/>
            </w:r>
            <w:r w:rsidR="00B26CF2">
              <w:rPr>
                <w:noProof/>
                <w:webHidden/>
              </w:rPr>
              <w:instrText xml:space="preserve"> PAGEREF _Toc205306249 \h </w:instrText>
            </w:r>
            <w:r w:rsidR="00B26CF2">
              <w:rPr>
                <w:noProof/>
                <w:webHidden/>
              </w:rPr>
            </w:r>
            <w:r w:rsidR="00B26CF2">
              <w:rPr>
                <w:noProof/>
                <w:webHidden/>
              </w:rPr>
              <w:fldChar w:fldCharType="separate"/>
            </w:r>
            <w:r w:rsidR="00B26CF2">
              <w:rPr>
                <w:noProof/>
                <w:webHidden/>
              </w:rPr>
              <w:t>5</w:t>
            </w:r>
            <w:r w:rsidR="00B26CF2">
              <w:rPr>
                <w:noProof/>
                <w:webHidden/>
              </w:rPr>
              <w:fldChar w:fldCharType="end"/>
            </w:r>
          </w:hyperlink>
        </w:p>
        <w:p w:rsidR="00B26CF2" w:rsidRDefault="00CA4048" w14:paraId="2BAF166B" w14:textId="7CDE3B0C">
          <w:pPr>
            <w:pStyle w:val="TOC2"/>
            <w:rPr>
              <w:rFonts w:asciiTheme="minorHAnsi" w:hAnsiTheme="minorHAnsi" w:eastAsiaTheme="minorEastAsia" w:cstheme="minorBidi"/>
              <w:b w:val="0"/>
              <w:kern w:val="2"/>
              <w:sz w:val="24"/>
              <w14:ligatures w14:val="standardContextual"/>
            </w:rPr>
          </w:pPr>
          <w:hyperlink w:history="1" w:anchor="_Toc205306250">
            <w:r w:rsidRPr="003958AA" w:rsidR="00B26CF2">
              <w:rPr>
                <w:rStyle w:val="Hyperlink"/>
              </w:rPr>
              <w:t xml:space="preserve">3.1 </w:t>
            </w:r>
            <w:r w:rsidR="00B26CF2">
              <w:rPr>
                <w:rFonts w:asciiTheme="minorHAnsi" w:hAnsiTheme="minorHAnsi" w:eastAsiaTheme="minorEastAsia" w:cstheme="minorBidi"/>
                <w:b w:val="0"/>
                <w:kern w:val="2"/>
                <w:sz w:val="24"/>
                <w14:ligatures w14:val="standardContextual"/>
              </w:rPr>
              <w:tab/>
            </w:r>
            <w:r w:rsidRPr="003958AA" w:rsidR="00B26CF2">
              <w:rPr>
                <w:rStyle w:val="Hyperlink"/>
              </w:rPr>
              <w:t>Samenvattende beschrijving van de organisatie</w:t>
            </w:r>
            <w:r w:rsidR="00B26CF2">
              <w:rPr>
                <w:webHidden/>
              </w:rPr>
              <w:tab/>
            </w:r>
            <w:r w:rsidR="00B26CF2">
              <w:rPr>
                <w:webHidden/>
              </w:rPr>
              <w:fldChar w:fldCharType="begin"/>
            </w:r>
            <w:r w:rsidR="00B26CF2">
              <w:rPr>
                <w:webHidden/>
              </w:rPr>
              <w:instrText xml:space="preserve"> PAGEREF _Toc205306250 \h </w:instrText>
            </w:r>
            <w:r w:rsidR="00B26CF2">
              <w:rPr>
                <w:webHidden/>
              </w:rPr>
            </w:r>
            <w:r w:rsidR="00B26CF2">
              <w:rPr>
                <w:webHidden/>
              </w:rPr>
              <w:fldChar w:fldCharType="separate"/>
            </w:r>
            <w:r w:rsidR="00B26CF2">
              <w:rPr>
                <w:webHidden/>
              </w:rPr>
              <w:t>5</w:t>
            </w:r>
            <w:r w:rsidR="00B26CF2">
              <w:rPr>
                <w:webHidden/>
              </w:rPr>
              <w:fldChar w:fldCharType="end"/>
            </w:r>
          </w:hyperlink>
        </w:p>
        <w:p w:rsidR="00B26CF2" w:rsidRDefault="00CA4048" w14:paraId="76FBC9DB" w14:textId="20D7F550">
          <w:pPr>
            <w:pStyle w:val="TOC2"/>
            <w:rPr>
              <w:rFonts w:asciiTheme="minorHAnsi" w:hAnsiTheme="minorHAnsi" w:eastAsiaTheme="minorEastAsia" w:cstheme="minorBidi"/>
              <w:b w:val="0"/>
              <w:kern w:val="2"/>
              <w:sz w:val="24"/>
              <w14:ligatures w14:val="standardContextual"/>
            </w:rPr>
          </w:pPr>
          <w:hyperlink w:history="1" w:anchor="_Toc205306251">
            <w:r w:rsidRPr="003958AA" w:rsidR="00B26CF2">
              <w:rPr>
                <w:rStyle w:val="Hyperlink"/>
              </w:rPr>
              <w:t xml:space="preserve">3.2 </w:t>
            </w:r>
            <w:r w:rsidR="00B26CF2">
              <w:rPr>
                <w:rFonts w:asciiTheme="minorHAnsi" w:hAnsiTheme="minorHAnsi" w:eastAsiaTheme="minorEastAsia" w:cstheme="minorBidi"/>
                <w:b w:val="0"/>
                <w:kern w:val="2"/>
                <w:sz w:val="24"/>
                <w14:ligatures w14:val="standardContextual"/>
              </w:rPr>
              <w:tab/>
            </w:r>
            <w:r w:rsidRPr="003958AA" w:rsidR="00B26CF2">
              <w:rPr>
                <w:rStyle w:val="Hyperlink"/>
              </w:rPr>
              <w:t>Nederlandse rol en invloed</w:t>
            </w:r>
            <w:r w:rsidR="00B26CF2">
              <w:rPr>
                <w:webHidden/>
              </w:rPr>
              <w:tab/>
            </w:r>
            <w:r w:rsidR="00B26CF2">
              <w:rPr>
                <w:webHidden/>
              </w:rPr>
              <w:fldChar w:fldCharType="begin"/>
            </w:r>
            <w:r w:rsidR="00B26CF2">
              <w:rPr>
                <w:webHidden/>
              </w:rPr>
              <w:instrText xml:space="preserve"> PAGEREF _Toc205306251 \h </w:instrText>
            </w:r>
            <w:r w:rsidR="00B26CF2">
              <w:rPr>
                <w:webHidden/>
              </w:rPr>
            </w:r>
            <w:r w:rsidR="00B26CF2">
              <w:rPr>
                <w:webHidden/>
              </w:rPr>
              <w:fldChar w:fldCharType="separate"/>
            </w:r>
            <w:r w:rsidR="00B26CF2">
              <w:rPr>
                <w:webHidden/>
              </w:rPr>
              <w:t>5</w:t>
            </w:r>
            <w:r w:rsidR="00B26CF2">
              <w:rPr>
                <w:webHidden/>
              </w:rPr>
              <w:fldChar w:fldCharType="end"/>
            </w:r>
          </w:hyperlink>
        </w:p>
        <w:p w:rsidR="00B26CF2" w:rsidRDefault="00CA4048" w14:paraId="347BBF3C" w14:textId="4CDE0D37">
          <w:pPr>
            <w:pStyle w:val="TOC1"/>
            <w:tabs>
              <w:tab w:val="left" w:pos="1440"/>
              <w:tab w:val="right" w:leader="dot" w:pos="7716"/>
            </w:tabs>
            <w:rPr>
              <w:rFonts w:asciiTheme="minorHAnsi" w:hAnsiTheme="minorHAnsi" w:eastAsiaTheme="minorEastAsia" w:cstheme="minorBidi"/>
              <w:noProof/>
              <w:kern w:val="2"/>
              <w:sz w:val="24"/>
              <w14:ligatures w14:val="standardContextual"/>
            </w:rPr>
          </w:pPr>
          <w:hyperlink w:history="1" w:anchor="_Toc205306252">
            <w:r w:rsidRPr="003958AA" w:rsidR="00B26CF2">
              <w:rPr>
                <w:rStyle w:val="Hyperlink"/>
                <w:noProof/>
              </w:rPr>
              <w:t xml:space="preserve">4 </w:t>
            </w:r>
            <w:r w:rsidR="00B26CF2">
              <w:rPr>
                <w:rFonts w:asciiTheme="minorHAnsi" w:hAnsiTheme="minorHAnsi" w:eastAsiaTheme="minorEastAsia" w:cstheme="minorBidi"/>
                <w:noProof/>
                <w:kern w:val="2"/>
                <w:sz w:val="24"/>
                <w14:ligatures w14:val="standardContextual"/>
              </w:rPr>
              <w:tab/>
            </w:r>
            <w:r w:rsidRPr="003958AA" w:rsidR="00B26CF2">
              <w:rPr>
                <w:rStyle w:val="Hyperlink"/>
                <w:noProof/>
              </w:rPr>
              <w:t>MOPAN-beoordeling van de IFC</w:t>
            </w:r>
            <w:r w:rsidR="00B26CF2">
              <w:rPr>
                <w:noProof/>
                <w:webHidden/>
              </w:rPr>
              <w:tab/>
            </w:r>
            <w:r w:rsidR="00B26CF2">
              <w:rPr>
                <w:noProof/>
                <w:webHidden/>
              </w:rPr>
              <w:fldChar w:fldCharType="begin"/>
            </w:r>
            <w:r w:rsidR="00B26CF2">
              <w:rPr>
                <w:noProof/>
                <w:webHidden/>
              </w:rPr>
              <w:instrText xml:space="preserve"> PAGEREF _Toc205306252 \h </w:instrText>
            </w:r>
            <w:r w:rsidR="00B26CF2">
              <w:rPr>
                <w:noProof/>
                <w:webHidden/>
              </w:rPr>
            </w:r>
            <w:r w:rsidR="00B26CF2">
              <w:rPr>
                <w:noProof/>
                <w:webHidden/>
              </w:rPr>
              <w:fldChar w:fldCharType="separate"/>
            </w:r>
            <w:r w:rsidR="00B26CF2">
              <w:rPr>
                <w:noProof/>
                <w:webHidden/>
              </w:rPr>
              <w:t>8</w:t>
            </w:r>
            <w:r w:rsidR="00B26CF2">
              <w:rPr>
                <w:noProof/>
                <w:webHidden/>
              </w:rPr>
              <w:fldChar w:fldCharType="end"/>
            </w:r>
          </w:hyperlink>
        </w:p>
        <w:p w:rsidR="00B26CF2" w:rsidRDefault="00CA4048" w14:paraId="0A643133" w14:textId="3958C3C8">
          <w:pPr>
            <w:pStyle w:val="TOC2"/>
            <w:rPr>
              <w:rFonts w:asciiTheme="minorHAnsi" w:hAnsiTheme="minorHAnsi" w:eastAsiaTheme="minorEastAsia" w:cstheme="minorBidi"/>
              <w:b w:val="0"/>
              <w:kern w:val="2"/>
              <w:sz w:val="24"/>
              <w14:ligatures w14:val="standardContextual"/>
            </w:rPr>
          </w:pPr>
          <w:hyperlink w:history="1" w:anchor="_Toc205306253">
            <w:r w:rsidRPr="003958AA" w:rsidR="00B26CF2">
              <w:rPr>
                <w:rStyle w:val="Hyperlink"/>
              </w:rPr>
              <w:t xml:space="preserve">4.1 </w:t>
            </w:r>
            <w:r w:rsidR="00B26CF2">
              <w:rPr>
                <w:rFonts w:asciiTheme="minorHAnsi" w:hAnsiTheme="minorHAnsi" w:eastAsiaTheme="minorEastAsia" w:cstheme="minorBidi"/>
                <w:b w:val="0"/>
                <w:kern w:val="2"/>
                <w:sz w:val="24"/>
                <w14:ligatures w14:val="standardContextual"/>
              </w:rPr>
              <w:tab/>
            </w:r>
            <w:r w:rsidRPr="003958AA" w:rsidR="00B26CF2">
              <w:rPr>
                <w:rStyle w:val="Hyperlink"/>
              </w:rPr>
              <w:t>Kernpunten van de MOPAN-beoordeling naar het Nederlands vertaald</w:t>
            </w:r>
            <w:r w:rsidR="00B26CF2">
              <w:rPr>
                <w:webHidden/>
              </w:rPr>
              <w:tab/>
            </w:r>
            <w:r w:rsidR="00B26CF2">
              <w:rPr>
                <w:webHidden/>
              </w:rPr>
              <w:fldChar w:fldCharType="begin"/>
            </w:r>
            <w:r w:rsidR="00B26CF2">
              <w:rPr>
                <w:webHidden/>
              </w:rPr>
              <w:instrText xml:space="preserve"> PAGEREF _Toc205306253 \h </w:instrText>
            </w:r>
            <w:r w:rsidR="00B26CF2">
              <w:rPr>
                <w:webHidden/>
              </w:rPr>
            </w:r>
            <w:r w:rsidR="00B26CF2">
              <w:rPr>
                <w:webHidden/>
              </w:rPr>
              <w:fldChar w:fldCharType="separate"/>
            </w:r>
            <w:r w:rsidR="00B26CF2">
              <w:rPr>
                <w:webHidden/>
              </w:rPr>
              <w:t>8</w:t>
            </w:r>
            <w:r w:rsidR="00B26CF2">
              <w:rPr>
                <w:webHidden/>
              </w:rPr>
              <w:fldChar w:fldCharType="end"/>
            </w:r>
          </w:hyperlink>
        </w:p>
        <w:p w:rsidR="00B26CF2" w:rsidRDefault="00CA4048" w14:paraId="40C0212F" w14:textId="47324E8F">
          <w:pPr>
            <w:pStyle w:val="TOC2"/>
            <w:rPr>
              <w:rFonts w:asciiTheme="minorHAnsi" w:hAnsiTheme="minorHAnsi" w:eastAsiaTheme="minorEastAsia" w:cstheme="minorBidi"/>
              <w:b w:val="0"/>
              <w:kern w:val="2"/>
              <w:sz w:val="24"/>
              <w14:ligatures w14:val="standardContextual"/>
            </w:rPr>
          </w:pPr>
          <w:hyperlink w:history="1" w:anchor="_Toc205306254">
            <w:r w:rsidRPr="003958AA" w:rsidR="00B26CF2">
              <w:rPr>
                <w:rStyle w:val="Hyperlink"/>
              </w:rPr>
              <w:t xml:space="preserve">4.2 </w:t>
            </w:r>
            <w:r w:rsidR="00B26CF2">
              <w:rPr>
                <w:rFonts w:asciiTheme="minorHAnsi" w:hAnsiTheme="minorHAnsi" w:eastAsiaTheme="minorEastAsia" w:cstheme="minorBidi"/>
                <w:b w:val="0"/>
                <w:kern w:val="2"/>
                <w:sz w:val="24"/>
                <w14:ligatures w14:val="standardContextual"/>
              </w:rPr>
              <w:tab/>
            </w:r>
            <w:r w:rsidRPr="003958AA" w:rsidR="00B26CF2">
              <w:rPr>
                <w:rStyle w:val="Hyperlink"/>
              </w:rPr>
              <w:t>Appreciatie van de MOPAN-beoordeling</w:t>
            </w:r>
            <w:r w:rsidR="00B26CF2">
              <w:rPr>
                <w:webHidden/>
              </w:rPr>
              <w:tab/>
            </w:r>
            <w:r w:rsidR="00B26CF2">
              <w:rPr>
                <w:webHidden/>
              </w:rPr>
              <w:fldChar w:fldCharType="begin"/>
            </w:r>
            <w:r w:rsidR="00B26CF2">
              <w:rPr>
                <w:webHidden/>
              </w:rPr>
              <w:instrText xml:space="preserve"> PAGEREF _Toc205306254 \h </w:instrText>
            </w:r>
            <w:r w:rsidR="00B26CF2">
              <w:rPr>
                <w:webHidden/>
              </w:rPr>
            </w:r>
            <w:r w:rsidR="00B26CF2">
              <w:rPr>
                <w:webHidden/>
              </w:rPr>
              <w:fldChar w:fldCharType="separate"/>
            </w:r>
            <w:r w:rsidR="00B26CF2">
              <w:rPr>
                <w:webHidden/>
              </w:rPr>
              <w:t>10</w:t>
            </w:r>
            <w:r w:rsidR="00B26CF2">
              <w:rPr>
                <w:webHidden/>
              </w:rPr>
              <w:fldChar w:fldCharType="end"/>
            </w:r>
          </w:hyperlink>
        </w:p>
        <w:p w:rsidR="00B26CF2" w:rsidRDefault="00CA4048" w14:paraId="25C5CFA2" w14:textId="43972783">
          <w:pPr>
            <w:pStyle w:val="TOC1"/>
            <w:tabs>
              <w:tab w:val="left" w:pos="1440"/>
              <w:tab w:val="right" w:leader="dot" w:pos="7716"/>
            </w:tabs>
            <w:rPr>
              <w:rFonts w:asciiTheme="minorHAnsi" w:hAnsiTheme="minorHAnsi" w:eastAsiaTheme="minorEastAsia" w:cstheme="minorBidi"/>
              <w:noProof/>
              <w:kern w:val="2"/>
              <w:sz w:val="24"/>
              <w14:ligatures w14:val="standardContextual"/>
            </w:rPr>
          </w:pPr>
          <w:hyperlink w:history="1" w:anchor="_Toc205306255">
            <w:r w:rsidRPr="003958AA" w:rsidR="00B26CF2">
              <w:rPr>
                <w:rStyle w:val="Hyperlink"/>
                <w:noProof/>
              </w:rPr>
              <w:t xml:space="preserve">5 </w:t>
            </w:r>
            <w:r w:rsidR="00B26CF2">
              <w:rPr>
                <w:rFonts w:asciiTheme="minorHAnsi" w:hAnsiTheme="minorHAnsi" w:eastAsiaTheme="minorEastAsia" w:cstheme="minorBidi"/>
                <w:noProof/>
                <w:kern w:val="2"/>
                <w:sz w:val="24"/>
                <w14:ligatures w14:val="standardContextual"/>
              </w:rPr>
              <w:tab/>
            </w:r>
            <w:r w:rsidRPr="003958AA" w:rsidR="00B26CF2">
              <w:rPr>
                <w:rStyle w:val="Hyperlink"/>
                <w:noProof/>
              </w:rPr>
              <w:t>Relevantie van de organisatie</w:t>
            </w:r>
            <w:r w:rsidR="00B26CF2">
              <w:rPr>
                <w:noProof/>
                <w:webHidden/>
              </w:rPr>
              <w:tab/>
            </w:r>
            <w:r w:rsidR="00B26CF2">
              <w:rPr>
                <w:noProof/>
                <w:webHidden/>
              </w:rPr>
              <w:fldChar w:fldCharType="begin"/>
            </w:r>
            <w:r w:rsidR="00B26CF2">
              <w:rPr>
                <w:noProof/>
                <w:webHidden/>
              </w:rPr>
              <w:instrText xml:space="preserve"> PAGEREF _Toc205306255 \h </w:instrText>
            </w:r>
            <w:r w:rsidR="00B26CF2">
              <w:rPr>
                <w:noProof/>
                <w:webHidden/>
              </w:rPr>
            </w:r>
            <w:r w:rsidR="00B26CF2">
              <w:rPr>
                <w:noProof/>
                <w:webHidden/>
              </w:rPr>
              <w:fldChar w:fldCharType="separate"/>
            </w:r>
            <w:r w:rsidR="00B26CF2">
              <w:rPr>
                <w:noProof/>
                <w:webHidden/>
              </w:rPr>
              <w:t>12</w:t>
            </w:r>
            <w:r w:rsidR="00B26CF2">
              <w:rPr>
                <w:noProof/>
                <w:webHidden/>
              </w:rPr>
              <w:fldChar w:fldCharType="end"/>
            </w:r>
          </w:hyperlink>
        </w:p>
        <w:p w:rsidR="00B26CF2" w:rsidRDefault="00CA4048" w14:paraId="30BB3F3D" w14:textId="410FD237">
          <w:pPr>
            <w:pStyle w:val="TOC2"/>
            <w:rPr>
              <w:rFonts w:asciiTheme="minorHAnsi" w:hAnsiTheme="minorHAnsi" w:eastAsiaTheme="minorEastAsia" w:cstheme="minorBidi"/>
              <w:b w:val="0"/>
              <w:kern w:val="2"/>
              <w:sz w:val="24"/>
              <w14:ligatures w14:val="standardContextual"/>
            </w:rPr>
          </w:pPr>
          <w:hyperlink w:history="1" w:anchor="_Toc205306256">
            <w:r w:rsidRPr="003958AA" w:rsidR="00B26CF2">
              <w:rPr>
                <w:rStyle w:val="Hyperlink"/>
              </w:rPr>
              <w:t>5.1</w:t>
            </w:r>
            <w:r w:rsidR="00B26CF2">
              <w:rPr>
                <w:rFonts w:asciiTheme="minorHAnsi" w:hAnsiTheme="minorHAnsi" w:eastAsiaTheme="minorEastAsia" w:cstheme="minorBidi"/>
                <w:b w:val="0"/>
                <w:kern w:val="2"/>
                <w:sz w:val="24"/>
                <w14:ligatures w14:val="standardContextual"/>
              </w:rPr>
              <w:tab/>
            </w:r>
            <w:r w:rsidRPr="003958AA" w:rsidR="00B26CF2">
              <w:rPr>
                <w:rStyle w:val="Hyperlink"/>
              </w:rPr>
              <w:t>Relevantie voor Nederlandse BHO-prioriteiten</w:t>
            </w:r>
            <w:r w:rsidR="00B26CF2">
              <w:rPr>
                <w:webHidden/>
              </w:rPr>
              <w:tab/>
            </w:r>
            <w:r w:rsidR="00B26CF2">
              <w:rPr>
                <w:webHidden/>
              </w:rPr>
              <w:fldChar w:fldCharType="begin"/>
            </w:r>
            <w:r w:rsidR="00B26CF2">
              <w:rPr>
                <w:webHidden/>
              </w:rPr>
              <w:instrText xml:space="preserve"> PAGEREF _Toc205306256 \h </w:instrText>
            </w:r>
            <w:r w:rsidR="00B26CF2">
              <w:rPr>
                <w:webHidden/>
              </w:rPr>
            </w:r>
            <w:r w:rsidR="00B26CF2">
              <w:rPr>
                <w:webHidden/>
              </w:rPr>
              <w:fldChar w:fldCharType="separate"/>
            </w:r>
            <w:r w:rsidR="00B26CF2">
              <w:rPr>
                <w:webHidden/>
              </w:rPr>
              <w:t>12</w:t>
            </w:r>
            <w:r w:rsidR="00B26CF2">
              <w:rPr>
                <w:webHidden/>
              </w:rPr>
              <w:fldChar w:fldCharType="end"/>
            </w:r>
          </w:hyperlink>
        </w:p>
        <w:p w:rsidR="00B26CF2" w:rsidRDefault="00CA4048" w14:paraId="1A75C248" w14:textId="626E8EA2">
          <w:pPr>
            <w:pStyle w:val="TOC2"/>
            <w:rPr>
              <w:rFonts w:asciiTheme="minorHAnsi" w:hAnsiTheme="minorHAnsi" w:eastAsiaTheme="minorEastAsia" w:cstheme="minorBidi"/>
              <w:b w:val="0"/>
              <w:kern w:val="2"/>
              <w:sz w:val="24"/>
              <w14:ligatures w14:val="standardContextual"/>
            </w:rPr>
          </w:pPr>
          <w:hyperlink w:history="1" w:anchor="_Toc205306257">
            <w:r w:rsidRPr="003958AA" w:rsidR="00B26CF2">
              <w:rPr>
                <w:rStyle w:val="Hyperlink"/>
              </w:rPr>
              <w:t>5.2</w:t>
            </w:r>
            <w:r w:rsidR="00B26CF2">
              <w:rPr>
                <w:rFonts w:asciiTheme="minorHAnsi" w:hAnsiTheme="minorHAnsi" w:eastAsiaTheme="minorEastAsia" w:cstheme="minorBidi"/>
                <w:b w:val="0"/>
                <w:kern w:val="2"/>
                <w:sz w:val="24"/>
                <w14:ligatures w14:val="standardContextual"/>
              </w:rPr>
              <w:tab/>
            </w:r>
            <w:r w:rsidRPr="003958AA" w:rsidR="00B26CF2">
              <w:rPr>
                <w:rStyle w:val="Hyperlink"/>
              </w:rPr>
              <w:t>Overige relevantie</w:t>
            </w:r>
            <w:r w:rsidR="00B26CF2">
              <w:rPr>
                <w:webHidden/>
              </w:rPr>
              <w:tab/>
            </w:r>
            <w:r w:rsidR="00B26CF2">
              <w:rPr>
                <w:webHidden/>
              </w:rPr>
              <w:fldChar w:fldCharType="begin"/>
            </w:r>
            <w:r w:rsidR="00B26CF2">
              <w:rPr>
                <w:webHidden/>
              </w:rPr>
              <w:instrText xml:space="preserve"> PAGEREF _Toc205306257 \h </w:instrText>
            </w:r>
            <w:r w:rsidR="00B26CF2">
              <w:rPr>
                <w:webHidden/>
              </w:rPr>
            </w:r>
            <w:r w:rsidR="00B26CF2">
              <w:rPr>
                <w:webHidden/>
              </w:rPr>
              <w:fldChar w:fldCharType="separate"/>
            </w:r>
            <w:r w:rsidR="00B26CF2">
              <w:rPr>
                <w:webHidden/>
              </w:rPr>
              <w:t>14</w:t>
            </w:r>
            <w:r w:rsidR="00B26CF2">
              <w:rPr>
                <w:webHidden/>
              </w:rPr>
              <w:fldChar w:fldCharType="end"/>
            </w:r>
          </w:hyperlink>
        </w:p>
        <w:p w:rsidR="0093015A" w:rsidP="001E628B" w:rsidRDefault="0093015A" w14:paraId="604E9B60" w14:textId="32AB03B2">
          <w:pPr>
            <w:spacing w:line="360" w:lineRule="auto"/>
          </w:pPr>
          <w:r w:rsidRPr="001E628B">
            <w:rPr>
              <w:b/>
              <w:bCs/>
              <w:noProof/>
            </w:rPr>
            <w:fldChar w:fldCharType="end"/>
          </w:r>
        </w:p>
      </w:sdtContent>
    </w:sdt>
    <w:bookmarkEnd w:id="7"/>
    <w:p w:rsidRPr="00AD5E85" w:rsidR="00E61D0A" w:rsidP="001E628B" w:rsidRDefault="00E61D0A" w14:paraId="1E531025" w14:textId="1B257533">
      <w:pPr>
        <w:pStyle w:val="TOC3"/>
        <w:rPr>
          <w:lang w:val="en-GB"/>
        </w:rPr>
      </w:pPr>
    </w:p>
    <w:p w:rsidR="00B26CF2" w:rsidP="00B26CF2" w:rsidRDefault="003C72F3" w14:paraId="6FBCD463" w14:textId="77777777">
      <w:pPr>
        <w:pStyle w:val="Heading1"/>
        <w:tabs>
          <w:tab w:val="num" w:pos="0"/>
        </w:tabs>
        <w:spacing w:after="240" w:line="240" w:lineRule="auto"/>
        <w:ind w:hanging="1162"/>
      </w:pPr>
      <w:bookmarkStart w:name="_Toc205306247" w:id="8"/>
      <w:r w:rsidRPr="00440D1F">
        <w:lastRenderedPageBreak/>
        <w:t xml:space="preserve">1 </w:t>
      </w:r>
      <w:r w:rsidRPr="00440D1F">
        <w:tab/>
      </w:r>
      <w:r w:rsidRPr="00410EFB" w:rsidR="00B26CF2">
        <w:t>Inleiding</w:t>
      </w:r>
      <w:bookmarkEnd w:id="8"/>
    </w:p>
    <w:p w:rsidRPr="00921941" w:rsidR="00B26CF2" w:rsidP="00B26CF2" w:rsidRDefault="00B26CF2" w14:paraId="3A2CC9C2" w14:textId="77777777">
      <w:pPr>
        <w:spacing w:line="240" w:lineRule="auto"/>
        <w:rPr>
          <w:szCs w:val="18"/>
        </w:rPr>
      </w:pPr>
      <w:r w:rsidRPr="00921941">
        <w:rPr>
          <w:szCs w:val="18"/>
        </w:rPr>
        <w:t xml:space="preserve">Het Koninkrijk der Nederlanden is voor zijn welvaart, gezondheid en veiligheid </w:t>
      </w:r>
    </w:p>
    <w:p w:rsidRPr="00921941" w:rsidR="00B26CF2" w:rsidP="00B26CF2" w:rsidRDefault="00B26CF2" w14:paraId="6344F19D" w14:textId="77777777">
      <w:pPr>
        <w:spacing w:line="240" w:lineRule="auto"/>
        <w:rPr>
          <w:szCs w:val="18"/>
        </w:rPr>
      </w:pPr>
      <w:r w:rsidRPr="00921941">
        <w:rPr>
          <w:szCs w:val="18"/>
        </w:rPr>
        <w:t xml:space="preserve">afhankelijk van een stabiele wereld, waarin landen op basis van multilaterale afspraken met elkaar samenwerken. Het Koninkrijk heeft ontegenzeggelijk baat bij het multilaterale systeem, omdat belangen en waarden van het Koninkrijk hierbinnen in gemeenschappelijkheid kunnen worden bevorderd. </w:t>
      </w:r>
    </w:p>
    <w:p w:rsidRPr="00921941" w:rsidR="00B26CF2" w:rsidP="00B26CF2" w:rsidRDefault="00B26CF2" w14:paraId="66F60194" w14:textId="77777777">
      <w:pPr>
        <w:spacing w:line="240" w:lineRule="auto"/>
        <w:rPr>
          <w:szCs w:val="18"/>
        </w:rPr>
      </w:pPr>
    </w:p>
    <w:p w:rsidRPr="00921941" w:rsidR="00B26CF2" w:rsidP="00B26CF2" w:rsidRDefault="00B26CF2" w14:paraId="06A77A0A" w14:textId="77777777">
      <w:pPr>
        <w:spacing w:line="240" w:lineRule="auto"/>
        <w:rPr>
          <w:szCs w:val="18"/>
        </w:rPr>
      </w:pPr>
      <w:r w:rsidRPr="00921941">
        <w:rPr>
          <w:szCs w:val="18"/>
        </w:rPr>
        <w:t>Binnen de multilaterale samenwerking concentreert Nederland zich op het werken met en het financieren van organisaties die relevant zijn voor het Nederlandse beleid en die effectief hun mandaat vervullen. Ontwikkelingsorganisaties van de Verenigde Naties (VN) en Internationale Financiële Instellingen (</w:t>
      </w:r>
      <w:proofErr w:type="spellStart"/>
      <w:r w:rsidRPr="00921941">
        <w:rPr>
          <w:szCs w:val="18"/>
        </w:rPr>
        <w:t>IFI’s</w:t>
      </w:r>
      <w:proofErr w:type="spellEnd"/>
      <w:r w:rsidRPr="00921941">
        <w:rPr>
          <w:szCs w:val="18"/>
        </w:rPr>
        <w:t>) hebben, met bijdragen van het Koninkrijk, wereldwijd armoede teruggedrongen en humanitaire noden gelenigd.</w:t>
      </w:r>
      <w:r w:rsidRPr="00921941">
        <w:rPr>
          <w:rStyle w:val="FootnoteReference"/>
          <w:szCs w:val="18"/>
        </w:rPr>
        <w:footnoteReference w:id="2"/>
      </w:r>
    </w:p>
    <w:p w:rsidRPr="00921941" w:rsidR="00B26CF2" w:rsidP="00B26CF2" w:rsidRDefault="00B26CF2" w14:paraId="62017AFE" w14:textId="77777777">
      <w:pPr>
        <w:spacing w:line="240" w:lineRule="auto"/>
        <w:rPr>
          <w:szCs w:val="18"/>
        </w:rPr>
      </w:pPr>
    </w:p>
    <w:p w:rsidRPr="00921941" w:rsidR="00B26CF2" w:rsidP="00B26CF2" w:rsidRDefault="00B26CF2" w14:paraId="6DD8464D" w14:textId="77777777">
      <w:pPr>
        <w:spacing w:line="240" w:lineRule="auto"/>
        <w:rPr>
          <w:szCs w:val="18"/>
        </w:rPr>
      </w:pPr>
      <w:r w:rsidRPr="00921941">
        <w:rPr>
          <w:szCs w:val="18"/>
        </w:rPr>
        <w:t xml:space="preserve">Deze samenwerking vraagt om regelmatige en zorgvuldige toetsing. Een voor Nederland belangrijk netwerk daarbij is het </w:t>
      </w:r>
      <w:proofErr w:type="spellStart"/>
      <w:r w:rsidRPr="00921941">
        <w:rPr>
          <w:i/>
          <w:szCs w:val="18"/>
        </w:rPr>
        <w:t>Multilateral</w:t>
      </w:r>
      <w:proofErr w:type="spellEnd"/>
      <w:r w:rsidRPr="00921941">
        <w:rPr>
          <w:i/>
          <w:szCs w:val="18"/>
        </w:rPr>
        <w:t xml:space="preserve"> </w:t>
      </w:r>
      <w:proofErr w:type="spellStart"/>
      <w:r w:rsidRPr="00921941">
        <w:rPr>
          <w:i/>
          <w:szCs w:val="18"/>
        </w:rPr>
        <w:t>Organisations</w:t>
      </w:r>
      <w:proofErr w:type="spellEnd"/>
      <w:r w:rsidRPr="00921941">
        <w:rPr>
          <w:i/>
          <w:szCs w:val="18"/>
        </w:rPr>
        <w:t xml:space="preserve"> Performance Assessment Network</w:t>
      </w:r>
      <w:r w:rsidRPr="00921941">
        <w:rPr>
          <w:szCs w:val="18"/>
        </w:rPr>
        <w:t xml:space="preserve"> (MOPAN). MOPAN werkt ter verbetering van het multilaterale systeem middels het doorlichten van multilaterale organisaties op organisatorisch functioneren en ontwikkelingseffectiviteit. Dit onafhankelijke orgaan wordt bestuurd door een stuurgroep bestaande uit vertegenwoordigers van alle aangesloten landen, waaronder Nederland, en bijgestaan door een secretariaat. Een groep geselecteerde externe dienstverleners voert de beoordeling uit. MOPAN leden bepalen welke organisaties beoordeeld dienen te worden en volgens welke tweejarige planning dit gebeurt. Gemiddeld worden geselecteerde organisaties elke vier à vijf jaar beoordeeld.</w:t>
      </w:r>
    </w:p>
    <w:p w:rsidRPr="00921941" w:rsidR="00B26CF2" w:rsidP="00B26CF2" w:rsidRDefault="00B26CF2" w14:paraId="1D0DE49F" w14:textId="77777777">
      <w:pPr>
        <w:spacing w:line="240" w:lineRule="auto"/>
        <w:rPr>
          <w:szCs w:val="18"/>
        </w:rPr>
      </w:pPr>
    </w:p>
    <w:p w:rsidRPr="00921941" w:rsidR="00B26CF2" w:rsidP="00B26CF2" w:rsidRDefault="00B26CF2" w14:paraId="390869ED" w14:textId="77777777">
      <w:pPr>
        <w:spacing w:line="240" w:lineRule="auto"/>
        <w:rPr>
          <w:szCs w:val="18"/>
        </w:rPr>
      </w:pPr>
      <w:r w:rsidRPr="00921941">
        <w:rPr>
          <w:szCs w:val="18"/>
        </w:rPr>
        <w:t>De MOPAN beoordelingen vormen de basis van door het Ministerie van Buitenlandse Zaken opgestelde scorekaarten voor multilaterale organisaties</w:t>
      </w:r>
      <w:r w:rsidRPr="00921941">
        <w:rPr>
          <w:i/>
          <w:szCs w:val="18"/>
        </w:rPr>
        <w:t xml:space="preserve"> </w:t>
      </w:r>
      <w:r w:rsidRPr="00921941">
        <w:rPr>
          <w:szCs w:val="18"/>
        </w:rPr>
        <w:t xml:space="preserve">waaraan Nederland een substantiële ontwikkelingssamenwerking (ODA) bijdrage levert. Het gaat hierbij om VN-fondsen en -programma’s, </w:t>
      </w:r>
      <w:proofErr w:type="spellStart"/>
      <w:r w:rsidRPr="00921941">
        <w:rPr>
          <w:szCs w:val="18"/>
        </w:rPr>
        <w:t>IFI’s</w:t>
      </w:r>
      <w:proofErr w:type="spellEnd"/>
      <w:r w:rsidRPr="00921941">
        <w:rPr>
          <w:szCs w:val="18"/>
        </w:rPr>
        <w:t>, gespecialiseerde VN-organisaties en grote mondiale fondsen.</w:t>
      </w:r>
    </w:p>
    <w:p w:rsidRPr="00921941" w:rsidR="00B26CF2" w:rsidP="00B26CF2" w:rsidRDefault="00B26CF2" w14:paraId="12D46B7D" w14:textId="77777777">
      <w:pPr>
        <w:spacing w:line="240" w:lineRule="auto"/>
        <w:rPr>
          <w:szCs w:val="18"/>
        </w:rPr>
      </w:pPr>
    </w:p>
    <w:p w:rsidRPr="00921941" w:rsidR="00B26CF2" w:rsidP="00B26CF2" w:rsidRDefault="00B26CF2" w14:paraId="7A2C4B56" w14:textId="77777777">
      <w:pPr>
        <w:spacing w:line="240" w:lineRule="auto"/>
        <w:rPr>
          <w:szCs w:val="18"/>
        </w:rPr>
      </w:pPr>
      <w:r w:rsidRPr="00921941">
        <w:rPr>
          <w:szCs w:val="18"/>
        </w:rPr>
        <w:t xml:space="preserve">De MOPAN beoordelingen worden uitgevoerd middels een op bewijs gebaseerde, onafhankelijke aanpak. Ze bieden een omvattend beeld van het functioneren van een organisatie, waarbij rekening wordt gehouden met de (historische) context, de missie en de koers van de organisatie. Daarbij worden prestatienormen opgesteld en aanbevelingen gedaan ter versterking van de leercapaciteit, ter verbetering van de resultaten en ter bevordering van de verantwoordingsplicht. </w:t>
      </w:r>
    </w:p>
    <w:p w:rsidRPr="00921941" w:rsidR="00B26CF2" w:rsidP="00B26CF2" w:rsidRDefault="00B26CF2" w14:paraId="10531389" w14:textId="77777777">
      <w:pPr>
        <w:spacing w:line="240" w:lineRule="auto"/>
        <w:rPr>
          <w:szCs w:val="18"/>
        </w:rPr>
      </w:pPr>
    </w:p>
    <w:p w:rsidRPr="00921941" w:rsidR="00AD5E85" w:rsidP="00B26CF2" w:rsidRDefault="00B26CF2" w14:paraId="18867B0E" w14:textId="0451C071">
      <w:pPr>
        <w:spacing w:line="240" w:lineRule="auto"/>
      </w:pPr>
      <w:r w:rsidRPr="00921941">
        <w:rPr>
          <w:szCs w:val="18"/>
        </w:rPr>
        <w:t xml:space="preserve">Eerst volgt een samenvatting van de scorekaart (hoofdstuk 2), waarna een achtergrond van de organisatie wordt geschetst op basis van de MOPAN beoordeling en de Nederlandse rol en invloed (hoofdstuk 3). Voorts bevatten de scorekaarten een samenvatting van de uitkomsten van de MOPAN beoordeling naar het Nederlands vertaald en een appreciatie van deze beoordeling op basis van kennis en ervaring vanuit het ministerie van Buitenlandse Zaken, en waar relevant vakdepartementen, Permanente Vertegenwoordigingen dan wel </w:t>
      </w:r>
      <w:proofErr w:type="spellStart"/>
      <w:r w:rsidRPr="00921941">
        <w:rPr>
          <w:szCs w:val="18"/>
        </w:rPr>
        <w:t>Kiesgroepkantoren</w:t>
      </w:r>
      <w:proofErr w:type="spellEnd"/>
      <w:r w:rsidRPr="00921941">
        <w:rPr>
          <w:szCs w:val="18"/>
        </w:rPr>
        <w:t xml:space="preserve"> (hoofdstuk 4). Ten slotte wordt in hoofdstuk 5 de relevantie van de organisatie voor Nederlands beleid toegelicht. </w:t>
      </w:r>
      <w:r w:rsidR="00AD5E85">
        <w:t xml:space="preserve"> </w:t>
      </w:r>
    </w:p>
    <w:p w:rsidR="002D1C24" w:rsidP="003C72F3" w:rsidRDefault="002D1C24" w14:paraId="20045F7C" w14:textId="62CFE020">
      <w:pPr>
        <w:spacing w:line="240" w:lineRule="auto"/>
        <w:rPr>
          <w:szCs w:val="18"/>
        </w:rPr>
      </w:pPr>
    </w:p>
    <w:p w:rsidR="002D1C24" w:rsidP="003C72F3" w:rsidRDefault="002D1C24" w14:paraId="5BD621C9" w14:textId="40DB0704">
      <w:pPr>
        <w:spacing w:line="240" w:lineRule="auto"/>
        <w:rPr>
          <w:szCs w:val="18"/>
        </w:rPr>
      </w:pPr>
    </w:p>
    <w:p w:rsidR="002D1C24" w:rsidP="003C72F3" w:rsidRDefault="002D1C24" w14:paraId="2DA90CFB" w14:textId="4963BB92">
      <w:pPr>
        <w:spacing w:line="240" w:lineRule="auto"/>
        <w:rPr>
          <w:szCs w:val="18"/>
        </w:rPr>
      </w:pPr>
    </w:p>
    <w:p w:rsidR="002D1C24" w:rsidP="003C72F3" w:rsidRDefault="002D1C24" w14:paraId="4B2E0073" w14:textId="3ED4225B">
      <w:pPr>
        <w:spacing w:line="240" w:lineRule="auto"/>
        <w:rPr>
          <w:szCs w:val="18"/>
        </w:rPr>
      </w:pPr>
    </w:p>
    <w:p w:rsidR="002D1C24" w:rsidP="003C72F3" w:rsidRDefault="002D1C24" w14:paraId="399B74F9" w14:textId="215952D8">
      <w:pPr>
        <w:spacing w:line="240" w:lineRule="auto"/>
        <w:rPr>
          <w:szCs w:val="18"/>
        </w:rPr>
      </w:pPr>
    </w:p>
    <w:p w:rsidRPr="00440D1F" w:rsidR="00B26CF2" w:rsidP="00B26CF2" w:rsidRDefault="0093015A" w14:paraId="056619E7" w14:textId="77777777">
      <w:pPr>
        <w:pStyle w:val="Heading1"/>
        <w:tabs>
          <w:tab w:val="num" w:pos="0"/>
        </w:tabs>
        <w:spacing w:after="240" w:line="240" w:lineRule="auto"/>
        <w:ind w:hanging="1162"/>
      </w:pPr>
      <w:bookmarkStart w:name="_Toc410397639" w:id="9"/>
      <w:bookmarkStart w:name="_Toc531336302" w:id="10"/>
      <w:bookmarkStart w:name="_Toc205306248" w:id="11"/>
      <w:r>
        <w:lastRenderedPageBreak/>
        <w:t>2</w:t>
      </w:r>
      <w:r w:rsidR="00E61D0A">
        <w:tab/>
      </w:r>
      <w:bookmarkEnd w:id="9"/>
      <w:bookmarkEnd w:id="10"/>
      <w:r w:rsidRPr="00440D1F" w:rsidR="00B26CF2">
        <w:t>Samenvatting</w:t>
      </w:r>
      <w:bookmarkEnd w:id="11"/>
    </w:p>
    <w:p w:rsidR="005C35DB" w:rsidP="005C35DB" w:rsidRDefault="005C35DB" w14:paraId="3054F26E" w14:textId="77777777">
      <w:bookmarkStart w:name="_Toc531336306" w:id="12"/>
      <w:bookmarkStart w:name="_Toc205306249" w:id="13"/>
      <w:r w:rsidRPr="009D5E9C">
        <w:t xml:space="preserve">Nederland is een belangrijke aandeelhouder van de International Finance Corporation (IFC), de private sectorarm van de Wereldbankgroep. Met een stemgewicht van </w:t>
      </w:r>
      <w:r w:rsidRPr="00BF05EE">
        <w:t>circa 2,19% en als bewindvoerder van een invloedrijke kiesgroep (EDS19, totaal stemgewicht 3,89%)</w:t>
      </w:r>
      <w:r w:rsidRPr="009D5E9C">
        <w:t xml:space="preserve"> speelt Nederland een prominente bestuurlijke rol binnen IFC. </w:t>
      </w:r>
      <w:r>
        <w:t xml:space="preserve">Ook draagt </w:t>
      </w:r>
      <w:r w:rsidRPr="00921941">
        <w:t xml:space="preserve">Nederland </w:t>
      </w:r>
      <w:r>
        <w:t>bij aan verschillende trustfunds van de IFC waarmee het de strategische richting helpt bepalen: t</w:t>
      </w:r>
      <w:r w:rsidRPr="00921941">
        <w:t xml:space="preserve">ussen 2019–2023 </w:t>
      </w:r>
      <w:r>
        <w:t xml:space="preserve">was deze bijdrage ruim </w:t>
      </w:r>
      <w:r w:rsidRPr="00921941">
        <w:t xml:space="preserve">USD 160 miljoen. </w:t>
      </w:r>
    </w:p>
    <w:p w:rsidR="005C35DB" w:rsidP="005C35DB" w:rsidRDefault="005C35DB" w14:paraId="45E5238D" w14:textId="77777777"/>
    <w:p w:rsidR="005C35DB" w:rsidP="005C35DB" w:rsidRDefault="005C35DB" w14:paraId="0291BDE8" w14:textId="77777777">
      <w:r w:rsidRPr="009D5E9C">
        <w:t xml:space="preserve">IFC combineert investeringen, beleidsadvies en mobilisatie van privaat kapitaal om duurzame economische groei, werkgelegenheid en armoedebestrijding te bevorderen. Sinds de invoering van de IFC 3.0-strategie is de organisatie explicieter gericht op marktcreatie, </w:t>
      </w:r>
      <w:proofErr w:type="spellStart"/>
      <w:r w:rsidRPr="009B0CE9">
        <w:rPr>
          <w:i/>
          <w:iCs/>
        </w:rPr>
        <w:t>blended</w:t>
      </w:r>
      <w:proofErr w:type="spellEnd"/>
      <w:r w:rsidRPr="009B0CE9">
        <w:rPr>
          <w:i/>
          <w:iCs/>
        </w:rPr>
        <w:t xml:space="preserve"> </w:t>
      </w:r>
      <w:proofErr w:type="spellStart"/>
      <w:r w:rsidRPr="009B0CE9">
        <w:rPr>
          <w:i/>
          <w:iCs/>
        </w:rPr>
        <w:t>finance</w:t>
      </w:r>
      <w:proofErr w:type="spellEnd"/>
      <w:r w:rsidRPr="009D5E9C">
        <w:t xml:space="preserve"> en systeemversterking in lage-inkomenslanden en fragiele contexten. </w:t>
      </w:r>
      <w:r w:rsidRPr="00BF05EE">
        <w:t xml:space="preserve">In </w:t>
      </w:r>
      <w:r>
        <w:t xml:space="preserve">begrotingsjaar </w:t>
      </w:r>
      <w:r w:rsidRPr="00BF05EE">
        <w:t>202</w:t>
      </w:r>
      <w:r>
        <w:t>4 (1 juli 2024 t/m 30 juni 2025)</w:t>
      </w:r>
      <w:r w:rsidRPr="00BF05EE">
        <w:t xml:space="preserve"> committeerde IFC een recordbedrag van USD </w:t>
      </w:r>
      <w:r>
        <w:t>56</w:t>
      </w:r>
      <w:r w:rsidRPr="00BF05EE">
        <w:t xml:space="preserve"> miljard aan</w:t>
      </w:r>
      <w:r w:rsidRPr="009D5E9C">
        <w:t xml:space="preserve"> investeringen wereldwijd</w:t>
      </w:r>
      <w:r>
        <w:rPr>
          <w:rStyle w:val="FootnoteReference"/>
        </w:rPr>
        <w:footnoteReference w:id="3"/>
      </w:r>
      <w:r w:rsidRPr="009D5E9C">
        <w:t xml:space="preserve"> en is de organisatie actief in meer dan 100 landen.</w:t>
      </w:r>
      <w:r>
        <w:t xml:space="preserve"> </w:t>
      </w:r>
    </w:p>
    <w:p w:rsidR="005C35DB" w:rsidP="005C35DB" w:rsidRDefault="005C35DB" w14:paraId="2C2F0D0D" w14:textId="77777777"/>
    <w:p w:rsidRPr="00921941" w:rsidR="005C35DB" w:rsidP="005C35DB" w:rsidRDefault="005C35DB" w14:paraId="2414862A" w14:textId="77777777">
      <w:r w:rsidRPr="009D5E9C">
        <w:t xml:space="preserve">IFC is van strategisch belang voor de Nederlandse inzet op prioritaire thema’s zoals private sectorontwikkeling, voedselzekerheid, water, gezondheid, klimaat, digitale inclusie en migratie. Met meer dan USD 9,6 miljard aan gecommitteerde investeringen in digitale infrastructuur, en een actieve rol in het PROSPECTS-partnerschap rond migratie, speelt IFC ook een sleutelrol in nieuwe beleidsprioriteiten. </w:t>
      </w:r>
      <w:r>
        <w:t xml:space="preserve">Ook heeft de IFC </w:t>
      </w:r>
      <w:r w:rsidRPr="00921941">
        <w:t>een gezamenlijke portefeuille van circa USD 1,8 miljard met Nederlandse partners zoals FMO.</w:t>
      </w:r>
      <w:r>
        <w:t xml:space="preserve"> </w:t>
      </w:r>
    </w:p>
    <w:p w:rsidR="005C35DB" w:rsidP="005C35DB" w:rsidRDefault="005C35DB" w14:paraId="426BCCF4" w14:textId="77777777"/>
    <w:p w:rsidRPr="009D5E9C" w:rsidR="005C35DB" w:rsidP="005C35DB" w:rsidRDefault="005C35DB" w14:paraId="3CA2825C" w14:textId="77777777">
      <w:r w:rsidRPr="009D5E9C">
        <w:t xml:space="preserve">De relevantie voor het Nederlandse BHO-beleid </w:t>
      </w:r>
      <w:r>
        <w:t xml:space="preserve">is al hoog en </w:t>
      </w:r>
      <w:r w:rsidRPr="009D5E9C">
        <w:t>neemt verder toe, mede door de inzet in crisissituaties zoals Oekraïne, waar IFC economische continuïteit ondersteunt via kredietverlening, infrastructuurherstel en hervormingsondersteuning. IFC sluit daarmee aan bij doelstellingen uit onder meer de klimaatstrategie, Afrikastrategie, multilateralisme-nota en de mondiale gezondheidsstrategie.</w:t>
      </w:r>
    </w:p>
    <w:p w:rsidR="005C35DB" w:rsidP="005C35DB" w:rsidRDefault="005C35DB" w14:paraId="416FD578" w14:textId="77777777"/>
    <w:p w:rsidRPr="00921941" w:rsidR="005C35DB" w:rsidP="005C35DB" w:rsidRDefault="005C35DB" w14:paraId="7A5D3275" w14:textId="77777777">
      <w:r w:rsidRPr="009D5E9C">
        <w:t xml:space="preserve">De MOPAN-beoordeling (2017–2022) bevestigt dat IFC sterk presteert op strategievorming, impactmeting en risicobeheer. Het AIMM-kader voor het meten van ontwikkelingsimpact geldt internationaal als </w:t>
      </w:r>
      <w:r w:rsidRPr="009B0CE9">
        <w:rPr>
          <w:i/>
          <w:iCs/>
        </w:rPr>
        <w:t xml:space="preserve">best </w:t>
      </w:r>
      <w:proofErr w:type="spellStart"/>
      <w:r w:rsidRPr="009B0CE9">
        <w:rPr>
          <w:i/>
          <w:iCs/>
        </w:rPr>
        <w:t>practice</w:t>
      </w:r>
      <w:proofErr w:type="spellEnd"/>
      <w:r w:rsidRPr="009D5E9C">
        <w:t xml:space="preserve">. IFC is toonaangevend in het ontwikkelen en operationaliseren van </w:t>
      </w:r>
      <w:proofErr w:type="spellStart"/>
      <w:r w:rsidRPr="009B0CE9">
        <w:rPr>
          <w:i/>
        </w:rPr>
        <w:t>blended</w:t>
      </w:r>
      <w:proofErr w:type="spellEnd"/>
      <w:r w:rsidRPr="009B0CE9">
        <w:rPr>
          <w:i/>
        </w:rPr>
        <w:t xml:space="preserve"> </w:t>
      </w:r>
      <w:proofErr w:type="spellStart"/>
      <w:r w:rsidRPr="009B0CE9">
        <w:rPr>
          <w:i/>
        </w:rPr>
        <w:t>finance</w:t>
      </w:r>
      <w:proofErr w:type="spellEnd"/>
      <w:r w:rsidRPr="009D5E9C">
        <w:t>-instrumenten en heeft een '</w:t>
      </w:r>
      <w:proofErr w:type="spellStart"/>
      <w:r w:rsidRPr="009D5E9C">
        <w:t>highly</w:t>
      </w:r>
      <w:proofErr w:type="spellEnd"/>
      <w:r w:rsidRPr="009D5E9C">
        <w:t xml:space="preserve"> </w:t>
      </w:r>
      <w:proofErr w:type="spellStart"/>
      <w:r w:rsidRPr="009D5E9C">
        <w:t>satisfactory</w:t>
      </w:r>
      <w:proofErr w:type="spellEnd"/>
      <w:r w:rsidRPr="009D5E9C">
        <w:t xml:space="preserve">' beoordeling gekregen voor financieel en operationeel risicobeheer, mede dankzij haar sterke lokale aanwezigheid. </w:t>
      </w:r>
    </w:p>
    <w:p w:rsidR="005C35DB" w:rsidP="005C35DB" w:rsidRDefault="005C35DB" w14:paraId="6465B8D9" w14:textId="77777777"/>
    <w:p w:rsidRPr="00921941" w:rsidR="005C35DB" w:rsidP="005C35DB" w:rsidRDefault="005C35DB" w14:paraId="2D7150E6" w14:textId="77777777">
      <w:r w:rsidRPr="009D5E9C">
        <w:t xml:space="preserve">Tegelijkertijd zijn er ook aandachtspunten: </w:t>
      </w:r>
      <w:r>
        <w:t xml:space="preserve">de </w:t>
      </w:r>
      <w:r w:rsidRPr="009D5E9C">
        <w:t>verdere verankering van de "</w:t>
      </w:r>
      <w:proofErr w:type="spellStart"/>
      <w:r w:rsidRPr="009D5E9C">
        <w:t>One</w:t>
      </w:r>
      <w:proofErr w:type="spellEnd"/>
      <w:r w:rsidRPr="009D5E9C">
        <w:t xml:space="preserve"> World Bank"-benadering</w:t>
      </w:r>
      <w:r>
        <w:t xml:space="preserve"> zodat effectiviteit en efficiëntie verder toenemen</w:t>
      </w:r>
      <w:r w:rsidRPr="009D5E9C">
        <w:t xml:space="preserve">, </w:t>
      </w:r>
      <w:r>
        <w:t xml:space="preserve">grotere </w:t>
      </w:r>
      <w:r w:rsidRPr="009D5E9C">
        <w:t xml:space="preserve">zichtbaarheid van upstream-activiteiten en beleidsadvies, </w:t>
      </w:r>
      <w:r w:rsidRPr="0007326B">
        <w:t>en de versterking van sociale standaarden</w:t>
      </w:r>
      <w:r w:rsidRPr="009D5E9C">
        <w:t>, klachtenmechanismen en publieke verantwoording in risicovolle contexten.</w:t>
      </w:r>
      <w:r w:rsidRPr="00921941">
        <w:t xml:space="preserve"> </w:t>
      </w:r>
      <w:r w:rsidRPr="009D5E9C">
        <w:t xml:space="preserve">Nederland </w:t>
      </w:r>
      <w:r w:rsidRPr="00921941">
        <w:t xml:space="preserve">zal </w:t>
      </w:r>
      <w:r w:rsidRPr="009D5E9C">
        <w:t>zich</w:t>
      </w:r>
      <w:r>
        <w:t xml:space="preserve">, mede wegens het belang van de organisatie voor </w:t>
      </w:r>
      <w:r w:rsidRPr="009D5E9C">
        <w:t>de uitvoering van het Nederlandse BHO-beleid</w:t>
      </w:r>
      <w:r>
        <w:t xml:space="preserve">, </w:t>
      </w:r>
      <w:r w:rsidRPr="009D5E9C">
        <w:t xml:space="preserve">actief blijven inzetten om IFC te </w:t>
      </w:r>
      <w:r>
        <w:t xml:space="preserve">stimuleren </w:t>
      </w:r>
      <w:r w:rsidRPr="00921941">
        <w:t xml:space="preserve">deze aandachtspunten te </w:t>
      </w:r>
      <w:r>
        <w:t xml:space="preserve">adresseren. </w:t>
      </w:r>
    </w:p>
    <w:p w:rsidR="00D745A7" w:rsidP="00F24A31" w:rsidRDefault="00E61D0A" w14:paraId="7CDA47DC" w14:textId="5977473F">
      <w:pPr>
        <w:pStyle w:val="Heading1"/>
        <w:tabs>
          <w:tab w:val="num" w:pos="0"/>
        </w:tabs>
        <w:spacing w:after="240" w:line="240" w:lineRule="auto"/>
        <w:ind w:hanging="1162"/>
      </w:pPr>
      <w:r>
        <w:lastRenderedPageBreak/>
        <w:t>3</w:t>
      </w:r>
      <w:r w:rsidR="00F24A31">
        <w:t xml:space="preserve"> </w:t>
      </w:r>
      <w:r w:rsidR="00F24A31">
        <w:tab/>
      </w:r>
      <w:bookmarkEnd w:id="12"/>
      <w:r w:rsidR="00D029F7">
        <w:t>Algemene achtergrond</w:t>
      </w:r>
      <w:bookmarkEnd w:id="13"/>
      <w:r w:rsidR="00D029F7">
        <w:t xml:space="preserve"> </w:t>
      </w:r>
      <w:r w:rsidR="009C7C85">
        <w:t xml:space="preserve"> </w:t>
      </w:r>
    </w:p>
    <w:p w:rsidR="0093015A" w:rsidP="0093015A" w:rsidRDefault="00D029F7" w14:paraId="1C28961E" w14:textId="58231AC2">
      <w:pPr>
        <w:pStyle w:val="Heading2"/>
        <w:tabs>
          <w:tab w:val="left" w:pos="-1162"/>
          <w:tab w:val="left" w:pos="0"/>
          <w:tab w:val="num" w:pos="1160"/>
        </w:tabs>
        <w:spacing w:line="240" w:lineRule="auto"/>
        <w:ind w:hanging="1162"/>
      </w:pPr>
      <w:bookmarkStart w:name="_Toc158985330" w:id="14"/>
      <w:bookmarkStart w:name="_Toc158986996" w:id="15"/>
      <w:bookmarkStart w:name="_Toc158989082" w:id="16"/>
      <w:bookmarkStart w:name="_Toc158989152" w:id="17"/>
      <w:bookmarkStart w:name="_Toc158985331" w:id="18"/>
      <w:bookmarkStart w:name="_Toc158986997" w:id="19"/>
      <w:bookmarkStart w:name="_Toc158989083" w:id="20"/>
      <w:bookmarkStart w:name="_Toc158989153" w:id="21"/>
      <w:bookmarkStart w:name="_Toc410397640" w:id="22"/>
      <w:bookmarkStart w:name="_Toc531336303" w:id="23"/>
      <w:bookmarkStart w:name="_Toc205306250" w:id="24"/>
      <w:bookmarkEnd w:id="14"/>
      <w:bookmarkEnd w:id="15"/>
      <w:bookmarkEnd w:id="16"/>
      <w:bookmarkEnd w:id="17"/>
      <w:bookmarkEnd w:id="18"/>
      <w:bookmarkEnd w:id="19"/>
      <w:bookmarkEnd w:id="20"/>
      <w:bookmarkEnd w:id="21"/>
      <w:r>
        <w:t>3</w:t>
      </w:r>
      <w:r w:rsidR="0093015A">
        <w:t xml:space="preserve">.1 </w:t>
      </w:r>
      <w:r w:rsidR="0093015A">
        <w:tab/>
      </w:r>
      <w:bookmarkEnd w:id="22"/>
      <w:bookmarkEnd w:id="23"/>
      <w:r>
        <w:t>Samenvattende beschrijving van de organisatie</w:t>
      </w:r>
      <w:bookmarkEnd w:id="24"/>
      <w:r>
        <w:t xml:space="preserve"> </w:t>
      </w:r>
    </w:p>
    <w:p w:rsidR="00F64274" w:rsidP="00F64274" w:rsidRDefault="00F64274" w14:paraId="6BBCA710" w14:textId="77777777">
      <w:pPr>
        <w:pStyle w:val="ListParagraph"/>
        <w:ind w:left="0"/>
      </w:pPr>
      <w:bookmarkStart w:name="_Toc410397641" w:id="25"/>
      <w:bookmarkStart w:name="_Toc531336304" w:id="26"/>
    </w:p>
    <w:p w:rsidRPr="00921941" w:rsidR="00AD5E85" w:rsidP="00AD5E85" w:rsidRDefault="00AD5E85" w14:paraId="71128A42" w14:textId="77777777">
      <w:pPr>
        <w:rPr>
          <w:b/>
          <w:bCs/>
          <w:iCs/>
        </w:rPr>
      </w:pPr>
      <w:r w:rsidRPr="00DA76E9">
        <w:t>De International Finance Corporation (IFC) is opgericht in 1956 en vormt een onderdeel van de Wereldbankgroep. Het heeft een uniek mandaat om de ontwikkeling van de particuliere sector in opkomende economieën te stimuleren, met als doel armoedevermindering en duurzame groei. IFC adviseert, investeert en mobiliseert particuliere kapitaalmarkten ter ondersteuning van projecten die ontwikkelingseffecten bevorderen – van mkb-financiering en infrastructuur tot financiële markten en klimaatinnovatie</w:t>
      </w:r>
      <w:r w:rsidRPr="00921941">
        <w:rPr>
          <w:iCs/>
        </w:rPr>
        <w:t>.</w:t>
      </w:r>
      <w:r w:rsidRPr="00921941">
        <w:rPr>
          <w:rStyle w:val="FootnoteReference"/>
          <w:i/>
          <w:iCs/>
        </w:rPr>
        <w:footnoteReference w:id="4"/>
      </w:r>
    </w:p>
    <w:p w:rsidRPr="00DA76E9" w:rsidR="00AD5E85" w:rsidP="00AD5E85" w:rsidRDefault="00AD5E85" w14:paraId="6F4F0919" w14:textId="77777777"/>
    <w:p w:rsidRPr="00921941" w:rsidR="00AD5E85" w:rsidP="00AD5E85" w:rsidRDefault="00AD5E85" w14:paraId="461CFF7D" w14:textId="77777777">
      <w:r w:rsidRPr="00DA76E9">
        <w:t xml:space="preserve">In 2016 introduceerde IFC een vernieuwde strategische koers, bekend als IFC 3.0, in lijn met de “Forward Look” van de Wereldbankgroep. Deze koers focust op twee kernpijlers: </w:t>
      </w:r>
      <w:r w:rsidRPr="00DA76E9">
        <w:rPr>
          <w:iCs/>
        </w:rPr>
        <w:t xml:space="preserve">market </w:t>
      </w:r>
      <w:proofErr w:type="spellStart"/>
      <w:r w:rsidRPr="00DA76E9">
        <w:rPr>
          <w:iCs/>
        </w:rPr>
        <w:t>creation</w:t>
      </w:r>
      <w:proofErr w:type="spellEnd"/>
      <w:r w:rsidRPr="00DA76E9">
        <w:t xml:space="preserve"> en </w:t>
      </w:r>
      <w:proofErr w:type="spellStart"/>
      <w:r w:rsidRPr="00DA76E9">
        <w:rPr>
          <w:iCs/>
        </w:rPr>
        <w:t>mobilising</w:t>
      </w:r>
      <w:proofErr w:type="spellEnd"/>
      <w:r w:rsidRPr="00DA76E9">
        <w:rPr>
          <w:iCs/>
        </w:rPr>
        <w:t xml:space="preserve"> resources</w:t>
      </w:r>
      <w:r w:rsidRPr="00DA76E9">
        <w:t xml:space="preserve">, door een nadruk op upstream-interventies, </w:t>
      </w:r>
      <w:proofErr w:type="spellStart"/>
      <w:r w:rsidRPr="00921941">
        <w:t>blended</w:t>
      </w:r>
      <w:proofErr w:type="spellEnd"/>
      <w:r w:rsidRPr="00921941">
        <w:t xml:space="preserve"> </w:t>
      </w:r>
      <w:proofErr w:type="spellStart"/>
      <w:r w:rsidRPr="00921941">
        <w:t>finance</w:t>
      </w:r>
      <w:proofErr w:type="spellEnd"/>
      <w:r w:rsidRPr="00DA76E9">
        <w:t xml:space="preserve"> en sector-overstijgende samenwerking</w:t>
      </w:r>
      <w:r w:rsidRPr="00921941">
        <w:t xml:space="preserve">. </w:t>
      </w:r>
      <w:r w:rsidRPr="00DA76E9">
        <w:t>IFC 3.0 resulteerde in een heroriëntatie van het businessmodel, met aanpassingen in processen, capaciteitsplanning en financiële instrumenten, versterkt door een transparant plannings- en begrotingskader</w:t>
      </w:r>
      <w:r w:rsidRPr="00921941">
        <w:t>.</w:t>
      </w:r>
    </w:p>
    <w:p w:rsidRPr="00DA76E9" w:rsidR="00AD5E85" w:rsidP="00AD5E85" w:rsidRDefault="00AD5E85" w14:paraId="61823E8B" w14:textId="77777777"/>
    <w:p w:rsidRPr="00921941" w:rsidR="00AD5E85" w:rsidP="00AD5E85" w:rsidRDefault="00AD5E85" w14:paraId="5CA6360F" w14:textId="77777777">
      <w:proofErr w:type="spellStart"/>
      <w:r w:rsidRPr="00DA76E9">
        <w:t>IFC’s</w:t>
      </w:r>
      <w:proofErr w:type="spellEnd"/>
      <w:r w:rsidRPr="00DA76E9">
        <w:t xml:space="preserve"> strategie wordt ondersteund door scorecards – zowel geïntegreerd in die van de Wereldbankgroep, als hun eigen Corporate Scorecard – die input- én enkele </w:t>
      </w:r>
      <w:proofErr w:type="spellStart"/>
      <w:r w:rsidRPr="00DA76E9">
        <w:t>outcome</w:t>
      </w:r>
      <w:proofErr w:type="spellEnd"/>
      <w:r w:rsidRPr="00DA76E9">
        <w:t>-indicatoren hanteren om voortgang op kernprioriteiten te meten</w:t>
      </w:r>
      <w:r w:rsidRPr="00921941">
        <w:t>.</w:t>
      </w:r>
    </w:p>
    <w:p w:rsidRPr="00DA76E9" w:rsidR="00AD5E85" w:rsidP="00AD5E85" w:rsidRDefault="00AD5E85" w14:paraId="6F74B5F0" w14:textId="77777777"/>
    <w:p w:rsidRPr="00921941" w:rsidR="00AD5E85" w:rsidP="00AD5E85" w:rsidRDefault="00AD5E85" w14:paraId="6B74A5E1" w14:textId="77777777">
      <w:r w:rsidRPr="00DA76E9">
        <w:t xml:space="preserve">Tijdens de beoordelingsperiode 2017–2022 heeft de IFC haar strategische oriëntatie – gericht op </w:t>
      </w:r>
      <w:r w:rsidRPr="00DA76E9">
        <w:rPr>
          <w:iCs/>
        </w:rPr>
        <w:t xml:space="preserve">market </w:t>
      </w:r>
      <w:proofErr w:type="spellStart"/>
      <w:r w:rsidRPr="00DA76E9">
        <w:rPr>
          <w:iCs/>
        </w:rPr>
        <w:t>creation</w:t>
      </w:r>
      <w:proofErr w:type="spellEnd"/>
      <w:r w:rsidRPr="00DA76E9">
        <w:t xml:space="preserve">, </w:t>
      </w:r>
      <w:proofErr w:type="spellStart"/>
      <w:r w:rsidRPr="00921941">
        <w:rPr>
          <w:iCs/>
        </w:rPr>
        <w:t>blended</w:t>
      </w:r>
      <w:proofErr w:type="spellEnd"/>
      <w:r w:rsidRPr="00921941">
        <w:rPr>
          <w:iCs/>
        </w:rPr>
        <w:t xml:space="preserve"> </w:t>
      </w:r>
      <w:proofErr w:type="spellStart"/>
      <w:r w:rsidRPr="00921941">
        <w:rPr>
          <w:iCs/>
        </w:rPr>
        <w:t>finance</w:t>
      </w:r>
      <w:proofErr w:type="spellEnd"/>
      <w:r w:rsidRPr="00DA76E9">
        <w:t xml:space="preserve"> en het vergroten van ontwikkelingsimpact – in toenemende mate verankerd in interne processen, partnerdialogen en resultaatsmanagement. De MOPAN-beoordeling concludeert dat IFC sterk presteert in strategievorming, prestatiemanagement en het meten van resultaten, waarbij de organisatie consistent scoort als “</w:t>
      </w:r>
      <w:proofErr w:type="spellStart"/>
      <w:r w:rsidRPr="00DA76E9">
        <w:t>Satisfactory</w:t>
      </w:r>
      <w:proofErr w:type="spellEnd"/>
      <w:r w:rsidRPr="00DA76E9">
        <w:t>” of “</w:t>
      </w:r>
      <w:proofErr w:type="spellStart"/>
      <w:r w:rsidRPr="00DA76E9">
        <w:t>Highly</w:t>
      </w:r>
      <w:proofErr w:type="spellEnd"/>
      <w:r w:rsidRPr="00DA76E9">
        <w:t xml:space="preserve"> </w:t>
      </w:r>
      <w:proofErr w:type="spellStart"/>
      <w:r w:rsidRPr="00DA76E9">
        <w:t>Satisfactory</w:t>
      </w:r>
      <w:proofErr w:type="spellEnd"/>
      <w:r w:rsidRPr="00DA76E9">
        <w:t>” op alle vier de performancedimensies.</w:t>
      </w:r>
    </w:p>
    <w:p w:rsidRPr="00DA76E9" w:rsidR="00AD5E85" w:rsidP="00AD5E85" w:rsidRDefault="00AD5E85" w14:paraId="750CA5F1" w14:textId="77777777"/>
    <w:p w:rsidRPr="00921941" w:rsidR="00AD5E85" w:rsidP="00AD5E85" w:rsidRDefault="00AD5E85" w14:paraId="0146FC7A" w14:textId="4EE6911F">
      <w:r w:rsidRPr="00DA76E9">
        <w:t xml:space="preserve">MOPAN merkt positief op dat IFC een leidende rol speelt in het mobiliseren van private financiering in ontwikkelingslanden en dat de organisatie in staat is haar unieke mandaat flexibel te blijven invullen in complexe, snel veranderende markten. Tegelijkertijd is er nog ruimte voor verdere verbetering in het </w:t>
      </w:r>
      <w:r w:rsidRPr="00DA76E9">
        <w:rPr>
          <w:i/>
          <w:iCs/>
        </w:rPr>
        <w:t>systematisch leren van ervaringen</w:t>
      </w:r>
      <w:r w:rsidRPr="00DA76E9">
        <w:t>, het versterken van de institutionele capaciteit voor risicobeheersing, en het uitbreiden van de inclusiviteit van haar impactbenadering – thema’s die IFC zelf ook erkent als strategisch belangrijk.</w:t>
      </w:r>
    </w:p>
    <w:p w:rsidRPr="00475515" w:rsidR="00616671" w:rsidP="00616671" w:rsidRDefault="00616671" w14:paraId="5C5214DB" w14:textId="67022F9E">
      <w:pPr>
        <w:pStyle w:val="Heading2"/>
        <w:tabs>
          <w:tab w:val="left" w:pos="-1162"/>
          <w:tab w:val="left" w:pos="0"/>
          <w:tab w:val="num" w:pos="1160"/>
        </w:tabs>
        <w:spacing w:line="240" w:lineRule="auto"/>
        <w:ind w:hanging="1162"/>
      </w:pPr>
      <w:bookmarkStart w:name="_Toc205306251" w:id="27"/>
      <w:r w:rsidRPr="00475515">
        <w:t>3</w:t>
      </w:r>
      <w:r w:rsidRPr="00475515" w:rsidR="0093015A">
        <w:t xml:space="preserve">.2 </w:t>
      </w:r>
      <w:r w:rsidRPr="00475515" w:rsidR="0093015A">
        <w:tab/>
      </w:r>
      <w:bookmarkEnd w:id="25"/>
      <w:bookmarkEnd w:id="26"/>
      <w:r w:rsidRPr="00475515">
        <w:t>Nederlandse rol en invloed</w:t>
      </w:r>
      <w:bookmarkEnd w:id="27"/>
      <w:r w:rsidRPr="00475515">
        <w:t xml:space="preserve"> </w:t>
      </w:r>
    </w:p>
    <w:p w:rsidR="00304324" w:rsidP="00304324" w:rsidRDefault="00304324" w14:paraId="25D05A51" w14:textId="77777777">
      <w:pPr>
        <w:rPr>
          <w:bCs/>
          <w:szCs w:val="18"/>
        </w:rPr>
      </w:pPr>
    </w:p>
    <w:p w:rsidRPr="00304324" w:rsidR="00AD5E85" w:rsidP="00304324" w:rsidRDefault="00AD5E85" w14:paraId="79B528D1" w14:textId="22A818E9">
      <w:pPr>
        <w:rPr>
          <w:bCs/>
          <w:szCs w:val="18"/>
        </w:rPr>
      </w:pPr>
      <w:r w:rsidRPr="00304324">
        <w:rPr>
          <w:bCs/>
          <w:szCs w:val="18"/>
        </w:rPr>
        <w:t xml:space="preserve">Nederland is sinds </w:t>
      </w:r>
      <w:r w:rsidRPr="00304324" w:rsidR="002E3B06">
        <w:rPr>
          <w:bCs/>
          <w:szCs w:val="18"/>
        </w:rPr>
        <w:t xml:space="preserve">de oprichting van de International Finance Corporation (IFC) in 1956 lid van de organisatie. </w:t>
      </w:r>
      <w:r w:rsidRPr="00304324">
        <w:rPr>
          <w:bCs/>
          <w:szCs w:val="18"/>
        </w:rPr>
        <w:t>De Nederlandse gouverneur bij de Wereldbank is de minister van Financiën. De minister voor Buitenlandse Handel en Ontwikkelingssamenwerking is plaatsvervangend gouverneur.</w:t>
      </w:r>
    </w:p>
    <w:p w:rsidR="00304324" w:rsidP="00304324" w:rsidRDefault="00304324" w14:paraId="51853817" w14:textId="77777777">
      <w:pPr>
        <w:rPr>
          <w:bCs/>
          <w:szCs w:val="18"/>
        </w:rPr>
      </w:pPr>
    </w:p>
    <w:p w:rsidRPr="00304324" w:rsidR="00AD5E85" w:rsidP="00304324" w:rsidRDefault="00AD5E85" w14:paraId="35EBDC01" w14:textId="4525ADB1">
      <w:pPr>
        <w:rPr>
          <w:bCs/>
          <w:szCs w:val="18"/>
        </w:rPr>
      </w:pPr>
      <w:r w:rsidRPr="00304324">
        <w:rPr>
          <w:bCs/>
          <w:szCs w:val="18"/>
        </w:rPr>
        <w:t xml:space="preserve">Nederland leidt een kiesgroep, waarin ook Armenië, Bosnië en Herzegovina, Bulgarije, Cyprus, Georgië, Israël, Kroatië, Moldavië, Montenegro, Noord-Macedonië, Oekraïne en Roemenië vertegenwoordigd zijn. </w:t>
      </w:r>
    </w:p>
    <w:p w:rsidRPr="00304324" w:rsidR="00AD5E85" w:rsidP="00304324" w:rsidRDefault="00AD5E85" w14:paraId="3463D26E" w14:textId="77777777">
      <w:pPr>
        <w:rPr>
          <w:bCs/>
          <w:szCs w:val="18"/>
        </w:rPr>
      </w:pPr>
      <w:r w:rsidRPr="00304324">
        <w:rPr>
          <w:bCs/>
          <w:szCs w:val="18"/>
        </w:rPr>
        <w:t>Nederland levert altijd de Bewindvoerder. Het totale stemgewicht van de kiesgroep (EDS19) binnen IFC bedroeg in mei 2025 circa 3,89%, waarvan Nederland ongeveer 2,19% vertegenwoordigt.</w:t>
      </w:r>
    </w:p>
    <w:p w:rsidR="00304324" w:rsidP="00304324" w:rsidRDefault="00304324" w14:paraId="00A033AD" w14:textId="77777777">
      <w:pPr>
        <w:rPr>
          <w:bCs/>
          <w:szCs w:val="18"/>
        </w:rPr>
      </w:pPr>
    </w:p>
    <w:p w:rsidRPr="00304324" w:rsidR="00AD5E85" w:rsidP="00304324" w:rsidRDefault="00AD5E85" w14:paraId="748C850C" w14:textId="7EC5AD8F">
      <w:pPr>
        <w:rPr>
          <w:bCs/>
          <w:szCs w:val="18"/>
        </w:rPr>
      </w:pPr>
      <w:r w:rsidRPr="00304324">
        <w:rPr>
          <w:bCs/>
          <w:szCs w:val="18"/>
        </w:rPr>
        <w:t xml:space="preserve">De Nederlandse kiesgroep in Washington D.C. is actief betrokken bij de beleidsontwikkeling binnen IFC, waaronder de respons op klimaatfinanciering, </w:t>
      </w:r>
      <w:proofErr w:type="spellStart"/>
      <w:r w:rsidRPr="00304324">
        <w:rPr>
          <w:bCs/>
          <w:i/>
          <w:iCs/>
          <w:szCs w:val="18"/>
        </w:rPr>
        <w:t>blended</w:t>
      </w:r>
      <w:proofErr w:type="spellEnd"/>
      <w:r w:rsidRPr="00304324">
        <w:rPr>
          <w:bCs/>
          <w:i/>
          <w:iCs/>
          <w:szCs w:val="18"/>
        </w:rPr>
        <w:t xml:space="preserve"> </w:t>
      </w:r>
      <w:proofErr w:type="spellStart"/>
      <w:r w:rsidRPr="00304324">
        <w:rPr>
          <w:bCs/>
          <w:i/>
          <w:iCs/>
          <w:szCs w:val="18"/>
        </w:rPr>
        <w:t>finance</w:t>
      </w:r>
      <w:proofErr w:type="spellEnd"/>
      <w:r w:rsidRPr="00304324">
        <w:rPr>
          <w:bCs/>
          <w:szCs w:val="18"/>
        </w:rPr>
        <w:t xml:space="preserve"> en de strategische positionering van IFC 3.0.</w:t>
      </w:r>
    </w:p>
    <w:p w:rsidR="00304324" w:rsidP="00304324" w:rsidRDefault="00304324" w14:paraId="01CC89CC" w14:textId="77777777">
      <w:pPr>
        <w:rPr>
          <w:bCs/>
          <w:szCs w:val="18"/>
        </w:rPr>
      </w:pPr>
    </w:p>
    <w:p w:rsidRPr="00304324" w:rsidR="00AD5E85" w:rsidP="00304324" w:rsidRDefault="00AD5E85" w14:paraId="4DD91B50" w14:textId="1CEB168B">
      <w:pPr>
        <w:rPr>
          <w:bCs/>
          <w:szCs w:val="18"/>
        </w:rPr>
      </w:pPr>
      <w:r w:rsidRPr="00304324">
        <w:rPr>
          <w:bCs/>
          <w:szCs w:val="18"/>
        </w:rPr>
        <w:t>IFC werkt wereldwijd in meer dan 100 landen en heeft in begrotingsjaar 2024 een recordbedrag van USD 56 miljard gecommitteerd aan eigen investeringen en mobilisatie van derden. Per juni 2023 bedroeg de portefeuille van IFC met Nederlandse partners (zoals FMO) meer dan USD 1,8 miljard, verspreid over meerdere sectoren en regio’s. IFC werkt hierin samen met zowel Nederlandse multinationals als middelgrote ondernemingen die actief zijn in opkomende markten.</w:t>
      </w:r>
    </w:p>
    <w:p w:rsidR="00304324" w:rsidP="00304324" w:rsidRDefault="00304324" w14:paraId="09D9E6F5" w14:textId="77777777">
      <w:pPr>
        <w:rPr>
          <w:bCs/>
          <w:szCs w:val="18"/>
        </w:rPr>
      </w:pPr>
    </w:p>
    <w:p w:rsidRPr="00304324" w:rsidR="00AD5E85" w:rsidP="00304324" w:rsidRDefault="00AD5E85" w14:paraId="1CF9B2F1" w14:textId="1ECF1809">
      <w:pPr>
        <w:rPr>
          <w:bCs/>
          <w:szCs w:val="18"/>
        </w:rPr>
      </w:pPr>
      <w:r w:rsidRPr="00304324">
        <w:rPr>
          <w:bCs/>
          <w:szCs w:val="18"/>
        </w:rPr>
        <w:t xml:space="preserve">Nederland behoort tot de grootste donoren van IFC en heeft tussen </w:t>
      </w:r>
      <w:proofErr w:type="spellStart"/>
      <w:r w:rsidRPr="00304324">
        <w:rPr>
          <w:bCs/>
          <w:i/>
          <w:iCs/>
          <w:szCs w:val="18"/>
        </w:rPr>
        <w:t>F</w:t>
      </w:r>
      <w:r w:rsidRPr="00304324" w:rsidR="002E3B06">
        <w:rPr>
          <w:bCs/>
          <w:i/>
          <w:iCs/>
          <w:szCs w:val="18"/>
        </w:rPr>
        <w:t>iscal</w:t>
      </w:r>
      <w:proofErr w:type="spellEnd"/>
      <w:r w:rsidRPr="00304324" w:rsidR="002E3B06">
        <w:rPr>
          <w:bCs/>
          <w:i/>
          <w:iCs/>
          <w:szCs w:val="18"/>
        </w:rPr>
        <w:t xml:space="preserve"> </w:t>
      </w:r>
      <w:proofErr w:type="spellStart"/>
      <w:r w:rsidRPr="00304324" w:rsidR="002E3B06">
        <w:rPr>
          <w:bCs/>
          <w:i/>
          <w:iCs/>
          <w:szCs w:val="18"/>
        </w:rPr>
        <w:t>year</w:t>
      </w:r>
      <w:proofErr w:type="spellEnd"/>
      <w:r w:rsidRPr="00304324" w:rsidR="002E3B06">
        <w:rPr>
          <w:bCs/>
          <w:i/>
          <w:iCs/>
          <w:szCs w:val="18"/>
        </w:rPr>
        <w:t xml:space="preserve"> 2019-</w:t>
      </w:r>
      <w:r w:rsidRPr="00304324" w:rsidR="002E3B06">
        <w:rPr>
          <w:bCs/>
          <w:szCs w:val="18"/>
        </w:rPr>
        <w:t xml:space="preserve">2023 </w:t>
      </w:r>
      <w:r w:rsidRPr="00304324">
        <w:rPr>
          <w:bCs/>
          <w:szCs w:val="18"/>
        </w:rPr>
        <w:t xml:space="preserve">ruim USD 160 miljoen bijgedragen aan advisering en </w:t>
      </w:r>
      <w:proofErr w:type="spellStart"/>
      <w:r w:rsidRPr="00304324">
        <w:rPr>
          <w:bCs/>
          <w:i/>
          <w:iCs/>
          <w:szCs w:val="18"/>
        </w:rPr>
        <w:t>blended</w:t>
      </w:r>
      <w:proofErr w:type="spellEnd"/>
      <w:r w:rsidRPr="00304324">
        <w:rPr>
          <w:bCs/>
          <w:i/>
          <w:iCs/>
          <w:szCs w:val="18"/>
        </w:rPr>
        <w:t xml:space="preserve"> </w:t>
      </w:r>
      <w:proofErr w:type="spellStart"/>
      <w:r w:rsidRPr="00304324">
        <w:rPr>
          <w:bCs/>
          <w:i/>
          <w:iCs/>
          <w:szCs w:val="18"/>
        </w:rPr>
        <w:t>finance</w:t>
      </w:r>
      <w:proofErr w:type="spellEnd"/>
      <w:r w:rsidRPr="00304324" w:rsidR="00730FAC">
        <w:rPr>
          <w:bCs/>
          <w:i/>
          <w:iCs/>
          <w:szCs w:val="18"/>
        </w:rPr>
        <w:t xml:space="preserve"> </w:t>
      </w:r>
      <w:r w:rsidRPr="00304324" w:rsidR="00730FAC">
        <w:rPr>
          <w:bCs/>
          <w:szCs w:val="18"/>
        </w:rPr>
        <w:t>(het combineren van publiek- en privaat kapitaal in bedrijven of projecten met een maatschappelijke meerwaarde)</w:t>
      </w:r>
      <w:r w:rsidRPr="00304324">
        <w:rPr>
          <w:bCs/>
          <w:szCs w:val="18"/>
        </w:rPr>
        <w:t>. Nederland is een van de weinige landen die aan beide instrumenten actief bijdraagt.</w:t>
      </w:r>
    </w:p>
    <w:p w:rsidR="00304324" w:rsidP="00304324" w:rsidRDefault="00304324" w14:paraId="0594553A" w14:textId="77777777">
      <w:pPr>
        <w:rPr>
          <w:bCs/>
          <w:szCs w:val="18"/>
        </w:rPr>
      </w:pPr>
    </w:p>
    <w:p w:rsidRPr="00304324" w:rsidR="00AD5E85" w:rsidP="00304324" w:rsidRDefault="00AD5E85" w14:paraId="32528A17" w14:textId="077DF107">
      <w:pPr>
        <w:rPr>
          <w:bCs/>
          <w:szCs w:val="18"/>
        </w:rPr>
      </w:pPr>
      <w:r w:rsidRPr="00304324">
        <w:rPr>
          <w:bCs/>
          <w:szCs w:val="18"/>
        </w:rPr>
        <w:t xml:space="preserve">Via de adviserende tak ondersteunt Nederland </w:t>
      </w:r>
      <w:proofErr w:type="spellStart"/>
      <w:r w:rsidRPr="00304324">
        <w:rPr>
          <w:bCs/>
          <w:szCs w:val="18"/>
        </w:rPr>
        <w:t>IFC’s</w:t>
      </w:r>
      <w:proofErr w:type="spellEnd"/>
      <w:r w:rsidRPr="00304324">
        <w:rPr>
          <w:bCs/>
          <w:szCs w:val="18"/>
        </w:rPr>
        <w:t xml:space="preserve"> werk op thema’s als fragiliteit, gedwongen ontheemding en migratie, investeringsklimaat, publiek-private partnerschappen, klimaatverandering, financiering voor mkb, landbouw en voedselzekerheid, werkgelegenheid en onderwijs, schonere textielproductie en verzekering van klimaatrisico’s. Deze thematische steun richt zich met name op Afrika en het Midden-Oosten.</w:t>
      </w:r>
    </w:p>
    <w:p w:rsidR="00304324" w:rsidP="00304324" w:rsidRDefault="00304324" w14:paraId="6EFB01D3" w14:textId="77777777">
      <w:pPr>
        <w:rPr>
          <w:bCs/>
          <w:szCs w:val="18"/>
        </w:rPr>
      </w:pPr>
    </w:p>
    <w:p w:rsidRPr="00304324" w:rsidR="00AD5E85" w:rsidP="00304324" w:rsidRDefault="00AD5E85" w14:paraId="23885339" w14:textId="26964C54">
      <w:pPr>
        <w:rPr>
          <w:bCs/>
          <w:szCs w:val="18"/>
        </w:rPr>
      </w:pPr>
      <w:r w:rsidRPr="00304324">
        <w:rPr>
          <w:bCs/>
          <w:szCs w:val="18"/>
        </w:rPr>
        <w:t xml:space="preserve">Nederland was mede-initiatiefnemer en is financier van het PROSPECTS-partnerschap, waarin IFC samenwerkt met UNHCR, UNICEF, ILO en de Wereldbank om de situatie van vluchtelingen en hun gastgemeenschappen te verbeteren in het Midden-Oosten en de Hoorn van Afrika. Daarnaast ondersteunt Nederland het Compact </w:t>
      </w:r>
      <w:proofErr w:type="spellStart"/>
      <w:r w:rsidRPr="00304324">
        <w:rPr>
          <w:bCs/>
          <w:szCs w:val="18"/>
        </w:rPr>
        <w:t>with</w:t>
      </w:r>
      <w:proofErr w:type="spellEnd"/>
      <w:r w:rsidRPr="00304324">
        <w:rPr>
          <w:bCs/>
          <w:szCs w:val="18"/>
        </w:rPr>
        <w:t xml:space="preserve"> </w:t>
      </w:r>
      <w:proofErr w:type="spellStart"/>
      <w:r w:rsidRPr="00304324">
        <w:rPr>
          <w:bCs/>
          <w:szCs w:val="18"/>
        </w:rPr>
        <w:t>Africa</w:t>
      </w:r>
      <w:proofErr w:type="spellEnd"/>
      <w:r w:rsidRPr="00304324">
        <w:rPr>
          <w:bCs/>
          <w:szCs w:val="18"/>
        </w:rPr>
        <w:t>, dat private investeringen in Afrika stimuleert via verbeteringen in macro-economisch, zakelijk en financieel beleid.</w:t>
      </w:r>
    </w:p>
    <w:p w:rsidR="00304324" w:rsidP="00304324" w:rsidRDefault="00304324" w14:paraId="4A5051B9" w14:textId="77777777">
      <w:pPr>
        <w:rPr>
          <w:bCs/>
          <w:szCs w:val="18"/>
        </w:rPr>
      </w:pPr>
    </w:p>
    <w:p w:rsidRPr="00304324" w:rsidR="00AD5E85" w:rsidP="00304324" w:rsidRDefault="00AD5E85" w14:paraId="3FED7465" w14:textId="2E81F2E7">
      <w:pPr>
        <w:rPr>
          <w:bCs/>
          <w:szCs w:val="18"/>
        </w:rPr>
      </w:pPr>
      <w:r w:rsidRPr="00304324">
        <w:rPr>
          <w:bCs/>
          <w:szCs w:val="18"/>
        </w:rPr>
        <w:t xml:space="preserve">Voorbeelden van </w:t>
      </w:r>
      <w:proofErr w:type="spellStart"/>
      <w:r w:rsidRPr="00304324">
        <w:rPr>
          <w:bCs/>
          <w:i/>
          <w:szCs w:val="18"/>
        </w:rPr>
        <w:t>blended</w:t>
      </w:r>
      <w:proofErr w:type="spellEnd"/>
      <w:r w:rsidRPr="00304324">
        <w:rPr>
          <w:bCs/>
          <w:i/>
          <w:szCs w:val="18"/>
        </w:rPr>
        <w:t xml:space="preserve"> </w:t>
      </w:r>
      <w:proofErr w:type="spellStart"/>
      <w:r w:rsidRPr="00304324">
        <w:rPr>
          <w:bCs/>
          <w:i/>
          <w:szCs w:val="18"/>
        </w:rPr>
        <w:t>finance</w:t>
      </w:r>
      <w:proofErr w:type="spellEnd"/>
      <w:r w:rsidRPr="00304324">
        <w:rPr>
          <w:bCs/>
          <w:szCs w:val="18"/>
        </w:rPr>
        <w:t xml:space="preserve">-instrumenten </w:t>
      </w:r>
      <w:r w:rsidRPr="00304324" w:rsidR="00730FAC">
        <w:rPr>
          <w:bCs/>
          <w:szCs w:val="18"/>
        </w:rPr>
        <w:t>zijn te vinden in programma’s dat Nederland (financieel) steunt, zoals in onder andere</w:t>
      </w:r>
      <w:r w:rsidRPr="00304324">
        <w:rPr>
          <w:bCs/>
          <w:szCs w:val="18"/>
        </w:rPr>
        <w:t>:</w:t>
      </w:r>
    </w:p>
    <w:p w:rsidRPr="00304324" w:rsidR="00AD5E85" w:rsidP="00304324" w:rsidRDefault="00AD5E85" w14:paraId="1397137F" w14:textId="77777777">
      <w:pPr>
        <w:pStyle w:val="ListParagraph"/>
        <w:numPr>
          <w:ilvl w:val="0"/>
          <w:numId w:val="34"/>
        </w:numPr>
        <w:rPr>
          <w:bCs/>
          <w:szCs w:val="18"/>
        </w:rPr>
      </w:pPr>
      <w:r w:rsidRPr="00304324">
        <w:rPr>
          <w:bCs/>
          <w:szCs w:val="18"/>
        </w:rPr>
        <w:t>Global SME Finance Facility</w:t>
      </w:r>
    </w:p>
    <w:p w:rsidRPr="00304324" w:rsidR="00AD5E85" w:rsidP="00304324" w:rsidRDefault="00AD5E85" w14:paraId="25D3A995" w14:textId="77777777">
      <w:pPr>
        <w:pStyle w:val="ListParagraph"/>
        <w:numPr>
          <w:ilvl w:val="0"/>
          <w:numId w:val="34"/>
        </w:numPr>
        <w:rPr>
          <w:bCs/>
          <w:szCs w:val="18"/>
        </w:rPr>
      </w:pPr>
      <w:r w:rsidRPr="00304324">
        <w:rPr>
          <w:bCs/>
          <w:szCs w:val="18"/>
        </w:rPr>
        <w:t>MENA Private Sector Development Facility</w:t>
      </w:r>
    </w:p>
    <w:p w:rsidRPr="00304324" w:rsidR="00AD5E85" w:rsidP="00304324" w:rsidRDefault="00AD5E85" w14:paraId="441D86AE" w14:textId="77777777">
      <w:pPr>
        <w:pStyle w:val="ListParagraph"/>
        <w:numPr>
          <w:ilvl w:val="0"/>
          <w:numId w:val="34"/>
        </w:numPr>
        <w:rPr>
          <w:bCs/>
          <w:szCs w:val="18"/>
          <w:lang w:val="en-US"/>
        </w:rPr>
      </w:pPr>
      <w:r w:rsidRPr="00304324">
        <w:rPr>
          <w:bCs/>
          <w:szCs w:val="18"/>
          <w:lang w:val="en-US"/>
        </w:rPr>
        <w:t>Private Sector Window van het Global Agribusiness and Food Security Program</w:t>
      </w:r>
    </w:p>
    <w:p w:rsidRPr="00304324" w:rsidR="00AD5E85" w:rsidP="00304324" w:rsidRDefault="00AD5E85" w14:paraId="3BC49AFA" w14:textId="77777777">
      <w:pPr>
        <w:pStyle w:val="ListParagraph"/>
        <w:numPr>
          <w:ilvl w:val="0"/>
          <w:numId w:val="34"/>
        </w:numPr>
        <w:rPr>
          <w:bCs/>
          <w:szCs w:val="18"/>
        </w:rPr>
      </w:pPr>
      <w:r w:rsidRPr="00304324">
        <w:rPr>
          <w:bCs/>
          <w:szCs w:val="18"/>
        </w:rPr>
        <w:t>PROSPECTS Partnership</w:t>
      </w:r>
    </w:p>
    <w:p w:rsidRPr="00304324" w:rsidR="00AD5E85" w:rsidP="00304324" w:rsidRDefault="00AD5E85" w14:paraId="007A3387" w14:textId="5DFA2CE5">
      <w:pPr>
        <w:pStyle w:val="ListParagraph"/>
        <w:numPr>
          <w:ilvl w:val="0"/>
          <w:numId w:val="34"/>
        </w:numPr>
        <w:rPr>
          <w:bCs/>
          <w:szCs w:val="18"/>
        </w:rPr>
      </w:pPr>
      <w:r w:rsidRPr="00304324">
        <w:rPr>
          <w:bCs/>
          <w:szCs w:val="18"/>
        </w:rPr>
        <w:t xml:space="preserve">Ukraine </w:t>
      </w:r>
      <w:proofErr w:type="spellStart"/>
      <w:r w:rsidRPr="00304324">
        <w:rPr>
          <w:bCs/>
          <w:szCs w:val="18"/>
        </w:rPr>
        <w:t>Economic</w:t>
      </w:r>
      <w:proofErr w:type="spellEnd"/>
      <w:r w:rsidRPr="00304324">
        <w:rPr>
          <w:bCs/>
          <w:szCs w:val="18"/>
        </w:rPr>
        <w:t xml:space="preserve"> </w:t>
      </w:r>
      <w:proofErr w:type="spellStart"/>
      <w:r w:rsidRPr="00304324">
        <w:rPr>
          <w:bCs/>
          <w:szCs w:val="18"/>
        </w:rPr>
        <w:t>Resilience</w:t>
      </w:r>
      <w:proofErr w:type="spellEnd"/>
      <w:r w:rsidRPr="00304324">
        <w:rPr>
          <w:bCs/>
          <w:szCs w:val="18"/>
        </w:rPr>
        <w:t xml:space="preserve"> Program</w:t>
      </w:r>
    </w:p>
    <w:p w:rsidRPr="00921941" w:rsidR="00AD5E85" w:rsidP="00AD5E85" w:rsidRDefault="00AF4149" w14:paraId="775B407C" w14:textId="61992920">
      <w:pPr>
        <w:pStyle w:val="ListParagraph"/>
        <w:keepNext/>
      </w:pPr>
      <w:r w:rsidRPr="00921941">
        <w:rPr>
          <w:noProof/>
        </w:rPr>
        <w:lastRenderedPageBreak/>
        <w:drawing>
          <wp:anchor distT="0" distB="0" distL="114300" distR="114300" simplePos="0" relativeHeight="251657216" behindDoc="1" locked="0" layoutInCell="1" allowOverlap="1" wp14:editId="2A44D4E6" wp14:anchorId="77CCC9DD">
            <wp:simplePos x="0" y="0"/>
            <wp:positionH relativeFrom="column">
              <wp:posOffset>-229870</wp:posOffset>
            </wp:positionH>
            <wp:positionV relativeFrom="paragraph">
              <wp:posOffset>3175</wp:posOffset>
            </wp:positionV>
            <wp:extent cx="4899025" cy="3776980"/>
            <wp:effectExtent l="0" t="0" r="0" b="0"/>
            <wp:wrapTopAndBottom/>
            <wp:docPr id="94406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61364" name=""/>
                    <pic:cNvPicPr/>
                  </pic:nvPicPr>
                  <pic:blipFill>
                    <a:blip r:embed="rId19" cstate="print">
                      <a:extLst>
                        <a:ext uri="{BEBA8EAE-BF5A-486C-A8C5-ECC9F3942E4B}">
                          <a14:imgProps xmlns:a14="http://schemas.microsoft.com/office/drawing/2010/main">
                            <a14:imgLayer r:embed="rId20">
                              <a14:imgEffect>
                                <a14:saturation sat="33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899025" cy="3776980"/>
                    </a:xfrm>
                    <a:prstGeom prst="rect">
                      <a:avLst/>
                    </a:prstGeom>
                  </pic:spPr>
                </pic:pic>
              </a:graphicData>
            </a:graphic>
            <wp14:sizeRelH relativeFrom="margin">
              <wp14:pctWidth>0</wp14:pctWidth>
            </wp14:sizeRelH>
            <wp14:sizeRelV relativeFrom="margin">
              <wp14:pctHeight>0</wp14:pctHeight>
            </wp14:sizeRelV>
          </wp:anchor>
        </w:drawing>
      </w:r>
    </w:p>
    <w:p w:rsidRPr="00921941" w:rsidR="00AD5E85" w:rsidP="00AD5E85" w:rsidRDefault="00AD5E85" w14:paraId="02C5C2BF" w14:textId="7DB30B8E">
      <w:pPr>
        <w:pStyle w:val="Caption"/>
        <w:rPr>
          <w:sz w:val="14"/>
          <w:szCs w:val="14"/>
        </w:rPr>
      </w:pPr>
      <w:r w:rsidRPr="00921941">
        <w:rPr>
          <w:sz w:val="14"/>
          <w:szCs w:val="14"/>
        </w:rPr>
        <w:t xml:space="preserve">Figuur </w:t>
      </w:r>
      <w:r w:rsidRPr="00921941">
        <w:rPr>
          <w:sz w:val="14"/>
          <w:szCs w:val="14"/>
        </w:rPr>
        <w:fldChar w:fldCharType="begin"/>
      </w:r>
      <w:r w:rsidRPr="00921941">
        <w:rPr>
          <w:sz w:val="14"/>
          <w:szCs w:val="14"/>
        </w:rPr>
        <w:instrText xml:space="preserve"> SEQ Figuur \* ARABIC </w:instrText>
      </w:r>
      <w:r w:rsidRPr="00921941">
        <w:rPr>
          <w:sz w:val="14"/>
          <w:szCs w:val="14"/>
        </w:rPr>
        <w:fldChar w:fldCharType="separate"/>
      </w:r>
      <w:r w:rsidRPr="00921941">
        <w:rPr>
          <w:noProof/>
          <w:sz w:val="14"/>
          <w:szCs w:val="14"/>
        </w:rPr>
        <w:t>1</w:t>
      </w:r>
      <w:r w:rsidRPr="00921941">
        <w:rPr>
          <w:sz w:val="14"/>
          <w:szCs w:val="14"/>
        </w:rPr>
        <w:fldChar w:fldCharType="end"/>
      </w:r>
      <w:r w:rsidRPr="00921941">
        <w:rPr>
          <w:sz w:val="14"/>
          <w:szCs w:val="14"/>
        </w:rPr>
        <w:t xml:space="preserve">: </w:t>
      </w:r>
      <w:r w:rsidR="00AF4149">
        <w:rPr>
          <w:sz w:val="14"/>
          <w:szCs w:val="14"/>
        </w:rPr>
        <w:t>Een totaaloverzicht van IFC-i</w:t>
      </w:r>
      <w:r w:rsidRPr="00921941">
        <w:rPr>
          <w:sz w:val="14"/>
          <w:szCs w:val="14"/>
        </w:rPr>
        <w:t xml:space="preserve">nvesteringen </w:t>
      </w:r>
      <w:r w:rsidR="00AF4149">
        <w:rPr>
          <w:sz w:val="14"/>
          <w:szCs w:val="14"/>
        </w:rPr>
        <w:t xml:space="preserve">waar minstens een Nederlandse organisatie betrokken is </w:t>
      </w:r>
      <w:r w:rsidRPr="00921941">
        <w:rPr>
          <w:sz w:val="14"/>
          <w:szCs w:val="14"/>
        </w:rPr>
        <w:t>(2024)</w:t>
      </w:r>
    </w:p>
    <w:p w:rsidRPr="009C7C85" w:rsidR="00616671" w:rsidP="00616671" w:rsidRDefault="00616671" w14:paraId="4460332C" w14:textId="6B72B466">
      <w:pPr>
        <w:rPr>
          <w:rFonts w:ascii="Calibri" w:hAnsi="Calibri"/>
          <w:sz w:val="22"/>
          <w:szCs w:val="22"/>
        </w:rPr>
        <w:sectPr w:rsidRPr="009C7C85" w:rsidR="00616671" w:rsidSect="00EE1B9E">
          <w:headerReference w:type="first" r:id="rId21"/>
          <w:type w:val="continuous"/>
          <w:pgSz w:w="11906" w:h="16838" w:code="9"/>
          <w:pgMar w:top="2520" w:right="960" w:bottom="1080" w:left="3220" w:header="200" w:footer="660" w:gutter="0"/>
          <w:cols w:space="708"/>
          <w:titlePg/>
          <w:docGrid w:linePitch="360"/>
        </w:sectPr>
      </w:pPr>
    </w:p>
    <w:p w:rsidRPr="00B95FC2" w:rsidR="005150FC" w:rsidP="00B95FC2" w:rsidRDefault="005150FC" w14:paraId="616B1A97" w14:textId="77777777">
      <w:bookmarkStart w:name="_Toc238533654" w:id="28"/>
      <w:bookmarkStart w:name="_Toc238537583" w:id="29"/>
      <w:bookmarkStart w:name="_Toc238538136" w:id="30"/>
      <w:bookmarkStart w:name="_Toc238538151" w:id="31"/>
      <w:bookmarkEnd w:id="28"/>
      <w:bookmarkEnd w:id="29"/>
      <w:bookmarkEnd w:id="30"/>
      <w:bookmarkEnd w:id="31"/>
    </w:p>
    <w:p w:rsidR="00874A11" w:rsidP="00F24A31" w:rsidRDefault="00693C3B" w14:paraId="550B7E6B" w14:textId="3DDE5824">
      <w:pPr>
        <w:pStyle w:val="Heading1"/>
        <w:tabs>
          <w:tab w:val="num" w:pos="0"/>
        </w:tabs>
        <w:spacing w:after="240" w:line="240" w:lineRule="auto"/>
        <w:ind w:hanging="1162"/>
      </w:pPr>
      <w:bookmarkStart w:name="_Toc531336311" w:id="32"/>
      <w:bookmarkStart w:name="_Toc205306252" w:id="33"/>
      <w:r>
        <w:lastRenderedPageBreak/>
        <w:t>4</w:t>
      </w:r>
      <w:r w:rsidR="00F24A31">
        <w:t xml:space="preserve"> </w:t>
      </w:r>
      <w:r w:rsidR="00F24A31">
        <w:tab/>
      </w:r>
      <w:bookmarkEnd w:id="32"/>
      <w:r w:rsidR="00874A11">
        <w:t xml:space="preserve">MOPAN-beoordeling van </w:t>
      </w:r>
      <w:r w:rsidR="00AD5E85">
        <w:t>de IFC</w:t>
      </w:r>
      <w:bookmarkEnd w:id="33"/>
    </w:p>
    <w:p w:rsidR="00F64274" w:rsidP="00F64274" w:rsidRDefault="00874A11" w14:paraId="345E6A1B" w14:textId="36A2073A">
      <w:pPr>
        <w:pStyle w:val="Heading2"/>
        <w:tabs>
          <w:tab w:val="left" w:pos="-1162"/>
          <w:tab w:val="left" w:pos="0"/>
          <w:tab w:val="num" w:pos="1160"/>
        </w:tabs>
        <w:spacing w:line="240" w:lineRule="auto"/>
        <w:ind w:hanging="1162"/>
      </w:pPr>
      <w:bookmarkStart w:name="_Toc205306253" w:id="34"/>
      <w:r>
        <w:t xml:space="preserve">4.1 </w:t>
      </w:r>
      <w:r w:rsidR="007E0D4F">
        <w:tab/>
      </w:r>
      <w:r w:rsidR="00750048">
        <w:t>Kernpunten</w:t>
      </w:r>
      <w:r>
        <w:t xml:space="preserve"> van de MOPAN-beoordeling naar het Nederlands vertaald</w:t>
      </w:r>
      <w:bookmarkEnd w:id="34"/>
    </w:p>
    <w:p w:rsidR="00AD5E85" w:rsidP="00AD5E85" w:rsidRDefault="00AD5E85" w14:paraId="56EAA68E" w14:textId="77777777"/>
    <w:p w:rsidRPr="00AB0E61" w:rsidR="00AB0E61" w:rsidP="00AD5E85" w:rsidRDefault="00AB0E61" w14:paraId="79857FB1" w14:textId="0DD8D1B7">
      <w:r>
        <w:rPr>
          <w:b/>
          <w:bCs/>
        </w:rPr>
        <w:t>Belangrijkste sterke punten</w:t>
      </w:r>
    </w:p>
    <w:p w:rsidRPr="00921941" w:rsidR="00AD5E85" w:rsidP="00AD5E85" w:rsidRDefault="00AD5E85" w14:paraId="3C13EA1E" w14:textId="77777777">
      <w:pPr>
        <w:pStyle w:val="ListParagraph"/>
        <w:numPr>
          <w:ilvl w:val="0"/>
          <w:numId w:val="32"/>
        </w:numPr>
      </w:pPr>
      <w:r w:rsidRPr="00921941">
        <w:t>IFC heeft haar strategisch kader – IFC 3.0 – stevig verankerd in haar bedrijfsvoering, met een duidelijke focus op het creëren van markten en het mobiliseren van particuliere financiering.</w:t>
      </w:r>
    </w:p>
    <w:p w:rsidRPr="004E01BB" w:rsidR="00AB0E61" w:rsidP="00AB0E61" w:rsidRDefault="00AB0E61" w14:paraId="332C76D2" w14:textId="77777777">
      <w:pPr>
        <w:numPr>
          <w:ilvl w:val="0"/>
          <w:numId w:val="32"/>
        </w:numPr>
      </w:pPr>
      <w:r>
        <w:t>De IFC heeft een sterke kapitaalpositie en een solide kader om financiële duurzaamheid te waarborgen.</w:t>
      </w:r>
    </w:p>
    <w:p w:rsidR="00AB0E61" w:rsidP="00AB0E61" w:rsidRDefault="00AB0E61" w14:paraId="4BD72DE1" w14:textId="0D8FA898">
      <w:pPr>
        <w:numPr>
          <w:ilvl w:val="0"/>
          <w:numId w:val="32"/>
        </w:numPr>
      </w:pPr>
      <w:r>
        <w:t>IFC beschikt over sterke systemen voor risicobeheer en verantwoording gedurende de gehele investeringscyclus.</w:t>
      </w:r>
    </w:p>
    <w:p w:rsidRPr="004E01BB" w:rsidR="00AB0E61" w:rsidP="00AB0E61" w:rsidRDefault="00AB0E61" w14:paraId="29B4BAD7" w14:textId="0AA096A1">
      <w:pPr>
        <w:numPr>
          <w:ilvl w:val="0"/>
          <w:numId w:val="32"/>
        </w:numPr>
      </w:pPr>
      <w:r>
        <w:t>De IFC heeft doeltreffende instrumenten ingevoerd om de ontwikkeling en marktresultaten van haar investeringen te verbeteren en de besluitvorming en verantwoordingsplicht</w:t>
      </w:r>
      <w:r w:rsidR="00DC10EE">
        <w:t xml:space="preserve"> te ondersteunen.</w:t>
      </w:r>
      <w:r>
        <w:t xml:space="preserve"> met inbegrip van </w:t>
      </w:r>
      <w:r w:rsidR="00DC10EE">
        <w:t xml:space="preserve">het </w:t>
      </w:r>
      <w:r>
        <w:t>AIMM</w:t>
      </w:r>
      <w:r w:rsidR="00DC10EE">
        <w:t xml:space="preserve">-kader </w:t>
      </w:r>
      <w:r w:rsidRPr="00921941" w:rsidR="00DC10EE">
        <w:t>(</w:t>
      </w:r>
      <w:proofErr w:type="spellStart"/>
      <w:r w:rsidRPr="00921941" w:rsidR="00DC10EE">
        <w:rPr>
          <w:i/>
          <w:iCs/>
        </w:rPr>
        <w:t>Anticipated</w:t>
      </w:r>
      <w:proofErr w:type="spellEnd"/>
      <w:r w:rsidRPr="00921941" w:rsidR="00DC10EE">
        <w:rPr>
          <w:i/>
          <w:iCs/>
        </w:rPr>
        <w:t xml:space="preserve"> Impact </w:t>
      </w:r>
      <w:proofErr w:type="spellStart"/>
      <w:r w:rsidRPr="00921941" w:rsidR="00DC10EE">
        <w:rPr>
          <w:i/>
          <w:iCs/>
        </w:rPr>
        <w:t>Measurement</w:t>
      </w:r>
      <w:proofErr w:type="spellEnd"/>
      <w:r w:rsidRPr="00921941" w:rsidR="00DC10EE">
        <w:rPr>
          <w:i/>
          <w:iCs/>
        </w:rPr>
        <w:t xml:space="preserve"> </w:t>
      </w:r>
      <w:proofErr w:type="spellStart"/>
      <w:r w:rsidRPr="00921941" w:rsidR="00DC10EE">
        <w:rPr>
          <w:i/>
          <w:iCs/>
        </w:rPr>
        <w:t>and</w:t>
      </w:r>
      <w:proofErr w:type="spellEnd"/>
      <w:r w:rsidRPr="00921941" w:rsidR="00DC10EE">
        <w:rPr>
          <w:i/>
          <w:iCs/>
        </w:rPr>
        <w:t xml:space="preserve"> Monitoring</w:t>
      </w:r>
      <w:r w:rsidRPr="00921941" w:rsidR="00DC10EE">
        <w:t>)</w:t>
      </w:r>
      <w:r>
        <w:t>, te ondersteunen.</w:t>
      </w:r>
    </w:p>
    <w:p w:rsidRPr="004E01BB" w:rsidR="00AB0E61" w:rsidP="00AB0E61" w:rsidRDefault="00AB0E61" w14:paraId="157085E7" w14:textId="323C12D2">
      <w:pPr>
        <w:numPr>
          <w:ilvl w:val="0"/>
          <w:numId w:val="32"/>
        </w:numPr>
      </w:pPr>
      <w:r>
        <w:t xml:space="preserve">De IFC heeft een leidende rol gespeeld bij de ondersteuning van mondiale kwesties, waaronder de voortdurende coördinatie met </w:t>
      </w:r>
      <w:proofErr w:type="spellStart"/>
      <w:r>
        <w:t>DFI's</w:t>
      </w:r>
      <w:proofErr w:type="spellEnd"/>
      <w:r>
        <w:t xml:space="preserve"> en andere partners en toont leiderschap op verschillende gebieden. De IFC heeft bijvoorbeeld het voortouw genomen bij de vaststelling van beginselen voor het gebruik van </w:t>
      </w:r>
      <w:proofErr w:type="spellStart"/>
      <w:r>
        <w:rPr>
          <w:i/>
          <w:iCs/>
        </w:rPr>
        <w:t>blended</w:t>
      </w:r>
      <w:proofErr w:type="spellEnd"/>
      <w:r>
        <w:rPr>
          <w:i/>
          <w:iCs/>
        </w:rPr>
        <w:t xml:space="preserve"> </w:t>
      </w:r>
      <w:proofErr w:type="spellStart"/>
      <w:r>
        <w:rPr>
          <w:i/>
          <w:iCs/>
        </w:rPr>
        <w:t>concessional</w:t>
      </w:r>
      <w:proofErr w:type="spellEnd"/>
      <w:r>
        <w:rPr>
          <w:i/>
          <w:iCs/>
        </w:rPr>
        <w:t xml:space="preserve"> </w:t>
      </w:r>
      <w:proofErr w:type="spellStart"/>
      <w:r>
        <w:rPr>
          <w:i/>
          <w:iCs/>
        </w:rPr>
        <w:t>finance</w:t>
      </w:r>
      <w:proofErr w:type="spellEnd"/>
      <w:r>
        <w:t>.</w:t>
      </w:r>
    </w:p>
    <w:p w:rsidRPr="004E01BB" w:rsidR="00AB0E61" w:rsidP="00AB0E61" w:rsidRDefault="00AB0E61" w14:paraId="1ED143A2" w14:textId="2196D158">
      <w:pPr>
        <w:numPr>
          <w:ilvl w:val="0"/>
          <w:numId w:val="32"/>
        </w:numPr>
      </w:pPr>
      <w:r>
        <w:t>De IFC heeft een consistent track record van het gebruik van gegevens om beslissingen te nemen en van koers te veranderen om de prestaties te verbeteren. Dit omvat uitgebreide bedrijfsrapportage en dashboards, externe en interne beoordelingen en gezamenlijke IFC-IEG-rapporten.</w:t>
      </w:r>
    </w:p>
    <w:p w:rsidRPr="00921941" w:rsidR="00AD5E85" w:rsidP="00AD5E85" w:rsidRDefault="00AD5E85" w14:paraId="03DECA78" w14:textId="77777777">
      <w:pPr>
        <w:rPr>
          <w:b/>
          <w:bCs/>
        </w:rPr>
      </w:pPr>
    </w:p>
    <w:p w:rsidRPr="00921941" w:rsidR="00AD5E85" w:rsidP="00AD5E85" w:rsidRDefault="00AD5E85" w14:paraId="150A1A83" w14:textId="77777777">
      <w:r>
        <w:rPr>
          <w:b/>
          <w:bCs/>
        </w:rPr>
        <w:t>Belangrijkste verbeterpunten</w:t>
      </w:r>
    </w:p>
    <w:p w:rsidRPr="00921941" w:rsidR="00AD5E85" w:rsidP="00AD5E85" w:rsidRDefault="00AD5E85" w14:paraId="3FA7E0EB" w14:textId="77777777">
      <w:pPr>
        <w:pStyle w:val="ListParagraph"/>
        <w:numPr>
          <w:ilvl w:val="0"/>
          <w:numId w:val="32"/>
        </w:numPr>
      </w:pPr>
      <w:r w:rsidRPr="00921941">
        <w:t>Er blijven kansen om de “</w:t>
      </w:r>
      <w:proofErr w:type="spellStart"/>
      <w:r w:rsidRPr="00921941">
        <w:t>One</w:t>
      </w:r>
      <w:proofErr w:type="spellEnd"/>
      <w:r w:rsidRPr="00921941">
        <w:t xml:space="preserve"> World Bank”-benadering binnen de Wereldbankgroep te versterken, met</w:t>
      </w:r>
      <w:r>
        <w:t xml:space="preserve"> door richting klantlanden als één organisatie op te treden, met als gevolg een verhoogde impact. Dit betekent ook dat de verschillende Wereldbankinstituties in Washington – waar het beleid wordt gemaakt – de samenwerking verder versterken.</w:t>
      </w:r>
      <w:r w:rsidRPr="00921941">
        <w:t xml:space="preserve"> </w:t>
      </w:r>
    </w:p>
    <w:p w:rsidRPr="00921941" w:rsidR="00AD5E85" w:rsidP="00AD5E85" w:rsidRDefault="00AD5E85" w14:paraId="266C5C3B" w14:textId="77777777">
      <w:pPr>
        <w:pStyle w:val="ListParagraph"/>
        <w:numPr>
          <w:ilvl w:val="0"/>
          <w:numId w:val="32"/>
        </w:numPr>
      </w:pPr>
      <w:r w:rsidRPr="00921941">
        <w:t xml:space="preserve">IFC kan haar inspanningen op het gebied van kennisbeheer verder benutten door het afronden van een kennisstrategie met een sterker </w:t>
      </w:r>
      <w:proofErr w:type="spellStart"/>
      <w:r w:rsidRPr="00921941">
        <w:rPr>
          <w:i/>
          <w:iCs/>
        </w:rPr>
        <w:t>governance</w:t>
      </w:r>
      <w:proofErr w:type="spellEnd"/>
      <w:r w:rsidRPr="00921941">
        <w:t xml:space="preserve"> kader, in lijn met de ambities van IFC 3.0.</w:t>
      </w:r>
    </w:p>
    <w:p w:rsidRPr="00921941" w:rsidR="00AD5E85" w:rsidP="00AD5E85" w:rsidRDefault="00AD5E85" w14:paraId="261B1A81" w14:textId="77777777">
      <w:pPr>
        <w:pStyle w:val="ListParagraph"/>
        <w:numPr>
          <w:ilvl w:val="0"/>
          <w:numId w:val="32"/>
        </w:numPr>
      </w:pPr>
      <w:r w:rsidRPr="00921941">
        <w:t xml:space="preserve">Hoewel IFC positieve stappen heeft gezet om </w:t>
      </w:r>
      <w:proofErr w:type="spellStart"/>
      <w:r w:rsidRPr="00921941">
        <w:t>additionaliteit</w:t>
      </w:r>
      <w:proofErr w:type="spellEnd"/>
      <w:r w:rsidRPr="00921941">
        <w:t xml:space="preserve"> bij investeringen te versterken, ontbreekt nog steeds een systeem om de realisatie van verwachte niet-financiële </w:t>
      </w:r>
      <w:proofErr w:type="spellStart"/>
      <w:r w:rsidRPr="00921941">
        <w:t>additionaliteit</w:t>
      </w:r>
      <w:proofErr w:type="spellEnd"/>
      <w:r w:rsidRPr="00921941">
        <w:t xml:space="preserve"> systematisch te monitoren gedurende de volledige levenscyclus van een investering – vaak gegenereerd via adviesdiensten.</w:t>
      </w:r>
    </w:p>
    <w:p w:rsidRPr="00921941" w:rsidR="00AD5E85" w:rsidP="00AD5E85" w:rsidRDefault="00AD5E85" w14:paraId="78D47CE2" w14:textId="77777777">
      <w:pPr>
        <w:pStyle w:val="ListParagraph"/>
        <w:numPr>
          <w:ilvl w:val="0"/>
          <w:numId w:val="32"/>
        </w:numPr>
      </w:pPr>
      <w:r w:rsidRPr="00921941">
        <w:t xml:space="preserve">Er zijn mogelijkheden om </w:t>
      </w:r>
      <w:proofErr w:type="spellStart"/>
      <w:r w:rsidRPr="00921941">
        <w:t>IFC’s</w:t>
      </w:r>
      <w:proofErr w:type="spellEnd"/>
      <w:r w:rsidRPr="00921941">
        <w:t xml:space="preserve"> Performance Standards (IFC PS) te actualiseren zodat deze beter aansluiten op opkomende uitdagingen zoals seksuele uitbuiting, misbruik en intimidatie (SEAH). Dit zou ook bijdragen aan versterking van de verantwoordingsstructuur, in het bijzonder rond de implementatie en monitoring van klachtenmechanismen bij cliënten.</w:t>
      </w:r>
    </w:p>
    <w:p w:rsidRPr="00921941" w:rsidR="00AD5E85" w:rsidP="00AD5E85" w:rsidRDefault="00AD5E85" w14:paraId="0AC7E8E2" w14:textId="77777777">
      <w:pPr>
        <w:pStyle w:val="ListParagraph"/>
        <w:numPr>
          <w:ilvl w:val="0"/>
          <w:numId w:val="32"/>
        </w:numPr>
      </w:pPr>
      <w:r w:rsidRPr="00921941">
        <w:t>De ontwikkelingsresultaten van IFC-investeringen in fragiele en conflictgevoelige situaties zijn in de loop van de beoordelingsperiode gedaald, wat vraagt om een nadere analyse van de onderliggende oorzaken.</w:t>
      </w:r>
    </w:p>
    <w:p w:rsidR="00AD5E85" w:rsidP="00AD5E85" w:rsidRDefault="00AD5E85" w14:paraId="323DE677" w14:textId="77777777">
      <w:pPr>
        <w:pStyle w:val="ListParagraph"/>
        <w:numPr>
          <w:ilvl w:val="0"/>
          <w:numId w:val="32"/>
        </w:numPr>
      </w:pPr>
      <w:r w:rsidRPr="00921941">
        <w:t xml:space="preserve">De aanpak van IFC op het gebied van </w:t>
      </w:r>
      <w:proofErr w:type="spellStart"/>
      <w:r w:rsidRPr="00921941">
        <w:rPr>
          <w:i/>
          <w:iCs/>
        </w:rPr>
        <w:t>results-based</w:t>
      </w:r>
      <w:proofErr w:type="spellEnd"/>
      <w:r w:rsidRPr="00921941">
        <w:rPr>
          <w:i/>
          <w:iCs/>
        </w:rPr>
        <w:t xml:space="preserve"> management</w:t>
      </w:r>
      <w:r w:rsidRPr="00921941">
        <w:t xml:space="preserve"> kan worden verbeterd door bredere publieke verslaglegging en een sterkere focus op uitkomsten, met name voor dwarsdoorsnijdende thema’s.</w:t>
      </w:r>
    </w:p>
    <w:p w:rsidR="00AD5E85" w:rsidP="00AD5E85" w:rsidRDefault="00AD5E85" w14:paraId="6D1F0F8F" w14:textId="77777777"/>
    <w:p w:rsidR="00AD5E85" w:rsidP="00AD5E85" w:rsidRDefault="00AD5E85" w14:paraId="14A30269" w14:textId="77777777"/>
    <w:p w:rsidR="00AD5E85" w:rsidP="00AD5E85" w:rsidRDefault="00AD5E85" w14:paraId="3F7E6520" w14:textId="0EACC234">
      <w:r w:rsidRPr="00921941">
        <w:rPr>
          <w:noProof/>
        </w:rPr>
        <w:lastRenderedPageBreak/>
        <w:drawing>
          <wp:anchor distT="0" distB="0" distL="114300" distR="114300" simplePos="0" relativeHeight="251660288" behindDoc="0" locked="0" layoutInCell="1" allowOverlap="1" wp14:editId="627083FF" wp14:anchorId="46D1A45A">
            <wp:simplePos x="0" y="0"/>
            <wp:positionH relativeFrom="page">
              <wp:align>center</wp:align>
            </wp:positionH>
            <wp:positionV relativeFrom="paragraph">
              <wp:posOffset>0</wp:posOffset>
            </wp:positionV>
            <wp:extent cx="4818380" cy="6223000"/>
            <wp:effectExtent l="0" t="0" r="1270" b="6350"/>
            <wp:wrapTopAndBottom/>
            <wp:docPr id="1138307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07235" name="Picture 1"/>
                    <pic:cNvPicPr/>
                  </pic:nvPicPr>
                  <pic:blipFill>
                    <a:blip r:embed="rId22" cstate="print">
                      <a:extLst>
                        <a:ext uri="{28A0092B-C50C-407E-A947-70E740481C1C}">
                          <a14:useLocalDpi xmlns:a14="http://schemas.microsoft.com/office/drawing/2010/main" val="0"/>
                        </a:ext>
                      </a:extLst>
                    </a:blip>
                    <a:srcRect t="4318" b="4318"/>
                    <a:stretch>
                      <a:fillRect/>
                    </a:stretch>
                  </pic:blipFill>
                  <pic:spPr bwMode="auto">
                    <a:xfrm>
                      <a:off x="0" y="0"/>
                      <a:ext cx="4818380" cy="622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921941" w:rsidR="00AD5E85" w:rsidP="00AD5E85" w:rsidRDefault="00AD5E85" w14:paraId="5D2812D0" w14:textId="77777777">
      <w:pPr>
        <w:pStyle w:val="Caption"/>
        <w:rPr>
          <w:sz w:val="14"/>
          <w:szCs w:val="16"/>
        </w:rPr>
      </w:pPr>
      <w:r w:rsidRPr="00921941">
        <w:rPr>
          <w:sz w:val="14"/>
          <w:szCs w:val="16"/>
        </w:rPr>
        <w:t xml:space="preserve">Figuur </w:t>
      </w:r>
      <w:r w:rsidRPr="00921941">
        <w:rPr>
          <w:sz w:val="14"/>
          <w:szCs w:val="16"/>
        </w:rPr>
        <w:fldChar w:fldCharType="begin"/>
      </w:r>
      <w:r w:rsidRPr="00921941">
        <w:rPr>
          <w:sz w:val="14"/>
          <w:szCs w:val="16"/>
        </w:rPr>
        <w:instrText xml:space="preserve"> SEQ Figuur \* ARABIC </w:instrText>
      </w:r>
      <w:r w:rsidRPr="00921941">
        <w:rPr>
          <w:sz w:val="14"/>
          <w:szCs w:val="16"/>
        </w:rPr>
        <w:fldChar w:fldCharType="separate"/>
      </w:r>
      <w:r w:rsidRPr="00921941">
        <w:rPr>
          <w:noProof/>
          <w:sz w:val="14"/>
          <w:szCs w:val="16"/>
        </w:rPr>
        <w:t>2</w:t>
      </w:r>
      <w:r w:rsidRPr="00921941">
        <w:rPr>
          <w:sz w:val="14"/>
          <w:szCs w:val="16"/>
        </w:rPr>
        <w:fldChar w:fldCharType="end"/>
      </w:r>
      <w:r w:rsidRPr="00921941">
        <w:rPr>
          <w:sz w:val="14"/>
          <w:szCs w:val="16"/>
        </w:rPr>
        <w:t>: Beoordeling van de prestaties van IFC op basis van MOPAN-indicatoren</w:t>
      </w:r>
    </w:p>
    <w:p w:rsidR="00AD5E85" w:rsidP="00AD5E85" w:rsidRDefault="00AD5E85" w14:paraId="78A28262" w14:textId="77777777">
      <w:pPr>
        <w:rPr>
          <w:i/>
          <w:iCs/>
        </w:rPr>
      </w:pPr>
    </w:p>
    <w:p w:rsidRPr="00921941" w:rsidR="00AD5E85" w:rsidP="00AD5E85" w:rsidRDefault="00AD5E85" w14:paraId="1A82CBED" w14:textId="3B575E54">
      <w:pPr>
        <w:rPr>
          <w:i/>
          <w:iCs/>
        </w:rPr>
      </w:pPr>
      <w:r w:rsidRPr="00921941">
        <w:rPr>
          <w:i/>
          <w:iCs/>
        </w:rPr>
        <w:t>Toelichting op figuur</w:t>
      </w:r>
    </w:p>
    <w:p w:rsidRPr="00921941" w:rsidR="00AD5E85" w:rsidP="00AD5E85" w:rsidRDefault="00AD5E85" w14:paraId="26D60E54" w14:textId="2106FA23">
      <w:r w:rsidRPr="00921941">
        <w:t xml:space="preserve">De </w:t>
      </w:r>
      <w:r w:rsidR="00C954F1">
        <w:t>bovenstaande</w:t>
      </w:r>
      <w:r w:rsidRPr="00921941">
        <w:t xml:space="preserve"> figuur geeft een overzicht van de prestaties van de IFC op kernpunten in het MOPAN-beoordelingskader. Het wordt afgeraden om een vergelijking te maken met andere beoordeelde organisaties en met eerdere MOPAN-beoordelingen, vanwege het feit dat de methodologie in de loop der tijd is veranderd en vanwege de verschillen tussen de organisaties wat betreft schaal, operationele context en relatieve voordelen. In de grote figuur staat organisatieprestatie centraal, onderverdeeld in acht indicatoren met een groot aantal sub-indicatoren. </w:t>
      </w:r>
    </w:p>
    <w:p w:rsidRPr="00921941" w:rsidR="00AD5E85" w:rsidP="00AD5E85" w:rsidRDefault="00AD5E85" w14:paraId="7CF06E13" w14:textId="77777777"/>
    <w:p w:rsidRPr="00921941" w:rsidR="00AD5E85" w:rsidP="00AD5E85" w:rsidRDefault="00AD5E85" w14:paraId="194313AA" w14:textId="2EBBCCA2">
      <w:r w:rsidRPr="00921941">
        <w:lastRenderedPageBreak/>
        <w:t>De prestaties van IFC worden op alle hoofdindicatoren als ‘</w:t>
      </w:r>
      <w:proofErr w:type="spellStart"/>
      <w:r w:rsidRPr="00921941">
        <w:t>satisfactory</w:t>
      </w:r>
      <w:proofErr w:type="spellEnd"/>
      <w:r w:rsidRPr="00921941">
        <w:t>’ of ‘</w:t>
      </w:r>
      <w:proofErr w:type="spellStart"/>
      <w:r w:rsidRPr="00921941">
        <w:t>highly</w:t>
      </w:r>
      <w:proofErr w:type="spellEnd"/>
      <w:r w:rsidRPr="00921941">
        <w:t xml:space="preserve"> </w:t>
      </w:r>
      <w:proofErr w:type="spellStart"/>
      <w:r w:rsidRPr="00921941">
        <w:t>satisfactory</w:t>
      </w:r>
      <w:proofErr w:type="spellEnd"/>
      <w:r w:rsidRPr="00921941">
        <w:t>’ beoordeeld. De hoogste scores zijn behaald op KPI 2 (</w:t>
      </w:r>
      <w:r w:rsidRPr="00921941">
        <w:rPr>
          <w:i/>
          <w:iCs/>
        </w:rPr>
        <w:t>cross-</w:t>
      </w:r>
      <w:proofErr w:type="spellStart"/>
      <w:r w:rsidRPr="00921941">
        <w:rPr>
          <w:i/>
          <w:iCs/>
        </w:rPr>
        <w:t>cutting</w:t>
      </w:r>
      <w:proofErr w:type="spellEnd"/>
      <w:r w:rsidRPr="00921941">
        <w:rPr>
          <w:i/>
          <w:iCs/>
        </w:rPr>
        <w:t xml:space="preserve"> issues</w:t>
      </w:r>
      <w:r w:rsidRPr="00921941">
        <w:t>) en KPI 12 (</w:t>
      </w:r>
      <w:proofErr w:type="spellStart"/>
      <w:r w:rsidRPr="00921941">
        <w:rPr>
          <w:i/>
          <w:iCs/>
        </w:rPr>
        <w:t>sustainability</w:t>
      </w:r>
      <w:proofErr w:type="spellEnd"/>
      <w:r w:rsidRPr="00921941">
        <w:t>). IFC scoort op geen enkele KPI onvoldoende.</w:t>
      </w:r>
    </w:p>
    <w:p w:rsidRPr="00AD5E85" w:rsidR="00AD5E85" w:rsidP="00AD5E85" w:rsidRDefault="00AD5E85" w14:paraId="5304CD70" w14:textId="77777777"/>
    <w:p w:rsidRPr="00AD5E85" w:rsidR="00AD5E85" w:rsidP="00AD5E85" w:rsidRDefault="00AD5E85" w14:paraId="7FED9782" w14:textId="77777777"/>
    <w:p w:rsidR="002E79A1" w:rsidP="00AD5E85" w:rsidRDefault="00874A11" w14:paraId="3CDD8E57" w14:textId="034E518D">
      <w:pPr>
        <w:pStyle w:val="Heading2"/>
        <w:tabs>
          <w:tab w:val="left" w:pos="-1162"/>
          <w:tab w:val="left" w:pos="0"/>
          <w:tab w:val="num" w:pos="1160"/>
        </w:tabs>
        <w:spacing w:line="240" w:lineRule="auto"/>
        <w:ind w:hanging="1162"/>
      </w:pPr>
      <w:bookmarkStart w:name="_Toc205306254" w:id="35"/>
      <w:r>
        <w:t xml:space="preserve">4.2 </w:t>
      </w:r>
      <w:r w:rsidR="002D1AA8">
        <w:tab/>
      </w:r>
      <w:r w:rsidRPr="00874A11">
        <w:t>Appreciatie van de MOPAN-b</w:t>
      </w:r>
      <w:r>
        <w:t>eoordeling</w:t>
      </w:r>
      <w:bookmarkEnd w:id="35"/>
    </w:p>
    <w:p w:rsidRPr="002D1AA8" w:rsidR="002D1AA8" w:rsidP="002D1AA8" w:rsidRDefault="002D1AA8" w14:paraId="57172BF9" w14:textId="77777777"/>
    <w:p w:rsidR="002D1AA8" w:rsidP="00AD5E85" w:rsidRDefault="00AD5E85" w14:paraId="21E395A1" w14:textId="77777777">
      <w:r w:rsidRPr="00921941">
        <w:t xml:space="preserve">Onderstaand volgen de belangrijkste conclusies uit het MOPAN-rapport gevolgd door een appreciatie. </w:t>
      </w:r>
    </w:p>
    <w:p w:rsidR="002D1AA8" w:rsidP="00AD5E85" w:rsidRDefault="002D1AA8" w14:paraId="3C7583CE" w14:textId="77777777"/>
    <w:p w:rsidRPr="00143DA1" w:rsidR="00AD5E85" w:rsidP="00AD5E85" w:rsidRDefault="00AD5E85" w14:paraId="659D02AB" w14:textId="32F0017A">
      <w:proofErr w:type="spellStart"/>
      <w:r w:rsidRPr="00326FC8">
        <w:rPr>
          <w:i/>
          <w:iCs/>
        </w:rPr>
        <w:t>One</w:t>
      </w:r>
      <w:proofErr w:type="spellEnd"/>
      <w:r w:rsidRPr="00326FC8">
        <w:rPr>
          <w:i/>
          <w:iCs/>
        </w:rPr>
        <w:t xml:space="preserve"> World Bank</w:t>
      </w:r>
      <w:r w:rsidRPr="006324B7">
        <w:t xml:space="preserve">: het MOPAN-assessment bevestigt dat de samenwerking tussen IFC en de andere onderdelen van de Wereldbankgroep </w:t>
      </w:r>
      <w:r w:rsidR="00486A4F">
        <w:t xml:space="preserve">- </w:t>
      </w:r>
      <w:r w:rsidRPr="006324B7">
        <w:t xml:space="preserve">met name </w:t>
      </w:r>
      <w:r w:rsidR="00486A4F">
        <w:t xml:space="preserve">de </w:t>
      </w:r>
      <w:r w:rsidRPr="006324B7">
        <w:t>I</w:t>
      </w:r>
      <w:r w:rsidR="00486A4F">
        <w:t xml:space="preserve">nternationale  Bank voor Wederopbouw en Ontwikkeling (IBRD) en de Internationale Ontwikkelingsassociatie (IDA)- </w:t>
      </w:r>
      <w:r w:rsidRPr="006324B7">
        <w:t>historisch gefragmenteerd was, maar erkent dat hier de afgelopen jaren tastbare vooruitgang is geboekt. Dat sluit goed aan bij de Nederlandse inzet om IFC effectiever in te bedden binnen het bredere WBG-instrumentarium. Nederland verwelkomt de stappen die zijn gezet richting een meer geïntegreerde benadering, zoals de aanstelling van gezamenlijke directeuren (</w:t>
      </w:r>
      <w:r w:rsidRPr="00326FC8">
        <w:rPr>
          <w:i/>
          <w:iCs/>
        </w:rPr>
        <w:t xml:space="preserve">country </w:t>
      </w:r>
      <w:proofErr w:type="spellStart"/>
      <w:r w:rsidRPr="00326FC8">
        <w:rPr>
          <w:i/>
          <w:iCs/>
        </w:rPr>
        <w:t>heads</w:t>
      </w:r>
      <w:proofErr w:type="spellEnd"/>
      <w:r w:rsidRPr="006324B7">
        <w:t>) in een groeiend aantal landen, de inbreng van verschillende takken van de Wereldbank bij de totstandkoming van meerjarige landenstrategieën (</w:t>
      </w:r>
      <w:r w:rsidRPr="00326FC8">
        <w:rPr>
          <w:i/>
          <w:iCs/>
        </w:rPr>
        <w:t xml:space="preserve">country partnership </w:t>
      </w:r>
      <w:proofErr w:type="spellStart"/>
      <w:r w:rsidRPr="00326FC8">
        <w:rPr>
          <w:i/>
          <w:iCs/>
        </w:rPr>
        <w:t>frameworks</w:t>
      </w:r>
      <w:proofErr w:type="spellEnd"/>
      <w:r w:rsidRPr="006324B7">
        <w:t>) en de ontwikkeling van een gedeelde resultatenkader (</w:t>
      </w:r>
      <w:r w:rsidRPr="00326FC8">
        <w:rPr>
          <w:i/>
          <w:iCs/>
        </w:rPr>
        <w:t>corporate scorecard)</w:t>
      </w:r>
      <w:r w:rsidRPr="006324B7">
        <w:t xml:space="preserve"> om WBG-brede resultaten te kunnen volgen. Deze ontwikkelingen ondersteunen de Nederlandse inzet op </w:t>
      </w:r>
      <w:r>
        <w:t xml:space="preserve">grotere </w:t>
      </w:r>
      <w:r w:rsidRPr="006324B7">
        <w:t xml:space="preserve">coherentie tussen </w:t>
      </w:r>
      <w:r>
        <w:t xml:space="preserve">publieke </w:t>
      </w:r>
      <w:r w:rsidRPr="006324B7">
        <w:t xml:space="preserve">(IBRD/IDA) en </w:t>
      </w:r>
      <w:r>
        <w:t xml:space="preserve">private </w:t>
      </w:r>
      <w:r w:rsidRPr="006324B7">
        <w:t>investering</w:t>
      </w:r>
      <w:r>
        <w:t xml:space="preserve">en </w:t>
      </w:r>
      <w:r w:rsidRPr="006324B7">
        <w:t>(IFC), met name in landen waar structurele hervormingen nodig zijn om private investeringen mogelijk te maken. Tegelijkertijd blijft verdere consolidatie van rolverdeling, gezamenlijke prioriteiten en monitoringkaders nodig om de “</w:t>
      </w:r>
      <w:proofErr w:type="spellStart"/>
      <w:r w:rsidRPr="006324B7">
        <w:t>One</w:t>
      </w:r>
      <w:proofErr w:type="spellEnd"/>
      <w:r w:rsidRPr="006324B7">
        <w:t xml:space="preserve"> Bank”-aanpak daadwerkelijk te verankeren in de praktijk.</w:t>
      </w:r>
      <w:r w:rsidRPr="006324B7">
        <w:rPr>
          <w:rStyle w:val="FootnoteReference"/>
        </w:rPr>
        <w:footnoteReference w:id="5"/>
      </w:r>
    </w:p>
    <w:p w:rsidR="00AD5E85" w:rsidP="00AD5E85" w:rsidRDefault="00AD5E85" w14:paraId="537C3AC7" w14:textId="77777777">
      <w:pPr>
        <w:rPr>
          <w:i/>
        </w:rPr>
      </w:pPr>
    </w:p>
    <w:p w:rsidRPr="00143DA1" w:rsidR="00AD5E85" w:rsidP="00AD5E85" w:rsidRDefault="00AD5E85" w14:paraId="5FE7CA45" w14:textId="77777777">
      <w:r w:rsidRPr="00326FC8">
        <w:rPr>
          <w:i/>
        </w:rPr>
        <w:t>IFC 3.0</w:t>
      </w:r>
      <w:r w:rsidRPr="006324B7">
        <w:t xml:space="preserve">: </w:t>
      </w:r>
      <w:r w:rsidRPr="00143DA1">
        <w:t>IFC heeft in de afgelopen jaren belangrijke stappen gezet om haar strategische koers te verdiepen en te vertalen naar operationele praktijk. De invoering van IFC 3.0 markeert een duidelijke verschuiving naar een actievere rol in marktcreatie, met bijzondere aandacht voor fragiele contexten (FCS), lage-inkomenslanden (</w:t>
      </w:r>
      <w:proofErr w:type="spellStart"/>
      <w:r w:rsidRPr="00143DA1">
        <w:t>LICs</w:t>
      </w:r>
      <w:proofErr w:type="spellEnd"/>
      <w:r w:rsidRPr="00143DA1">
        <w:t xml:space="preserve">), en sectoren waar private financiering schaars blijft. Deze oriëntatie sluit goed aan bij de Nederlandse inzet om de ontwikkelingsrelevantie van internationale financiële instellingen te versterken door private sectorparticipatie en mobilisatie van financiering voor de </w:t>
      </w:r>
      <w:proofErr w:type="spellStart"/>
      <w:r w:rsidRPr="00143DA1">
        <w:t>SDG’s</w:t>
      </w:r>
      <w:proofErr w:type="spellEnd"/>
      <w:r w:rsidRPr="00143DA1">
        <w:t>.</w:t>
      </w:r>
    </w:p>
    <w:p w:rsidR="00AD5E85" w:rsidP="00AD5E85" w:rsidRDefault="00AD5E85" w14:paraId="5A479B12" w14:textId="77777777">
      <w:pPr>
        <w:rPr>
          <w:i/>
        </w:rPr>
      </w:pPr>
    </w:p>
    <w:p w:rsidRPr="00143DA1" w:rsidR="00AD5E85" w:rsidP="00AD5E85" w:rsidRDefault="00AD5E85" w14:paraId="0814F1DC" w14:textId="77777777">
      <w:r w:rsidRPr="00326FC8">
        <w:rPr>
          <w:i/>
        </w:rPr>
        <w:t>Upstream activiteiten</w:t>
      </w:r>
      <w:r w:rsidRPr="006324B7">
        <w:t xml:space="preserve">: </w:t>
      </w:r>
      <w:r w:rsidRPr="00DB2A56">
        <w:t xml:space="preserve">De inzet op upstream-activiteiten is relevant om </w:t>
      </w:r>
      <w:proofErr w:type="spellStart"/>
      <w:r w:rsidRPr="00DB2A56">
        <w:t>marktfalen</w:t>
      </w:r>
      <w:proofErr w:type="spellEnd"/>
      <w:r w:rsidRPr="00DB2A56">
        <w:t xml:space="preserve"> te adresseren en projecten te ontwikkelen die interessant zijn voor private investeerders. Echter, het ontbreekt IFC vaak aan de projectontwikkelingsexpertise om deze upstream-inspanningen om te zetten in concrete, investeerbare projecten die private partijen kunnen mobiliseren. Als primair financier heeft IFC beperkte bewegingsruimte om dit tekort aan projectontwikkelingscapaciteit te adresseren.</w:t>
      </w:r>
    </w:p>
    <w:p w:rsidR="00AD5E85" w:rsidP="00AD5E85" w:rsidRDefault="00AD5E85" w14:paraId="268F431D" w14:textId="77777777">
      <w:pPr>
        <w:rPr>
          <w:i/>
        </w:rPr>
      </w:pPr>
    </w:p>
    <w:p w:rsidRPr="00143DA1" w:rsidR="00AD5E85" w:rsidP="00AD5E85" w:rsidRDefault="00AD5E85" w14:paraId="610E803B" w14:textId="77777777">
      <w:proofErr w:type="spellStart"/>
      <w:r w:rsidRPr="00326FC8">
        <w:rPr>
          <w:i/>
        </w:rPr>
        <w:t>Blended</w:t>
      </w:r>
      <w:proofErr w:type="spellEnd"/>
      <w:r w:rsidRPr="00326FC8">
        <w:rPr>
          <w:i/>
        </w:rPr>
        <w:t xml:space="preserve"> </w:t>
      </w:r>
      <w:proofErr w:type="spellStart"/>
      <w:r w:rsidRPr="00326FC8">
        <w:rPr>
          <w:i/>
        </w:rPr>
        <w:t>finance</w:t>
      </w:r>
      <w:proofErr w:type="spellEnd"/>
      <w:r w:rsidRPr="006324B7">
        <w:t>: w</w:t>
      </w:r>
      <w:r w:rsidRPr="00143DA1">
        <w:t xml:space="preserve">at betreft instrumentatie blijft IFC internationaal toonaangevend op het vlak van </w:t>
      </w:r>
      <w:proofErr w:type="spellStart"/>
      <w:r w:rsidRPr="00326FC8">
        <w:rPr>
          <w:i/>
          <w:iCs/>
        </w:rPr>
        <w:t>blended</w:t>
      </w:r>
      <w:proofErr w:type="spellEnd"/>
      <w:r w:rsidRPr="00326FC8">
        <w:rPr>
          <w:i/>
          <w:iCs/>
        </w:rPr>
        <w:t xml:space="preserve"> </w:t>
      </w:r>
      <w:proofErr w:type="spellStart"/>
      <w:r w:rsidRPr="00326FC8">
        <w:rPr>
          <w:i/>
          <w:iCs/>
        </w:rPr>
        <w:t>finance</w:t>
      </w:r>
      <w:proofErr w:type="spellEnd"/>
      <w:r w:rsidRPr="00143DA1">
        <w:t xml:space="preserve">. Nederland waardeert </w:t>
      </w:r>
      <w:proofErr w:type="spellStart"/>
      <w:r w:rsidRPr="00143DA1">
        <w:t>IFC’s</w:t>
      </w:r>
      <w:proofErr w:type="spellEnd"/>
      <w:r w:rsidRPr="00143DA1">
        <w:t xml:space="preserve"> leidende rol in het opstellen van principes voor concessionele financiering, het ontwikkelen van transparantiestandaarden, en de institutionele borging van </w:t>
      </w:r>
      <w:proofErr w:type="spellStart"/>
      <w:r w:rsidRPr="00326FC8">
        <w:rPr>
          <w:i/>
          <w:iCs/>
        </w:rPr>
        <w:t>blended</w:t>
      </w:r>
      <w:proofErr w:type="spellEnd"/>
      <w:r w:rsidRPr="00326FC8">
        <w:rPr>
          <w:i/>
          <w:iCs/>
        </w:rPr>
        <w:t xml:space="preserve"> </w:t>
      </w:r>
      <w:proofErr w:type="spellStart"/>
      <w:r w:rsidRPr="00326FC8">
        <w:rPr>
          <w:i/>
          <w:iCs/>
        </w:rPr>
        <w:t>finance</w:t>
      </w:r>
      <w:proofErr w:type="spellEnd"/>
      <w:r w:rsidRPr="00143DA1">
        <w:t xml:space="preserve"> via het </w:t>
      </w:r>
      <w:proofErr w:type="spellStart"/>
      <w:r w:rsidRPr="00143DA1">
        <w:t>Creating</w:t>
      </w:r>
      <w:proofErr w:type="spellEnd"/>
      <w:r w:rsidRPr="00143DA1">
        <w:t xml:space="preserve"> Markets </w:t>
      </w:r>
      <w:proofErr w:type="spellStart"/>
      <w:r w:rsidRPr="00143DA1">
        <w:t>Advisory</w:t>
      </w:r>
      <w:proofErr w:type="spellEnd"/>
      <w:r w:rsidRPr="00143DA1">
        <w:t xml:space="preserve"> </w:t>
      </w:r>
      <w:proofErr w:type="spellStart"/>
      <w:r w:rsidRPr="00143DA1">
        <w:t>Window</w:t>
      </w:r>
      <w:proofErr w:type="spellEnd"/>
      <w:r w:rsidRPr="00143DA1">
        <w:t xml:space="preserve"> en het beheer van de IDA-Private Sector </w:t>
      </w:r>
      <w:proofErr w:type="spellStart"/>
      <w:r w:rsidRPr="00143DA1">
        <w:t>Window</w:t>
      </w:r>
      <w:proofErr w:type="spellEnd"/>
      <w:r>
        <w:t xml:space="preserve"> waar IFC sinds de meest recente middelenaanvulling van IDA (IDA21) een sterkere </w:t>
      </w:r>
      <w:r>
        <w:lastRenderedPageBreak/>
        <w:t xml:space="preserve">rol en verantwoordelijkheid voor draagt. </w:t>
      </w:r>
      <w:r w:rsidRPr="00143DA1">
        <w:t xml:space="preserve">Tegelijkertijd leeft in de sector én bij Nederland de vraag of </w:t>
      </w:r>
      <w:proofErr w:type="spellStart"/>
      <w:r w:rsidRPr="00326FC8">
        <w:rPr>
          <w:i/>
        </w:rPr>
        <w:t>blended</w:t>
      </w:r>
      <w:proofErr w:type="spellEnd"/>
      <w:r w:rsidRPr="00326FC8">
        <w:rPr>
          <w:i/>
        </w:rPr>
        <w:t xml:space="preserve"> </w:t>
      </w:r>
      <w:proofErr w:type="spellStart"/>
      <w:r w:rsidRPr="00326FC8">
        <w:rPr>
          <w:i/>
        </w:rPr>
        <w:t>finance</w:t>
      </w:r>
      <w:proofErr w:type="spellEnd"/>
      <w:r w:rsidRPr="00143DA1">
        <w:t xml:space="preserve"> in álle gevallen noodzakelijk is, of dat het risico van over-subsidiëring bestaat. De vraag naar </w:t>
      </w:r>
      <w:proofErr w:type="spellStart"/>
      <w:r w:rsidRPr="00143DA1">
        <w:t>additionaliteit</w:t>
      </w:r>
      <w:proofErr w:type="spellEnd"/>
      <w:r w:rsidRPr="00143DA1">
        <w:t xml:space="preserve"> en </w:t>
      </w:r>
      <w:proofErr w:type="spellStart"/>
      <w:r w:rsidRPr="00143DA1">
        <w:t>concessionaliteit</w:t>
      </w:r>
      <w:proofErr w:type="spellEnd"/>
      <w:r w:rsidRPr="00143DA1">
        <w:t xml:space="preserve"> blijft actueel, zeker bij tussenkomst van financiële intermediairs. </w:t>
      </w:r>
      <w:proofErr w:type="spellStart"/>
      <w:r w:rsidRPr="00143DA1">
        <w:t>IFC’s</w:t>
      </w:r>
      <w:proofErr w:type="spellEnd"/>
      <w:r w:rsidRPr="00143DA1">
        <w:t xml:space="preserve"> eigen analyse (via AIMM) biedt daarvoor handvatten, maar vereist blijvende aandacht voor publieke verantwoording</w:t>
      </w:r>
      <w:r>
        <w:t>, ook vanuit Nederland</w:t>
      </w:r>
      <w:r w:rsidRPr="00143DA1">
        <w:t>.</w:t>
      </w:r>
    </w:p>
    <w:p w:rsidRPr="006324B7" w:rsidR="00AD5E85" w:rsidP="00AD5E85" w:rsidRDefault="00AD5E85" w14:paraId="045A4954" w14:textId="77777777">
      <w:pPr>
        <w:pStyle w:val="ListParagraph"/>
        <w:ind w:left="227"/>
      </w:pPr>
    </w:p>
    <w:p w:rsidRPr="00143DA1" w:rsidR="00AD5E85" w:rsidP="00AD5E85" w:rsidRDefault="00AD5E85" w14:paraId="16BBD297" w14:textId="77777777">
      <w:r w:rsidRPr="00326FC8">
        <w:rPr>
          <w:i/>
          <w:iCs/>
        </w:rPr>
        <w:t>Impactmeting</w:t>
      </w:r>
      <w:r w:rsidRPr="006324B7">
        <w:t xml:space="preserve">: </w:t>
      </w:r>
      <w:r w:rsidRPr="00B534B2">
        <w:t xml:space="preserve">MOPAN waardeert </w:t>
      </w:r>
      <w:proofErr w:type="spellStart"/>
      <w:r w:rsidRPr="00B534B2">
        <w:t>IFC's</w:t>
      </w:r>
      <w:proofErr w:type="spellEnd"/>
      <w:r w:rsidRPr="00B534B2">
        <w:t xml:space="preserve"> leiderschap op het gebied van impactmeting.</w:t>
      </w:r>
      <w:r w:rsidRPr="00143DA1">
        <w:t xml:space="preserve"> Het AIMM-systeem is volledig geïntegreerd in investeringsbesluitvorming en bevordert een structurele focus op ontwikkelingsresultaten, met name in termen van marktcreatie en additionele impact. Dit komt overeen met de Nederlandse inzet op transparante en meetbare ontwikkelingswinst. Tegelijkertijd is er ruimte om deze informatie beter te aggregeren op portefeuilleniveau en breder te ontsluiten richting aandeelhouders en het publiek.</w:t>
      </w:r>
    </w:p>
    <w:p w:rsidR="00AD5E85" w:rsidP="00AD5E85" w:rsidRDefault="00AD5E85" w14:paraId="3E8AB1BD" w14:textId="77777777">
      <w:pPr>
        <w:rPr>
          <w:i/>
          <w:iCs/>
        </w:rPr>
      </w:pPr>
    </w:p>
    <w:p w:rsidRPr="00143DA1" w:rsidR="00AD5E85" w:rsidP="00AD5E85" w:rsidRDefault="00AD5E85" w14:paraId="69D1730E" w14:textId="77777777">
      <w:r w:rsidRPr="00326FC8">
        <w:rPr>
          <w:i/>
          <w:iCs/>
        </w:rPr>
        <w:t>Operationele netwerk</w:t>
      </w:r>
      <w:r w:rsidRPr="006324B7">
        <w:t xml:space="preserve">: </w:t>
      </w:r>
      <w:proofErr w:type="spellStart"/>
      <w:r w:rsidRPr="00143DA1">
        <w:t>IFC’s</w:t>
      </w:r>
      <w:proofErr w:type="spellEnd"/>
      <w:r w:rsidRPr="00143DA1">
        <w:t xml:space="preserve"> operationele netwerk is van groot belang voor Nederland. De aanwezigheid in meer dan 100 landen, inclusief een versterkte voetafdruk in Sub-Sahara Afrika, stelt de organisatie in staat om lokaal relevante financieringsoplossingen te bieden. De samenwerking met Nederlandse partijen, waaronder FMO als </w:t>
      </w:r>
      <w:r w:rsidRPr="006324B7">
        <w:t>éé</w:t>
      </w:r>
      <w:r w:rsidRPr="00143DA1">
        <w:t xml:space="preserve">n van de grootste </w:t>
      </w:r>
      <w:r w:rsidRPr="006324B7">
        <w:t>financieringspartners</w:t>
      </w:r>
      <w:r w:rsidRPr="00143DA1">
        <w:t>, en de betrokkenheid van Nederlandse bedrijven bij projecten onderstreept de meerwaarde van IFC als partner in het realiseren van Nederlandse beleidsdoelen.</w:t>
      </w:r>
    </w:p>
    <w:p w:rsidR="00AD5E85" w:rsidP="00AD5E85" w:rsidRDefault="00AD5E85" w14:paraId="2337C04C" w14:textId="77777777">
      <w:pPr>
        <w:rPr>
          <w:i/>
          <w:iCs/>
        </w:rPr>
      </w:pPr>
    </w:p>
    <w:p w:rsidRPr="00921941" w:rsidR="00AD5E85" w:rsidP="00AD5E85" w:rsidRDefault="00AD5E85" w14:paraId="2CD8DFC7" w14:textId="77777777">
      <w:proofErr w:type="spellStart"/>
      <w:r w:rsidRPr="00326FC8">
        <w:rPr>
          <w:i/>
          <w:iCs/>
        </w:rPr>
        <w:t>Governance</w:t>
      </w:r>
      <w:proofErr w:type="spellEnd"/>
      <w:r w:rsidRPr="006324B7">
        <w:t>:</w:t>
      </w:r>
      <w:r w:rsidRPr="00143DA1">
        <w:t xml:space="preserve"> </w:t>
      </w:r>
      <w:r w:rsidRPr="006324B7">
        <w:t>o</w:t>
      </w:r>
      <w:r w:rsidRPr="00143DA1">
        <w:t xml:space="preserve">ok op het vlak van </w:t>
      </w:r>
      <w:r w:rsidRPr="006324B7">
        <w:t xml:space="preserve">bestuur </w:t>
      </w:r>
      <w:r w:rsidRPr="00143DA1">
        <w:t>en risicobeheersing biedt IFC een stabiele en voorspelbare structuur. De interne beheersing van financieel en operationeel risico wordt als best-in-class beschouwd, wat belangrijk is voor een instelling die opereert in risicovolle markten. Nederland waardeert bovendien de ruimte voor aandeelhoudersinbreng in strategische keuzes. Tegelijkertijd geven maatschappelijke organisaties aan dat de implementatie van sociale standaarden, zoals klachtenmechanismen en SEAH-beleid, sterker verankerd zou mogen worden in de operationele uitvoering.</w:t>
      </w:r>
      <w:r w:rsidRPr="006324B7">
        <w:rPr>
          <w:rStyle w:val="FootnoteReference"/>
        </w:rPr>
        <w:footnoteReference w:id="6"/>
      </w:r>
      <w:r w:rsidRPr="00143DA1">
        <w:t xml:space="preserve"> </w:t>
      </w:r>
      <w:r w:rsidRPr="006324B7">
        <w:t xml:space="preserve">Nederland ondersteunt </w:t>
      </w:r>
      <w:proofErr w:type="spellStart"/>
      <w:r w:rsidRPr="006324B7">
        <w:t>IFC’s</w:t>
      </w:r>
      <w:proofErr w:type="spellEnd"/>
      <w:r w:rsidRPr="006324B7">
        <w:t xml:space="preserve"> robuuste risicokaders, maar onderschrijft de gemeenschappelijke oproep van </w:t>
      </w:r>
      <w:proofErr w:type="spellStart"/>
      <w:r w:rsidRPr="006324B7">
        <w:t>NGO’s</w:t>
      </w:r>
      <w:proofErr w:type="spellEnd"/>
      <w:r w:rsidRPr="006324B7">
        <w:t xml:space="preserve"> en de Compliance Advisor Ombudsman (CAO) tot actualisering en versterking van PS1 en PS4. Er is met name behoefte aan duidelijke, cultuurgevoelige klachtenkanalen en expliciete SEAH-preventieopties</w:t>
      </w:r>
      <w:r w:rsidRPr="00921941">
        <w:t xml:space="preserve"> binnen projecten. </w:t>
      </w:r>
      <w:r w:rsidRPr="00143DA1">
        <w:t xml:space="preserve">De actualisering van </w:t>
      </w:r>
      <w:proofErr w:type="spellStart"/>
      <w:r w:rsidRPr="00143DA1">
        <w:t>IFC’s</w:t>
      </w:r>
      <w:proofErr w:type="spellEnd"/>
      <w:r w:rsidRPr="00143DA1">
        <w:t xml:space="preserve"> Performance Standards </w:t>
      </w:r>
      <w:r w:rsidRPr="00921941">
        <w:t xml:space="preserve">als onderdeel van de herziening van de </w:t>
      </w:r>
      <w:proofErr w:type="spellStart"/>
      <w:r w:rsidRPr="00921941">
        <w:t>Sustainability</w:t>
      </w:r>
      <w:proofErr w:type="spellEnd"/>
      <w:r w:rsidRPr="00921941">
        <w:t xml:space="preserve"> Policy biedt hiervoor een belangrijk aanknopingspunt.</w:t>
      </w:r>
    </w:p>
    <w:p w:rsidRPr="00AD5E85" w:rsidR="00AD5E85" w:rsidP="00AD5E85" w:rsidRDefault="00AD5E85" w14:paraId="157C8E4C" w14:textId="77777777"/>
    <w:p w:rsidRPr="007E0D4F" w:rsidR="007E0D4F" w:rsidP="007E0D4F" w:rsidRDefault="00274E51" w14:paraId="20FAC2D1" w14:textId="086FAA20">
      <w:pPr>
        <w:pStyle w:val="Heading1"/>
        <w:tabs>
          <w:tab w:val="num" w:pos="0"/>
        </w:tabs>
        <w:spacing w:after="240" w:line="240" w:lineRule="auto"/>
        <w:ind w:hanging="1162"/>
      </w:pPr>
      <w:bookmarkStart w:name="_Toc205306255" w:id="36"/>
      <w:r>
        <w:lastRenderedPageBreak/>
        <w:t xml:space="preserve">5 </w:t>
      </w:r>
      <w:r>
        <w:tab/>
      </w:r>
      <w:r w:rsidR="00A64F05">
        <w:t>Relevantie van de organisatie</w:t>
      </w:r>
      <w:bookmarkStart w:name="_Toc158985333" w:id="37"/>
      <w:bookmarkStart w:name="_Toc158987001" w:id="38"/>
      <w:bookmarkStart w:name="_Toc158989090" w:id="39"/>
      <w:bookmarkStart w:name="_Toc158989160" w:id="40"/>
      <w:bookmarkStart w:name="_Toc158985334" w:id="41"/>
      <w:bookmarkStart w:name="_Toc158987002" w:id="42"/>
      <w:bookmarkStart w:name="_Toc158989091" w:id="43"/>
      <w:bookmarkStart w:name="_Toc158989161" w:id="44"/>
      <w:bookmarkStart w:name="_Toc531336322" w:id="45"/>
      <w:bookmarkEnd w:id="37"/>
      <w:bookmarkEnd w:id="38"/>
      <w:bookmarkEnd w:id="39"/>
      <w:bookmarkEnd w:id="40"/>
      <w:bookmarkEnd w:id="41"/>
      <w:bookmarkEnd w:id="42"/>
      <w:bookmarkEnd w:id="43"/>
      <w:bookmarkEnd w:id="44"/>
      <w:bookmarkEnd w:id="36"/>
    </w:p>
    <w:p w:rsidRPr="004D372F" w:rsidR="0027051F" w:rsidP="007E0D4F" w:rsidRDefault="0099381A" w14:paraId="4A06C650" w14:textId="0E25ABA4">
      <w:pPr>
        <w:pStyle w:val="Heading2"/>
        <w:tabs>
          <w:tab w:val="left" w:pos="-1162"/>
          <w:tab w:val="left" w:pos="0"/>
          <w:tab w:val="num" w:pos="1160"/>
        </w:tabs>
        <w:spacing w:line="240" w:lineRule="auto"/>
        <w:ind w:hanging="1162"/>
      </w:pPr>
      <w:bookmarkStart w:name="_Toc205306256" w:id="46"/>
      <w:r>
        <w:t>5</w:t>
      </w:r>
      <w:r w:rsidR="00A64F05">
        <w:t>.1</w:t>
      </w:r>
      <w:r w:rsidR="0008255C">
        <w:tab/>
      </w:r>
      <w:r w:rsidR="0027051F">
        <w:t>Relevantie voor Nederlandse BHO-prioriteiten</w:t>
      </w:r>
      <w:bookmarkEnd w:id="45"/>
      <w:bookmarkEnd w:id="46"/>
    </w:p>
    <w:p w:rsidR="00762BBD" w:rsidP="008B720C" w:rsidRDefault="00762BBD" w14:paraId="669FF039" w14:textId="20CFBB70"/>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2"/>
        <w:gridCol w:w="1843"/>
      </w:tblGrid>
      <w:tr w:rsidR="00762BBD" w:rsidTr="000130BA" w14:paraId="38645CFA" w14:textId="77777777">
        <w:tc>
          <w:tcPr>
            <w:tcW w:w="5382" w:type="dxa"/>
            <w:shd w:val="clear" w:color="auto" w:fill="D0CECE"/>
          </w:tcPr>
          <w:p w:rsidR="00762BBD" w:rsidP="00571404" w:rsidRDefault="00762BBD" w14:paraId="704BDE88" w14:textId="77777777">
            <w:r>
              <w:t>Beleidsprioriteiten</w:t>
            </w:r>
          </w:p>
        </w:tc>
        <w:tc>
          <w:tcPr>
            <w:tcW w:w="1843" w:type="dxa"/>
            <w:shd w:val="clear" w:color="auto" w:fill="D0CECE"/>
          </w:tcPr>
          <w:p w:rsidRPr="00D94DB4" w:rsidR="00762BBD" w:rsidP="00571404" w:rsidRDefault="00762BBD" w14:paraId="29A4F554" w14:textId="77777777">
            <w:pPr>
              <w:rPr>
                <w:b/>
              </w:rPr>
            </w:pPr>
          </w:p>
        </w:tc>
      </w:tr>
      <w:tr w:rsidR="00C84896" w:rsidTr="000130BA" w14:paraId="36DAA0E1" w14:textId="77777777">
        <w:tc>
          <w:tcPr>
            <w:tcW w:w="5382" w:type="dxa"/>
            <w:shd w:val="clear" w:color="auto" w:fill="auto"/>
          </w:tcPr>
          <w:p w:rsidR="00C84896" w:rsidP="00C84896" w:rsidRDefault="00C84896" w14:paraId="25CE5B6D" w14:textId="1F781F32">
            <w:r>
              <w:t>Veiligheid</w:t>
            </w:r>
          </w:p>
        </w:tc>
        <w:tc>
          <w:tcPr>
            <w:tcW w:w="1843" w:type="dxa"/>
            <w:shd w:val="clear" w:color="auto" w:fill="auto"/>
          </w:tcPr>
          <w:p w:rsidR="00C84896" w:rsidP="00C84896" w:rsidRDefault="00B14E62" w14:paraId="78963E22" w14:textId="464ACA35">
            <w:r>
              <w:t>Re</w:t>
            </w:r>
            <w:r w:rsidR="00C84896">
              <w:t>levant</w:t>
            </w:r>
          </w:p>
        </w:tc>
      </w:tr>
      <w:tr w:rsidR="00C84896" w:rsidTr="000130BA" w14:paraId="1A58DC9E" w14:textId="77777777">
        <w:tc>
          <w:tcPr>
            <w:tcW w:w="5382" w:type="dxa"/>
            <w:shd w:val="clear" w:color="auto" w:fill="auto"/>
          </w:tcPr>
          <w:p w:rsidRPr="00C84896" w:rsidR="00C84896" w:rsidP="00C84896" w:rsidRDefault="00C84896" w14:paraId="30213C34" w14:textId="3BFF1EC4">
            <w:r>
              <w:t>Migratie (en opvang in de regio)</w:t>
            </w:r>
          </w:p>
        </w:tc>
        <w:tc>
          <w:tcPr>
            <w:tcW w:w="1843" w:type="dxa"/>
            <w:shd w:val="clear" w:color="auto" w:fill="auto"/>
          </w:tcPr>
          <w:p w:rsidR="00C84896" w:rsidP="00C84896" w:rsidRDefault="00C84896" w14:paraId="060F771A" w14:textId="454C12AE">
            <w:r>
              <w:t>Relevant</w:t>
            </w:r>
          </w:p>
        </w:tc>
      </w:tr>
      <w:tr w:rsidR="00C84896" w:rsidTr="000130BA" w14:paraId="5D899A36" w14:textId="77777777">
        <w:tc>
          <w:tcPr>
            <w:tcW w:w="5382" w:type="dxa"/>
            <w:shd w:val="clear" w:color="auto" w:fill="auto"/>
          </w:tcPr>
          <w:p w:rsidR="00C84896" w:rsidP="00C84896" w:rsidRDefault="00C84896" w14:paraId="69EE8291" w14:textId="18B5133D">
            <w:r w:rsidRPr="00C84896">
              <w:t>Handel (Private sector ontwikkeling)</w:t>
            </w:r>
          </w:p>
        </w:tc>
        <w:tc>
          <w:tcPr>
            <w:tcW w:w="1843" w:type="dxa"/>
            <w:shd w:val="clear" w:color="auto" w:fill="auto"/>
          </w:tcPr>
          <w:p w:rsidR="00C84896" w:rsidP="00C84896" w:rsidRDefault="00B14E62" w14:paraId="7E13ED75" w14:textId="5A9EC0BE">
            <w:r>
              <w:t>Zeer r</w:t>
            </w:r>
            <w:r w:rsidR="00C84896">
              <w:t>elevant</w:t>
            </w:r>
          </w:p>
        </w:tc>
      </w:tr>
      <w:tr w:rsidR="00C84896" w:rsidTr="000130BA" w14:paraId="18D8E1C1" w14:textId="77777777">
        <w:tc>
          <w:tcPr>
            <w:tcW w:w="5382" w:type="dxa"/>
            <w:shd w:val="clear" w:color="auto" w:fill="auto"/>
          </w:tcPr>
          <w:p w:rsidR="00C84896" w:rsidP="00C84896" w:rsidRDefault="00C84896" w14:paraId="02EDFB70" w14:textId="22E574C2">
            <w:r>
              <w:t xml:space="preserve">Voedselzekerheid </w:t>
            </w:r>
          </w:p>
        </w:tc>
        <w:tc>
          <w:tcPr>
            <w:tcW w:w="1843" w:type="dxa"/>
            <w:shd w:val="clear" w:color="auto" w:fill="auto"/>
          </w:tcPr>
          <w:p w:rsidR="00C84896" w:rsidP="00C84896" w:rsidRDefault="00B14E62" w14:paraId="7ED3A7CA" w14:textId="0FC2F35F">
            <w:r>
              <w:t>R</w:t>
            </w:r>
            <w:r w:rsidR="00C84896">
              <w:t>elevant</w:t>
            </w:r>
          </w:p>
        </w:tc>
      </w:tr>
      <w:tr w:rsidR="00C84896" w:rsidTr="000130BA" w14:paraId="536C12D1" w14:textId="77777777">
        <w:tc>
          <w:tcPr>
            <w:tcW w:w="5382" w:type="dxa"/>
            <w:shd w:val="clear" w:color="auto" w:fill="auto"/>
          </w:tcPr>
          <w:p w:rsidR="00C84896" w:rsidP="00C84896" w:rsidRDefault="00C84896" w14:paraId="53596CC6" w14:textId="31A9A4A2">
            <w:r>
              <w:t xml:space="preserve">Water </w:t>
            </w:r>
          </w:p>
        </w:tc>
        <w:tc>
          <w:tcPr>
            <w:tcW w:w="1843" w:type="dxa"/>
            <w:shd w:val="clear" w:color="auto" w:fill="auto"/>
          </w:tcPr>
          <w:p w:rsidR="00C84896" w:rsidP="00C84896" w:rsidRDefault="00256819" w14:paraId="28AEC298" w14:textId="2B457086">
            <w:r>
              <w:t>R</w:t>
            </w:r>
            <w:r w:rsidR="00C84896">
              <w:t>elevant</w:t>
            </w:r>
          </w:p>
        </w:tc>
      </w:tr>
      <w:tr w:rsidR="00C84896" w:rsidTr="000130BA" w14:paraId="7076FD67" w14:textId="77777777">
        <w:tc>
          <w:tcPr>
            <w:tcW w:w="5382" w:type="dxa"/>
            <w:shd w:val="clear" w:color="auto" w:fill="auto"/>
          </w:tcPr>
          <w:p w:rsidRPr="00643545" w:rsidR="00C84896" w:rsidP="00C84896" w:rsidRDefault="00C84896" w14:paraId="45FF08C3" w14:textId="049640F4">
            <w:pPr>
              <w:pStyle w:val="Heading4"/>
              <w:spacing w:before="0" w:line="240" w:lineRule="auto"/>
              <w:rPr>
                <w:sz w:val="22"/>
                <w:szCs w:val="22"/>
              </w:rPr>
            </w:pPr>
            <w:r>
              <w:t>Gezondheid</w:t>
            </w:r>
          </w:p>
        </w:tc>
        <w:tc>
          <w:tcPr>
            <w:tcW w:w="1843" w:type="dxa"/>
            <w:shd w:val="clear" w:color="auto" w:fill="auto"/>
          </w:tcPr>
          <w:p w:rsidR="00C84896" w:rsidP="00C84896" w:rsidRDefault="00B14E62" w14:paraId="64000970" w14:textId="2D350942">
            <w:r>
              <w:t>R</w:t>
            </w:r>
            <w:r w:rsidR="00C84896">
              <w:t>elevant</w:t>
            </w:r>
          </w:p>
        </w:tc>
      </w:tr>
      <w:tr w:rsidR="00C84896" w:rsidTr="000130BA" w14:paraId="5A5A35C0" w14:textId="77777777">
        <w:tc>
          <w:tcPr>
            <w:tcW w:w="5382" w:type="dxa"/>
            <w:shd w:val="clear" w:color="auto" w:fill="auto"/>
          </w:tcPr>
          <w:p w:rsidR="00C84896" w:rsidP="00C84896" w:rsidRDefault="00C84896" w14:paraId="706FC658" w14:textId="2E30433B">
            <w:r>
              <w:t xml:space="preserve">Noodhulp </w:t>
            </w:r>
          </w:p>
        </w:tc>
        <w:tc>
          <w:tcPr>
            <w:tcW w:w="1843" w:type="dxa"/>
            <w:shd w:val="clear" w:color="auto" w:fill="auto"/>
          </w:tcPr>
          <w:p w:rsidR="00C84896" w:rsidP="00C84896" w:rsidRDefault="00B14E62" w14:paraId="0B190825" w14:textId="763F2756">
            <w:r>
              <w:t xml:space="preserve">Beperkt </w:t>
            </w:r>
            <w:r w:rsidR="00C84896">
              <w:t>relevant</w:t>
            </w:r>
          </w:p>
        </w:tc>
      </w:tr>
    </w:tbl>
    <w:p w:rsidR="00484AC1" w:rsidP="000F62B9" w:rsidRDefault="00484AC1" w14:paraId="04CFB3B1" w14:textId="77777777"/>
    <w:p w:rsidRPr="00B14E62" w:rsidR="00B14E62" w:rsidP="00C84896" w:rsidRDefault="00B14E62" w14:paraId="5A11A345" w14:textId="324BD97F">
      <w:proofErr w:type="spellStart"/>
      <w:r w:rsidRPr="00FC0071">
        <w:t>IFC’s</w:t>
      </w:r>
      <w:proofErr w:type="spellEnd"/>
      <w:r w:rsidRPr="00FC0071">
        <w:t xml:space="preserve"> mandaat en werkwijze zijn in lijn met meerdere Nederlandse BHO-prioriteiten, met name handel/private sectorontwikkeling, voedselzekerheid, water, en migratie. De combinatie van investeringen, beleidsadvies en samenwerking met Nederlandse partners maakt IFC een relevante uitvoerende en systeemactor.</w:t>
      </w:r>
      <w:r>
        <w:t xml:space="preserve"> </w:t>
      </w:r>
      <w:r w:rsidRPr="00FC0071">
        <w:t>MOPAN bevestigt de effectiviteit van IFC op deze domeinen, al vraagt de impact in fragiele staten, de zichtbaarheid van upstream-resultaten en verantwoording rond concessioneel kapitaal blijvende aandacht.</w:t>
      </w:r>
    </w:p>
    <w:p w:rsidR="00C4234E" w:rsidRDefault="00C4234E" w14:paraId="76914878" w14:textId="77777777">
      <w:pPr>
        <w:spacing w:line="240" w:lineRule="auto"/>
        <w:rPr>
          <w:b/>
          <w:bCs/>
        </w:rPr>
      </w:pPr>
      <w:bookmarkStart w:name="_Toc410140912" w:id="47"/>
      <w:bookmarkStart w:name="_Toc531336323" w:id="48"/>
    </w:p>
    <w:p w:rsidR="00B14E62" w:rsidP="00B14E62" w:rsidRDefault="00B14E62" w14:paraId="19160FAA" w14:textId="77777777">
      <w:r w:rsidRPr="003A2883">
        <w:rPr>
          <w:b/>
          <w:bCs/>
        </w:rPr>
        <w:t>Veiligheid</w:t>
      </w:r>
      <w:r w:rsidRPr="00E569F0">
        <w:t xml:space="preserve"> </w:t>
      </w:r>
    </w:p>
    <w:p w:rsidR="00B14E62" w:rsidP="00B14E62" w:rsidRDefault="00B14E62" w14:paraId="7E63AC85" w14:textId="77777777">
      <w:r w:rsidRPr="00E569F0">
        <w:rPr>
          <w:i/>
          <w:iCs/>
        </w:rPr>
        <w:t>Relevant</w:t>
      </w:r>
      <w:r w:rsidRPr="00921941">
        <w:t>.</w:t>
      </w:r>
      <w:r w:rsidRPr="00E569F0">
        <w:t xml:space="preserve"> IFC levert een bijdrage aan veiligheid en stabiliteit via private sectorontwikkeling in fragiele staten (FCS) en conflictherstelgebieden. Dit doet IFC onder meer via investeringen in infrastructuur, financiële instellingen en </w:t>
      </w:r>
      <w:proofErr w:type="spellStart"/>
      <w:r w:rsidRPr="00E569F0">
        <w:t>agribusiness</w:t>
      </w:r>
      <w:proofErr w:type="spellEnd"/>
      <w:r w:rsidRPr="00E569F0">
        <w:t xml:space="preserve"> in landen als Oekraïne, Soedan en de Hoorn van Afrika. De focus op marktopbouw in post-conflict contexten sluit aan bij de Nederlandse inzet voor stabiliteit via economische kansen. </w:t>
      </w:r>
      <w:proofErr w:type="spellStart"/>
      <w:r w:rsidRPr="00E569F0">
        <w:t>IFC’s</w:t>
      </w:r>
      <w:proofErr w:type="spellEnd"/>
      <w:r w:rsidRPr="00E569F0">
        <w:t xml:space="preserve"> werk draagt bij aan het versterken van de rechtsstaat, onder meer via betere </w:t>
      </w:r>
      <w:r w:rsidRPr="00E569F0">
        <w:rPr>
          <w:i/>
          <w:iCs/>
        </w:rPr>
        <w:t xml:space="preserve">corporate </w:t>
      </w:r>
      <w:proofErr w:type="spellStart"/>
      <w:r w:rsidRPr="00E569F0">
        <w:rPr>
          <w:i/>
          <w:iCs/>
        </w:rPr>
        <w:t>governance</w:t>
      </w:r>
      <w:proofErr w:type="spellEnd"/>
      <w:r w:rsidRPr="00E569F0">
        <w:t xml:space="preserve">, toegang tot financiering voor mkb’s, en ondersteuning van de formele economie. </w:t>
      </w:r>
      <w:r w:rsidRPr="00921941">
        <w:t>Tegelijk blijft de impact in fragiele staten aantoonbaar achter bij andere landen, zoals MOPAN ook signaleert (p. 44), waaruit blijkt dat het aandeel succesvolle ontwikkelingsresultaten in FCS lager ligt dan in niet-FCS-landen. In Oekraïne speelt IFC een cruciale rol voor private sectorontwikkeling door economische continuïteit te ondersteunen tijdens de oorlog. IFC verstrekt financiering aan lokale banken en bedrijven voor het in stand houden van kredietverlening, import van essentiële goederen, en herstel van kritieke infrastructuur. Via partnerschappen helpt IFC graanexport, energievoorziening en transportlogistiek draaiende te houden. Ook bereidt IFC samen met de Oekraïense overheid hervormingen voor om in de wederopbouwfase meer private investeringen aan te trekken. Hiermee ondersteunt IFC de veerkracht van de Oekraïense economie, een inzet die past binnen de Nederlandse prioriteit voor veiligheid via economische weerbaarheid.</w:t>
      </w:r>
    </w:p>
    <w:p w:rsidR="00B14E62" w:rsidP="00B14E62" w:rsidRDefault="00B14E62" w14:paraId="26DAFE4D" w14:textId="77777777"/>
    <w:p w:rsidRPr="00921941" w:rsidR="00B14E62" w:rsidP="00B14E62" w:rsidRDefault="00B14E62" w14:paraId="58EA30A9" w14:textId="77777777"/>
    <w:p w:rsidR="00B14E62" w:rsidP="00B14E62" w:rsidRDefault="00B14E62" w14:paraId="2B59A64D" w14:textId="77777777">
      <w:r w:rsidRPr="003A2883">
        <w:rPr>
          <w:b/>
          <w:bCs/>
        </w:rPr>
        <w:t>Migratie</w:t>
      </w:r>
      <w:r w:rsidRPr="00446925">
        <w:rPr>
          <w:b/>
          <w:bCs/>
        </w:rPr>
        <w:t xml:space="preserve"> </w:t>
      </w:r>
    </w:p>
    <w:p w:rsidRPr="00921941" w:rsidR="00B14E62" w:rsidP="00B14E62" w:rsidRDefault="00B14E62" w14:paraId="294DA8D2" w14:textId="77777777">
      <w:r w:rsidRPr="00446925">
        <w:rPr>
          <w:i/>
          <w:iCs/>
        </w:rPr>
        <w:t>Relevant</w:t>
      </w:r>
      <w:r w:rsidRPr="00921941">
        <w:t>.</w:t>
      </w:r>
      <w:r w:rsidRPr="00446925">
        <w:t xml:space="preserve"> </w:t>
      </w:r>
      <w:r w:rsidRPr="00921941">
        <w:t xml:space="preserve">De inzet van IFC binnen het PROSPECTS-partnerschap (met UNHCR, UNICEF, ILO en de Wereldbank) onderstreept haar actieve rol op het snijvlak van ontwikkelingssamenwerking en migratie. Binnen dit partnerschap richt IFC zich op het versterken van werkgelegenheid, ondernemerschap en inclusieve financiering in gastgemeenschappen, onder meer in Ethiopië, Jordanië en Oeganda. IFC levert investeringen in onder andere microfinanciering, opleidingsprogramma’s en ondersteuning van lokale mkb’s, vaak in combinatie met </w:t>
      </w:r>
      <w:proofErr w:type="spellStart"/>
      <w:r w:rsidRPr="00921941">
        <w:rPr>
          <w:i/>
          <w:iCs/>
        </w:rPr>
        <w:t>blended</w:t>
      </w:r>
      <w:proofErr w:type="spellEnd"/>
      <w:r w:rsidRPr="00921941">
        <w:rPr>
          <w:i/>
          <w:iCs/>
        </w:rPr>
        <w:t xml:space="preserve"> </w:t>
      </w:r>
      <w:proofErr w:type="spellStart"/>
      <w:r w:rsidRPr="00921941">
        <w:rPr>
          <w:i/>
          <w:iCs/>
        </w:rPr>
        <w:t>finance</w:t>
      </w:r>
      <w:proofErr w:type="spellEnd"/>
      <w:r w:rsidRPr="00921941">
        <w:t xml:space="preserve">. Nederland is een belangrijke financier en mede-initiatiefnemer van het PROSPECTS-partnerschap. </w:t>
      </w:r>
      <w:proofErr w:type="spellStart"/>
      <w:r w:rsidRPr="00921941">
        <w:t>IFC’s</w:t>
      </w:r>
      <w:proofErr w:type="spellEnd"/>
      <w:r w:rsidRPr="00921941">
        <w:t xml:space="preserve"> rol hierin is drieledig: uitvoerend (via investeringen), </w:t>
      </w:r>
      <w:proofErr w:type="spellStart"/>
      <w:r w:rsidRPr="00921941">
        <w:lastRenderedPageBreak/>
        <w:t>beleidsadviserend</w:t>
      </w:r>
      <w:proofErr w:type="spellEnd"/>
      <w:r w:rsidRPr="00921941">
        <w:t xml:space="preserve"> (via upstream-activiteiten gericht op het investeringsklimaat), en coördinerend binnen het multilaterale kader van PROSPECTS.</w:t>
      </w:r>
    </w:p>
    <w:p w:rsidRPr="00921941" w:rsidR="00B14E62" w:rsidP="00B14E62" w:rsidRDefault="00B14E62" w14:paraId="235259C1" w14:textId="77777777">
      <w:pPr>
        <w:rPr>
          <w:b/>
          <w:bCs/>
        </w:rPr>
      </w:pPr>
    </w:p>
    <w:p w:rsidR="00B14E62" w:rsidP="00B14E62" w:rsidRDefault="00B14E62" w14:paraId="294A164F" w14:textId="77777777">
      <w:pPr>
        <w:rPr>
          <w:b/>
          <w:bCs/>
        </w:rPr>
      </w:pPr>
      <w:r w:rsidRPr="003A2883">
        <w:rPr>
          <w:b/>
          <w:bCs/>
        </w:rPr>
        <w:t>Handel</w:t>
      </w:r>
      <w:r w:rsidRPr="00921941">
        <w:rPr>
          <w:b/>
          <w:bCs/>
        </w:rPr>
        <w:t xml:space="preserve"> </w:t>
      </w:r>
    </w:p>
    <w:p w:rsidRPr="002D3A87" w:rsidR="00B14E62" w:rsidP="00B14E62" w:rsidRDefault="00B14E62" w14:paraId="1A469C55" w14:textId="1B6C3C44">
      <w:r w:rsidRPr="00446925">
        <w:rPr>
          <w:i/>
          <w:iCs/>
        </w:rPr>
        <w:t>Zeer Relevant</w:t>
      </w:r>
      <w:r w:rsidRPr="00921941">
        <w:rPr>
          <w:i/>
          <w:iCs/>
        </w:rPr>
        <w:t>.</w:t>
      </w:r>
      <w:r w:rsidRPr="00446925">
        <w:t xml:space="preserve"> </w:t>
      </w:r>
      <w:r w:rsidRPr="002D3A87">
        <w:t xml:space="preserve">Private sectorontwikkeling is het kernmandaat van IFC. In FY23 investeerde IFC USD 43,7 miljard, grotendeels gericht op het stimuleren van ondernemerschap, toegang tot financiering, werkgelegenheid en handel. IFC is een systeemspeler voor marktopbouw, levert beleidsadvies en speelt een centrale rol in mobilisatie van kapitaal voor ontwikkelingsimpact (zie ook p. 15, 30). Tijdens de COVID-19-pandemie speelde IFC een kritieke rol in het bieden van liquiditeitssteun aan banken en bedrijven in ontwikkelingslanden, onder meer via het </w:t>
      </w:r>
      <w:proofErr w:type="spellStart"/>
      <w:r w:rsidRPr="002D3A87">
        <w:t>Fast</w:t>
      </w:r>
      <w:proofErr w:type="spellEnd"/>
      <w:r w:rsidRPr="002D3A87">
        <w:t>-Track COVID-19 Facility van USD 8 miljard. Hiermee werd de continuïteit van financiering en handel in kwetsbare markten ondersteund.</w:t>
      </w:r>
    </w:p>
    <w:p w:rsidRPr="00921941" w:rsidR="00B14E62" w:rsidP="00B14E62" w:rsidRDefault="00B14E62" w14:paraId="21E8353C" w14:textId="77777777"/>
    <w:p w:rsidR="00B14E62" w:rsidP="00B14E62" w:rsidRDefault="00B14E62" w14:paraId="644EF5CB" w14:textId="77777777">
      <w:pPr>
        <w:rPr>
          <w:b/>
          <w:bCs/>
        </w:rPr>
      </w:pPr>
      <w:r w:rsidRPr="003A2883">
        <w:rPr>
          <w:b/>
          <w:bCs/>
        </w:rPr>
        <w:t>Voedselzekerheid</w:t>
      </w:r>
    </w:p>
    <w:p w:rsidRPr="00921941" w:rsidR="00B14E62" w:rsidP="00B14E62" w:rsidRDefault="00B14E62" w14:paraId="44385306" w14:textId="77777777">
      <w:r w:rsidRPr="002D3A87">
        <w:rPr>
          <w:i/>
          <w:iCs/>
        </w:rPr>
        <w:t>Relevant</w:t>
      </w:r>
      <w:r w:rsidRPr="00921941">
        <w:rPr>
          <w:i/>
          <w:iCs/>
        </w:rPr>
        <w:t>.</w:t>
      </w:r>
      <w:r w:rsidRPr="002D3A87">
        <w:t xml:space="preserve"> IFC financiert agro-industrie, voedselketens en </w:t>
      </w:r>
      <w:proofErr w:type="spellStart"/>
      <w:r w:rsidRPr="002D3A87">
        <w:t>klimaatslimme</w:t>
      </w:r>
      <w:proofErr w:type="spellEnd"/>
      <w:r w:rsidRPr="002D3A87">
        <w:t xml:space="preserve"> landbouw, onder andere via het Global </w:t>
      </w:r>
      <w:proofErr w:type="spellStart"/>
      <w:r w:rsidRPr="002D3A87">
        <w:t>Agribusiness</w:t>
      </w:r>
      <w:proofErr w:type="spellEnd"/>
      <w:r w:rsidRPr="002D3A87">
        <w:t xml:space="preserve"> </w:t>
      </w:r>
      <w:proofErr w:type="spellStart"/>
      <w:r w:rsidRPr="002D3A87">
        <w:t>and</w:t>
      </w:r>
      <w:proofErr w:type="spellEnd"/>
      <w:r w:rsidRPr="002D3A87">
        <w:t xml:space="preserve"> Food Security Program. Ook in combinatie met </w:t>
      </w:r>
      <w:proofErr w:type="spellStart"/>
      <w:r w:rsidRPr="00921941">
        <w:rPr>
          <w:i/>
          <w:iCs/>
        </w:rPr>
        <w:t>blended</w:t>
      </w:r>
      <w:proofErr w:type="spellEnd"/>
      <w:r w:rsidRPr="00921941">
        <w:rPr>
          <w:i/>
          <w:iCs/>
        </w:rPr>
        <w:t xml:space="preserve"> </w:t>
      </w:r>
      <w:proofErr w:type="spellStart"/>
      <w:r w:rsidRPr="00921941">
        <w:rPr>
          <w:i/>
          <w:iCs/>
        </w:rPr>
        <w:t>finance</w:t>
      </w:r>
      <w:proofErr w:type="spellEnd"/>
      <w:r w:rsidRPr="002D3A87">
        <w:t xml:space="preserve">, zoals via de Private Sector </w:t>
      </w:r>
      <w:proofErr w:type="spellStart"/>
      <w:r w:rsidRPr="002D3A87">
        <w:t>Window</w:t>
      </w:r>
      <w:proofErr w:type="spellEnd"/>
      <w:r w:rsidRPr="002D3A87">
        <w:t xml:space="preserve"> (IDA-PSW), speelt IFC een belangrijke rol</w:t>
      </w:r>
      <w:r w:rsidRPr="00921941">
        <w:t>, ook in de armste landen</w:t>
      </w:r>
      <w:r w:rsidRPr="002D3A87">
        <w:t>. In regio's als Sub-Sahara Afrika versterkt IFC toegang tot markten, voedselproductie en agrarisch mkb.</w:t>
      </w:r>
    </w:p>
    <w:p w:rsidRPr="002D3A87" w:rsidR="00B14E62" w:rsidP="00B14E62" w:rsidRDefault="00B14E62" w14:paraId="3FD5E4B2" w14:textId="77777777"/>
    <w:p w:rsidR="00B14E62" w:rsidP="00B14E62" w:rsidRDefault="00B14E62" w14:paraId="0BB36080" w14:textId="77777777">
      <w:r w:rsidRPr="003A2883">
        <w:rPr>
          <w:b/>
          <w:bCs/>
        </w:rPr>
        <w:t>Water</w:t>
      </w:r>
    </w:p>
    <w:p w:rsidRPr="00921941" w:rsidR="00B14E62" w:rsidP="00B14E62" w:rsidRDefault="00B14E62" w14:paraId="7B89CE30" w14:textId="77777777">
      <w:r w:rsidRPr="002D3A87">
        <w:rPr>
          <w:i/>
          <w:iCs/>
        </w:rPr>
        <w:t>Relevant</w:t>
      </w:r>
      <w:r w:rsidRPr="00921941">
        <w:rPr>
          <w:i/>
          <w:iCs/>
        </w:rPr>
        <w:t>.</w:t>
      </w:r>
      <w:r w:rsidRPr="002D3A87">
        <w:t xml:space="preserve"> </w:t>
      </w:r>
      <w:r w:rsidRPr="00921941">
        <w:t xml:space="preserve">Via projecten in de agrarische sector richt IFC zich op efficiënt watergebruik, irrigatie en waterbesparende technologieën. IFC investeert in waterinfrastructuur, bijvoorbeeld stedelijke watervoorziening en zuiveringsinstallaties, in samenwerking met partners als FMO. </w:t>
      </w:r>
      <w:proofErr w:type="spellStart"/>
      <w:r w:rsidRPr="00921941">
        <w:rPr>
          <w:i/>
          <w:iCs/>
        </w:rPr>
        <w:t>Blended</w:t>
      </w:r>
      <w:proofErr w:type="spellEnd"/>
      <w:r w:rsidRPr="00921941">
        <w:rPr>
          <w:i/>
          <w:iCs/>
        </w:rPr>
        <w:t xml:space="preserve"> </w:t>
      </w:r>
      <w:proofErr w:type="spellStart"/>
      <w:r w:rsidRPr="00921941">
        <w:rPr>
          <w:i/>
          <w:iCs/>
        </w:rPr>
        <w:t>finance</w:t>
      </w:r>
      <w:proofErr w:type="spellEnd"/>
      <w:r w:rsidRPr="00921941">
        <w:t xml:space="preserve"> wordt ingezet wanneer investeringen commercieel niet rendabel zijn, bijvoorbeeld vanwege lange terugverdientijden of hoge risico’s. In toenemende mate werkt IFC ook aan de integratie van waterzekerheid in klimaatbestendige stedelijke ontwikkeling, met name in Afrika en Zuid-Azië.</w:t>
      </w:r>
    </w:p>
    <w:p w:rsidRPr="00921941" w:rsidR="00B14E62" w:rsidP="00B14E62" w:rsidRDefault="00B14E62" w14:paraId="70B7F069" w14:textId="77777777"/>
    <w:p w:rsidR="00B14E62" w:rsidP="00B14E62" w:rsidRDefault="00B14E62" w14:paraId="5B8ED86A" w14:textId="77777777">
      <w:pPr>
        <w:rPr>
          <w:b/>
          <w:bCs/>
        </w:rPr>
      </w:pPr>
      <w:r w:rsidRPr="003A2883">
        <w:rPr>
          <w:b/>
          <w:bCs/>
        </w:rPr>
        <w:t>Gezondheid</w:t>
      </w:r>
    </w:p>
    <w:p w:rsidRPr="00921941" w:rsidR="00B14E62" w:rsidP="00B14E62" w:rsidRDefault="00B14E62" w14:paraId="1211467C" w14:textId="77777777">
      <w:r w:rsidRPr="00FC0071">
        <w:rPr>
          <w:i/>
          <w:iCs/>
        </w:rPr>
        <w:t>Relevant</w:t>
      </w:r>
      <w:r w:rsidRPr="00921941">
        <w:rPr>
          <w:i/>
          <w:iCs/>
        </w:rPr>
        <w:t>.</w:t>
      </w:r>
      <w:r w:rsidRPr="00FC0071">
        <w:t xml:space="preserve"> </w:t>
      </w:r>
      <w:r w:rsidRPr="00921941">
        <w:t xml:space="preserve">IFC investeert in private gezondheidszorg, farmaceutische ketens, ziekenhuizen en diagnostische centra, vaak in combinatie met upstream-advies voor marktontwikkeling. Via </w:t>
      </w:r>
      <w:proofErr w:type="spellStart"/>
      <w:r w:rsidRPr="00921941">
        <w:rPr>
          <w:i/>
        </w:rPr>
        <w:t>blended</w:t>
      </w:r>
      <w:proofErr w:type="spellEnd"/>
      <w:r w:rsidRPr="00921941">
        <w:rPr>
          <w:i/>
        </w:rPr>
        <w:t xml:space="preserve"> </w:t>
      </w:r>
      <w:proofErr w:type="spellStart"/>
      <w:r w:rsidRPr="00921941">
        <w:rPr>
          <w:i/>
        </w:rPr>
        <w:t>finance</w:t>
      </w:r>
      <w:proofErr w:type="spellEnd"/>
      <w:r w:rsidRPr="00921941">
        <w:t xml:space="preserve"> ondersteunt IFC private zorgaanbieders in lage-inkomenslanden (</w:t>
      </w:r>
      <w:proofErr w:type="spellStart"/>
      <w:r w:rsidRPr="00921941">
        <w:t>LICs</w:t>
      </w:r>
      <w:proofErr w:type="spellEnd"/>
      <w:r w:rsidRPr="00921941">
        <w:t>) en fragiele contexten (FCS), waar de commerciële risico’s hoog zijn en publieke capaciteit beperkt is. IFC richt zich tevens op het versterken van gezondheidsinfrastructuur als onderdeel van bredere inzet op veerkrachtige gemeenschappen, waaronder financiering van zorg tijdens en na pandemieën. Deze inzet sluit aan bij de Nederlandse inzet op universele gezondheidszorg en versterking van gezondheidsstelsels.</w:t>
      </w:r>
    </w:p>
    <w:p w:rsidRPr="00FC0071" w:rsidR="00B14E62" w:rsidP="00B14E62" w:rsidRDefault="00B14E62" w14:paraId="3BC9ACB5" w14:textId="77777777"/>
    <w:p w:rsidR="00B14E62" w:rsidP="00B14E62" w:rsidRDefault="00B14E62" w14:paraId="42F3754B" w14:textId="77777777">
      <w:pPr>
        <w:rPr>
          <w:b/>
          <w:bCs/>
        </w:rPr>
      </w:pPr>
      <w:r w:rsidRPr="003A2883">
        <w:rPr>
          <w:b/>
          <w:bCs/>
        </w:rPr>
        <w:t>Noodhulp</w:t>
      </w:r>
    </w:p>
    <w:p w:rsidRPr="00FC0071" w:rsidR="00B14E62" w:rsidP="00B14E62" w:rsidRDefault="00B14E62" w14:paraId="10E79A69" w14:textId="77777777">
      <w:r w:rsidRPr="00FC0071">
        <w:rPr>
          <w:i/>
          <w:iCs/>
        </w:rPr>
        <w:t>Beperkt relevant</w:t>
      </w:r>
      <w:r w:rsidRPr="00921941">
        <w:t>.</w:t>
      </w:r>
      <w:r w:rsidRPr="00FC0071">
        <w:t xml:space="preserve"> </w:t>
      </w:r>
      <w:r w:rsidRPr="00921941">
        <w:t>Als private sectorinstelling speelt IFC geen klassieke humanitaire rol, maar draagt zij via financiering bij aan economische veerkracht in crisissituaties. Tijdens de COVID-crisis en de oorlog in Oekraïne heeft IFC versneld leningen en liquiditeitssteun verleend aan lokale banken en bedrijven. De rol is aanvullend, gericht op herstel en markten in stand houden. In Oekraïne is deze rol zichtbaar gegroeid: IFC ondersteunt economische continuïteit en wederopbouw, onder meer via financiering van essentiële goederen, infrastructuur en hervormingsprocessen. Deze rol overstijgt traditionele noodhulp, maar blijft binnen het mandaat gericht op economische weerbaarheid.</w:t>
      </w:r>
    </w:p>
    <w:p w:rsidRPr="00921941" w:rsidR="00B14E62" w:rsidP="00B14E62" w:rsidRDefault="00B14E62" w14:paraId="0659FB6E" w14:textId="77777777"/>
    <w:p w:rsidRPr="002E79A1" w:rsidR="00C4234E" w:rsidP="007E0D4F" w:rsidRDefault="00C4234E" w14:paraId="7A16E9CF" w14:textId="77777777">
      <w:pPr>
        <w:pStyle w:val="Heading2"/>
        <w:tabs>
          <w:tab w:val="left" w:pos="-1162"/>
          <w:tab w:val="left" w:pos="0"/>
          <w:tab w:val="num" w:pos="1160"/>
        </w:tabs>
        <w:spacing w:line="240" w:lineRule="auto"/>
        <w:ind w:hanging="1162"/>
      </w:pPr>
      <w:bookmarkStart w:name="_Toc205306257" w:id="49"/>
      <w:r>
        <w:lastRenderedPageBreak/>
        <w:t>5.2</w:t>
      </w:r>
      <w:r>
        <w:tab/>
        <w:t>Overige relevantie</w:t>
      </w:r>
      <w:bookmarkEnd w:id="49"/>
      <w:r>
        <w:t xml:space="preserve"> </w:t>
      </w:r>
    </w:p>
    <w:p w:rsidR="00C4234E" w:rsidP="00C4234E" w:rsidRDefault="00C4234E" w14:paraId="502826CD" w14:textId="3BECFE0A">
      <w:pPr>
        <w:rPr>
          <w:b/>
          <w:bCs/>
        </w:rPr>
      </w:pPr>
    </w:p>
    <w:p w:rsidR="00B14E62" w:rsidP="00B14E62" w:rsidRDefault="00B14E62" w14:paraId="35D27302" w14:textId="77777777">
      <w:pPr>
        <w:rPr>
          <w:i/>
          <w:iCs/>
        </w:rPr>
      </w:pPr>
      <w:r w:rsidRPr="007F5189">
        <w:rPr>
          <w:b/>
          <w:bCs/>
        </w:rPr>
        <w:t>Klimaat en energietransitie</w:t>
      </w:r>
      <w:r w:rsidRPr="006E376A">
        <w:rPr>
          <w:i/>
          <w:iCs/>
        </w:rPr>
        <w:t xml:space="preserve"> </w:t>
      </w:r>
    </w:p>
    <w:p w:rsidR="00B14E62" w:rsidP="00B14E62" w:rsidRDefault="00B14E62" w14:paraId="6592E6AC" w14:textId="77777777">
      <w:r w:rsidRPr="006E376A">
        <w:rPr>
          <w:i/>
          <w:iCs/>
        </w:rPr>
        <w:t>Zeer relevant</w:t>
      </w:r>
      <w:r w:rsidRPr="00921941">
        <w:rPr>
          <w:i/>
          <w:iCs/>
        </w:rPr>
        <w:t xml:space="preserve">. </w:t>
      </w:r>
      <w:r w:rsidRPr="006E376A">
        <w:t>IFC</w:t>
      </w:r>
      <w:r w:rsidRPr="00921941">
        <w:t xml:space="preserve"> </w:t>
      </w:r>
      <w:r w:rsidRPr="006E376A">
        <w:t xml:space="preserve">speelt een belangrijke rol in financiering van duurzame energie, energie-efficiëntie en </w:t>
      </w:r>
      <w:proofErr w:type="spellStart"/>
      <w:r w:rsidRPr="006E376A">
        <w:t>klimaatslimme</w:t>
      </w:r>
      <w:proofErr w:type="spellEnd"/>
      <w:r w:rsidRPr="006E376A">
        <w:t xml:space="preserve"> stedelijke ontwikkeling. In FY23 </w:t>
      </w:r>
      <w:r w:rsidRPr="00921941">
        <w:t xml:space="preserve">was </w:t>
      </w:r>
      <w:r w:rsidRPr="006E376A">
        <w:t>35% van de totale investering geclassificeerd als “</w:t>
      </w:r>
      <w:proofErr w:type="spellStart"/>
      <w:r w:rsidRPr="006E376A">
        <w:t>climate</w:t>
      </w:r>
      <w:proofErr w:type="spellEnd"/>
      <w:r w:rsidRPr="006E376A">
        <w:t xml:space="preserve"> </w:t>
      </w:r>
      <w:proofErr w:type="spellStart"/>
      <w:r w:rsidRPr="006E376A">
        <w:t>finance</w:t>
      </w:r>
      <w:proofErr w:type="spellEnd"/>
      <w:r w:rsidRPr="006E376A">
        <w:t>”. IFC ondersteunt onder andere zonne-energieprojecten in Afrika en Azië, energiezuinige gebouwen, en klimaatadaptatie in kwetsbare gebieden. Nederland hecht aan versnelling van de energietransitie via private financiering – een domein waarin IFC een sleutelrol vervult.</w:t>
      </w:r>
      <w:r w:rsidRPr="00921941">
        <w:rPr>
          <w:rStyle w:val="FootnoteReference"/>
        </w:rPr>
        <w:footnoteReference w:id="7"/>
      </w:r>
    </w:p>
    <w:p w:rsidR="003F768F" w:rsidP="00B14E62" w:rsidRDefault="003F768F" w14:paraId="6D910B23" w14:textId="77777777"/>
    <w:p w:rsidRPr="001A2D62" w:rsidR="003F768F" w:rsidP="003F768F" w:rsidRDefault="003F768F" w14:paraId="16343749" w14:textId="11358870">
      <w:pPr>
        <w:rPr>
          <w:b/>
          <w:bCs/>
        </w:rPr>
      </w:pPr>
      <w:r>
        <w:rPr>
          <w:b/>
          <w:bCs/>
        </w:rPr>
        <w:t xml:space="preserve">Samenwerking </w:t>
      </w:r>
      <w:r w:rsidRPr="001A2D62">
        <w:rPr>
          <w:b/>
          <w:bCs/>
        </w:rPr>
        <w:t>Nederlands bedrij</w:t>
      </w:r>
      <w:r>
        <w:rPr>
          <w:b/>
          <w:bCs/>
        </w:rPr>
        <w:t>fsleven</w:t>
      </w:r>
    </w:p>
    <w:p w:rsidR="003F768F" w:rsidP="003F768F" w:rsidRDefault="003F768F" w14:paraId="6CB7085E" w14:textId="45816F87">
      <w:r>
        <w:rPr>
          <w:i/>
          <w:iCs/>
        </w:rPr>
        <w:t xml:space="preserve">Zeer relevant. </w:t>
      </w:r>
      <w:r w:rsidRPr="002D3A87">
        <w:t xml:space="preserve">IFC werkt actief samen met Nederlandse bedrijven en </w:t>
      </w:r>
      <w:r>
        <w:t>investeerders.</w:t>
      </w:r>
      <w:r w:rsidRPr="003F768F">
        <w:t xml:space="preserve"> </w:t>
      </w:r>
      <w:r>
        <w:t xml:space="preserve">Figuur 1 weergeeft de totale portfolio aan USD 1,8 miljard aan investeringen van de IFC waar Nederlandse bedrijven en organisaties betrokken bij zijn. Zo is Nederlandse Financieringsmaatschappij voor Ontwikkelingslanden (FMO) een van de grootste mede-investeerder van de IFC en investeren Nederlandse bedrijven zoals de Rabobank en Royal </w:t>
      </w:r>
      <w:proofErr w:type="spellStart"/>
      <w:r>
        <w:t>FrieslandCampina</w:t>
      </w:r>
      <w:proofErr w:type="spellEnd"/>
      <w:r>
        <w:t xml:space="preserve"> samen met de IFC in landen zoals Tanzania en Pakistan.</w:t>
      </w:r>
      <w:r>
        <w:rPr>
          <w:rStyle w:val="FootnoteReference"/>
        </w:rPr>
        <w:footnoteReference w:id="8"/>
      </w:r>
    </w:p>
    <w:p w:rsidRPr="00921941" w:rsidR="00B14E62" w:rsidP="00B14E62" w:rsidRDefault="00B14E62" w14:paraId="4FA8313F" w14:textId="77777777"/>
    <w:p w:rsidR="00B14E62" w:rsidP="00B14E62" w:rsidRDefault="00B14E62" w14:paraId="027612C9" w14:textId="77777777">
      <w:pPr>
        <w:rPr>
          <w:i/>
          <w:iCs/>
        </w:rPr>
      </w:pPr>
      <w:r w:rsidRPr="007F5189">
        <w:rPr>
          <w:b/>
          <w:bCs/>
        </w:rPr>
        <w:t>Regionale integratie</w:t>
      </w:r>
      <w:r w:rsidRPr="006E376A">
        <w:rPr>
          <w:i/>
          <w:iCs/>
        </w:rPr>
        <w:t xml:space="preserve"> </w:t>
      </w:r>
    </w:p>
    <w:p w:rsidRPr="006E376A" w:rsidR="00B14E62" w:rsidP="00B14E62" w:rsidRDefault="00B14E62" w14:paraId="06BB54C8" w14:textId="77777777">
      <w:r w:rsidRPr="006E376A">
        <w:rPr>
          <w:i/>
          <w:iCs/>
        </w:rPr>
        <w:t>Relevant</w:t>
      </w:r>
      <w:r w:rsidRPr="00921941">
        <w:rPr>
          <w:i/>
          <w:iCs/>
        </w:rPr>
        <w:t xml:space="preserve">. </w:t>
      </w:r>
      <w:r w:rsidRPr="006E376A">
        <w:t>IFC draagt bij aan regionale integratie door te investeren in grensoverschrijdende infrastructuur, logistieke netwerken en regionale financiële markten. Zo ondersteunt IFC handelscorridors, energieverbindingen en digitale infrastructuur in Oost-Afrika, Zuid-Azië en Latijns-Amerika. In regio’s met kleine of gefragmenteerde markten, zoals de Hoorn van Afrika, helpt IFC schaalvoordelen en connectiviteit te realiseren.</w:t>
      </w:r>
      <w:r w:rsidRPr="00921941">
        <w:rPr>
          <w:rStyle w:val="FootnoteReference"/>
        </w:rPr>
        <w:footnoteReference w:id="9"/>
      </w:r>
      <w:r w:rsidRPr="006E376A">
        <w:t xml:space="preserve"> Deze inzet sluit aan bij het Nederlandse belang in versterkte regionale stabiliteit, economische samenwerking en toegang tot markten voor Nederlandse bedrijven.</w:t>
      </w:r>
      <w:r w:rsidRPr="00921941">
        <w:rPr>
          <w:rStyle w:val="FootnoteReference"/>
        </w:rPr>
        <w:footnoteReference w:id="10"/>
      </w:r>
    </w:p>
    <w:p w:rsidRPr="00921941" w:rsidR="00B14E62" w:rsidP="00B14E62" w:rsidRDefault="00B14E62" w14:paraId="5BB03321" w14:textId="77777777"/>
    <w:p w:rsidR="00B14E62" w:rsidP="00B14E62" w:rsidRDefault="00B14E62" w14:paraId="11A66BD9" w14:textId="77777777">
      <w:pPr>
        <w:rPr>
          <w:i/>
          <w:iCs/>
        </w:rPr>
      </w:pPr>
      <w:r w:rsidRPr="007F5189">
        <w:rPr>
          <w:b/>
          <w:bCs/>
        </w:rPr>
        <w:t>Gendergelijkheid en inclusiviteit</w:t>
      </w:r>
    </w:p>
    <w:p w:rsidRPr="00921941" w:rsidR="00B14E62" w:rsidP="00B14E62" w:rsidRDefault="00B14E62" w14:paraId="3884197B" w14:textId="77777777">
      <w:r w:rsidRPr="006E376A">
        <w:rPr>
          <w:i/>
          <w:iCs/>
        </w:rPr>
        <w:t>Relevant</w:t>
      </w:r>
      <w:r w:rsidRPr="00921941">
        <w:rPr>
          <w:i/>
          <w:iCs/>
        </w:rPr>
        <w:t>.</w:t>
      </w:r>
      <w:r w:rsidRPr="00921941">
        <w:rPr>
          <w:b/>
          <w:bCs/>
        </w:rPr>
        <w:t xml:space="preserve"> </w:t>
      </w:r>
      <w:proofErr w:type="spellStart"/>
      <w:r w:rsidRPr="006E376A">
        <w:t>IFC’s</w:t>
      </w:r>
      <w:proofErr w:type="spellEnd"/>
      <w:r w:rsidRPr="006E376A">
        <w:t xml:space="preserve"> inzet op gendergelijkheid is verankerd in </w:t>
      </w:r>
      <w:r w:rsidRPr="00921941">
        <w:t xml:space="preserve">de Wereldbankgroep-brede </w:t>
      </w:r>
      <w:r w:rsidRPr="006E376A">
        <w:t xml:space="preserve">strategie: </w:t>
      </w:r>
      <w:r w:rsidRPr="00921941">
        <w:t xml:space="preserve">IFC </w:t>
      </w:r>
      <w:r w:rsidRPr="006E376A">
        <w:t xml:space="preserve">organisatie stimuleert de toegang van vrouwen tot financiering, ondernemerschap en werkgelegenheid. Programma’s zoals </w:t>
      </w:r>
      <w:r w:rsidRPr="006E376A">
        <w:rPr>
          <w:i/>
          <w:iCs/>
        </w:rPr>
        <w:t xml:space="preserve">Banking on </w:t>
      </w:r>
      <w:proofErr w:type="spellStart"/>
      <w:r w:rsidRPr="006E376A">
        <w:rPr>
          <w:i/>
          <w:iCs/>
        </w:rPr>
        <w:t>Women</w:t>
      </w:r>
      <w:proofErr w:type="spellEnd"/>
      <w:r w:rsidRPr="00921941">
        <w:rPr>
          <w:rStyle w:val="FootnoteReference"/>
          <w:i/>
          <w:iCs/>
        </w:rPr>
        <w:footnoteReference w:id="11"/>
      </w:r>
      <w:r w:rsidRPr="006E376A">
        <w:t xml:space="preserve"> ondersteunen financiële instellingen bij het ontwikkelen van producten voor vrouwelijke ondernemers. In het kader van het Nederlandse genderbeleid is deze inzet relevant voor empowerment en economische participatie.</w:t>
      </w:r>
      <w:r w:rsidRPr="00921941">
        <w:rPr>
          <w:rStyle w:val="FootnoteReference"/>
        </w:rPr>
        <w:footnoteReference w:id="12"/>
      </w:r>
    </w:p>
    <w:p w:rsidRPr="00921941" w:rsidR="00B14E62" w:rsidP="00B14E62" w:rsidRDefault="00B14E62" w14:paraId="3ED25F9F" w14:textId="77777777"/>
    <w:p w:rsidR="00B14E62" w:rsidP="00B14E62" w:rsidRDefault="00B14E62" w14:paraId="27AB2BBB" w14:textId="77777777">
      <w:pPr>
        <w:rPr>
          <w:b/>
          <w:bCs/>
        </w:rPr>
      </w:pPr>
      <w:r w:rsidRPr="007F5189">
        <w:rPr>
          <w:b/>
          <w:bCs/>
        </w:rPr>
        <w:t>Digitalisering en toegang tot digitale markten</w:t>
      </w:r>
    </w:p>
    <w:p w:rsidR="00C4234E" w:rsidP="00726775" w:rsidRDefault="00B14E62" w14:paraId="601364BA" w14:textId="20C7CFAB">
      <w:pPr>
        <w:rPr>
          <w:rFonts w:cs="Arial"/>
          <w:b/>
          <w:iCs/>
          <w:kern w:val="32"/>
          <w:szCs w:val="28"/>
        </w:rPr>
      </w:pPr>
      <w:r w:rsidRPr="006E376A">
        <w:rPr>
          <w:i/>
          <w:iCs/>
        </w:rPr>
        <w:t>Relevant</w:t>
      </w:r>
      <w:r w:rsidRPr="00921941">
        <w:rPr>
          <w:i/>
          <w:iCs/>
        </w:rPr>
        <w:t>.</w:t>
      </w:r>
      <w:r w:rsidRPr="00921941">
        <w:rPr>
          <w:b/>
          <w:bCs/>
        </w:rPr>
        <w:t xml:space="preserve"> </w:t>
      </w:r>
      <w:r w:rsidRPr="00A07CC8">
        <w:t>IFC investeert in digitale infrastructuur en technologie via haar TMT-portefeuille (Telecom, Media, Technology). Met meer dan USD 9,6 miljard aan gecommitteerde middelen in het afgelopen decennium richt IFC zich op het verbinden van onbediende gebieden, het versterken van open-access netwerken, en het bevorderen van digitale inclusie.</w:t>
      </w:r>
      <w:r w:rsidRPr="00921941">
        <w:rPr>
          <w:rStyle w:val="FootnoteReference"/>
        </w:rPr>
        <w:footnoteReference w:id="13"/>
      </w:r>
      <w:r w:rsidRPr="00A07CC8">
        <w:t xml:space="preserve"> De investeringen omvatten onder meer onafhankelijke torenbedrijven, datacenters, en mobiele netwerken in fragiele of afgelegen markten. IFC werkt ook aan ‘</w:t>
      </w:r>
      <w:proofErr w:type="spellStart"/>
      <w:r w:rsidRPr="00A07CC8">
        <w:t>infratech</w:t>
      </w:r>
      <w:proofErr w:type="spellEnd"/>
      <w:r w:rsidRPr="00A07CC8">
        <w:t xml:space="preserve">’-oplossingen, waaronder satellieten, </w:t>
      </w:r>
      <w:proofErr w:type="spellStart"/>
      <w:r w:rsidRPr="00A07CC8">
        <w:t>IoT</w:t>
      </w:r>
      <w:proofErr w:type="spellEnd"/>
      <w:r w:rsidRPr="00A07CC8">
        <w:t xml:space="preserve"> en AI, en biedt beleidsadvies ter versterking van het regelgevend kader. Dit sluit aan bij de Nederlandse inzet op digitale toegang, concurrentiekracht en innovatie in ontwikkelingslanden.</w:t>
      </w:r>
      <w:bookmarkEnd w:id="47"/>
      <w:bookmarkEnd w:id="48"/>
    </w:p>
    <w:sectPr w:rsidR="00C4234E" w:rsidSect="00EE1B9E">
      <w:headerReference w:type="first" r:id="rId23"/>
      <w:type w:val="continuous"/>
      <w:pgSz w:w="11906" w:h="16838" w:code="9"/>
      <w:pgMar w:top="2518" w:right="958" w:bottom="1077" w:left="3221" w:header="199" w:footer="65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BFFE" w14:textId="77777777" w:rsidR="00AD4701" w:rsidRDefault="00AD4701">
      <w:r>
        <w:separator/>
      </w:r>
    </w:p>
    <w:p w14:paraId="4AC249E4" w14:textId="77777777" w:rsidR="00AD4701" w:rsidRDefault="00AD4701"/>
    <w:p w14:paraId="1A9988C5" w14:textId="77777777" w:rsidR="00AD4701" w:rsidRDefault="00AD4701"/>
  </w:endnote>
  <w:endnote w:type="continuationSeparator" w:id="0">
    <w:p w14:paraId="754CEC72" w14:textId="77777777" w:rsidR="00AD4701" w:rsidRDefault="00AD4701">
      <w:r>
        <w:continuationSeparator/>
      </w:r>
    </w:p>
    <w:p w14:paraId="2317C182" w14:textId="77777777" w:rsidR="00AD4701" w:rsidRDefault="00AD4701"/>
    <w:p w14:paraId="616767E0" w14:textId="77777777" w:rsidR="00AD4701" w:rsidRDefault="00AD4701"/>
  </w:endnote>
  <w:endnote w:type="continuationNotice" w:id="1">
    <w:p w14:paraId="098A6818" w14:textId="77777777" w:rsidR="00AD4701" w:rsidRDefault="00AD47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ix Bar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52" w:type="dxa"/>
      <w:tblLayout w:type="fixed"/>
      <w:tblCellMar>
        <w:left w:w="0" w:type="dxa"/>
        <w:right w:w="0" w:type="dxa"/>
      </w:tblCellMar>
      <w:tblLook w:val="0000" w:firstRow="0" w:lastRow="0" w:firstColumn="0" w:lastColumn="0" w:noHBand="0" w:noVBand="0"/>
    </w:tblPr>
    <w:tblGrid>
      <w:gridCol w:w="6179"/>
      <w:gridCol w:w="1374"/>
      <w:gridCol w:w="99"/>
    </w:tblGrid>
    <w:tr w:rsidR="00173C3A" w:rsidRPr="00785F18" w14:paraId="015AE6DC" w14:textId="77777777" w:rsidTr="003B518B">
      <w:trPr>
        <w:trHeight w:hRule="exact" w:val="240"/>
      </w:trPr>
      <w:tc>
        <w:tcPr>
          <w:tcW w:w="7752" w:type="dxa"/>
          <w:gridSpan w:val="3"/>
          <w:shd w:val="clear" w:color="auto" w:fill="auto"/>
        </w:tcPr>
        <w:p w14:paraId="2C6A3408" w14:textId="77777777" w:rsidR="00173C3A" w:rsidRPr="00785F18" w:rsidRDefault="00173C3A">
          <w:pPr>
            <w:spacing w:line="240" w:lineRule="auto"/>
          </w:pPr>
        </w:p>
      </w:tc>
    </w:tr>
    <w:tr w:rsidR="00173C3A" w:rsidRPr="00785F18" w14:paraId="171CD812" w14:textId="77777777" w:rsidTr="003B518B">
      <w:trPr>
        <w:gridAfter w:val="1"/>
        <w:wAfter w:w="99" w:type="dxa"/>
        <w:trHeight w:hRule="exact" w:val="240"/>
      </w:trPr>
      <w:tc>
        <w:tcPr>
          <w:tcW w:w="6260" w:type="dxa"/>
          <w:shd w:val="clear" w:color="auto" w:fill="auto"/>
        </w:tcPr>
        <w:p w14:paraId="17573222" w14:textId="515BCBC9" w:rsidR="00173C3A" w:rsidRPr="00785F18" w:rsidRDefault="005C35DB" w:rsidP="003B518B">
          <w:pPr>
            <w:pStyle w:val="Huisstijl-Paginanummering"/>
            <w:rPr>
              <w:rStyle w:val="Huisstijl-Rubricering"/>
            </w:rPr>
          </w:pPr>
          <w:fldSimple w:instr=" DOCPROPERTY  L_PAGE  \* MERGEFORMAT ">
            <w:r w:rsidR="006C7EDF">
              <w:t>Pagina</w:t>
            </w:r>
          </w:fldSimple>
          <w:r w:rsidR="00173C3A" w:rsidRPr="00785F18">
            <w:t xml:space="preserve"> </w:t>
          </w:r>
          <w:r w:rsidR="00173C3A" w:rsidRPr="00785F18">
            <w:fldChar w:fldCharType="begin"/>
          </w:r>
          <w:r w:rsidR="00173C3A" w:rsidRPr="00785F18">
            <w:instrText xml:space="preserve"> PAGE   \* MERGEFORMAT </w:instrText>
          </w:r>
          <w:r w:rsidR="00173C3A" w:rsidRPr="00785F18">
            <w:fldChar w:fldCharType="separate"/>
          </w:r>
          <w:r w:rsidR="00173C3A">
            <w:t>16</w:t>
          </w:r>
          <w:r w:rsidR="00173C3A" w:rsidRPr="00785F18">
            <w:fldChar w:fldCharType="end"/>
          </w:r>
          <w:r w:rsidR="00173C3A" w:rsidRPr="00785F18">
            <w:t xml:space="preserve"> </w:t>
          </w:r>
          <w:fldSimple w:instr=" DOCPROPERTY  L_PAGEOF  \* MERGEFORMAT ">
            <w:r w:rsidR="006C7EDF">
              <w:t>van</w:t>
            </w:r>
          </w:fldSimple>
          <w:r w:rsidR="00173C3A" w:rsidRPr="00785F18">
            <w:t xml:space="preserve"> </w:t>
          </w:r>
          <w:fldSimple w:instr=" NUMPAGES   \* MERGEFORMAT ">
            <w:r w:rsidR="00173C3A">
              <w:t>16</w:t>
            </w:r>
          </w:fldSimple>
        </w:p>
      </w:tc>
      <w:tc>
        <w:tcPr>
          <w:tcW w:w="1392" w:type="dxa"/>
        </w:tcPr>
        <w:p w14:paraId="072AFC47" w14:textId="77777777" w:rsidR="00173C3A" w:rsidRPr="00785F18" w:rsidRDefault="00173C3A" w:rsidP="003B518B">
          <w:pPr>
            <w:pStyle w:val="Huisstijl-Paginanummering"/>
            <w:jc w:val="right"/>
          </w:pPr>
        </w:p>
      </w:tc>
    </w:tr>
  </w:tbl>
  <w:p w14:paraId="4899E312" w14:textId="77777777" w:rsidR="00173C3A" w:rsidRPr="00785F18" w:rsidRDefault="00173C3A" w:rsidP="003B518B">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173C3A" w:rsidRPr="00785F18" w14:paraId="790BC06C" w14:textId="77777777" w:rsidTr="003B518B">
      <w:trPr>
        <w:trHeight w:hRule="exact" w:val="240"/>
      </w:trPr>
      <w:tc>
        <w:tcPr>
          <w:tcW w:w="6260" w:type="dxa"/>
          <w:shd w:val="clear" w:color="auto" w:fill="auto"/>
        </w:tcPr>
        <w:p w14:paraId="3C19BD99" w14:textId="77777777" w:rsidR="00173C3A" w:rsidRPr="00785F18" w:rsidRDefault="00173C3A" w:rsidP="003B518B">
          <w:pPr>
            <w:rPr>
              <w:rStyle w:val="Huisstijl-Rubricering"/>
            </w:rPr>
          </w:pPr>
        </w:p>
      </w:tc>
      <w:tc>
        <w:tcPr>
          <w:tcW w:w="1392" w:type="dxa"/>
        </w:tcPr>
        <w:p w14:paraId="428B676E" w14:textId="4E925EB2" w:rsidR="00173C3A" w:rsidRPr="00785F18" w:rsidRDefault="005C35DB" w:rsidP="003B518B">
          <w:pPr>
            <w:pStyle w:val="Huisstijl-Paginanummering"/>
            <w:jc w:val="right"/>
          </w:pPr>
          <w:fldSimple w:instr=" DOCPROPERTY  L_PAGE  \* MERGEFORMAT ">
            <w:r w:rsidR="006C7EDF">
              <w:t>Pagina</w:t>
            </w:r>
          </w:fldSimple>
          <w:r w:rsidR="00173C3A" w:rsidRPr="00785F18">
            <w:t xml:space="preserve"> </w:t>
          </w:r>
          <w:r w:rsidR="00173C3A" w:rsidRPr="00A908F9">
            <w:rPr>
              <w:rStyle w:val="PageNumber"/>
              <w:noProof w:val="0"/>
              <w:szCs w:val="13"/>
            </w:rPr>
            <w:fldChar w:fldCharType="begin"/>
          </w:r>
          <w:r w:rsidR="00173C3A" w:rsidRPr="00A908F9">
            <w:rPr>
              <w:rStyle w:val="PageNumber"/>
              <w:noProof w:val="0"/>
              <w:szCs w:val="13"/>
            </w:rPr>
            <w:instrText xml:space="preserve"> PAGE </w:instrText>
          </w:r>
          <w:r w:rsidR="00173C3A" w:rsidRPr="00A908F9">
            <w:rPr>
              <w:rStyle w:val="PageNumber"/>
              <w:noProof w:val="0"/>
              <w:szCs w:val="13"/>
            </w:rPr>
            <w:fldChar w:fldCharType="separate"/>
          </w:r>
          <w:r w:rsidR="00173C3A">
            <w:rPr>
              <w:rStyle w:val="PageNumber"/>
              <w:szCs w:val="13"/>
            </w:rPr>
            <w:t>17</w:t>
          </w:r>
          <w:r w:rsidR="00173C3A" w:rsidRPr="00A908F9">
            <w:rPr>
              <w:rStyle w:val="PageNumber"/>
              <w:noProof w:val="0"/>
              <w:szCs w:val="13"/>
            </w:rPr>
            <w:fldChar w:fldCharType="end"/>
          </w:r>
          <w:r w:rsidR="00173C3A" w:rsidRPr="00785F18">
            <w:t xml:space="preserve"> </w:t>
          </w:r>
          <w:fldSimple w:instr=" DOCPROPERTY  L_PAGEOF  \* MERGEFORMAT ">
            <w:r w:rsidR="006C7EDF">
              <w:t>van</w:t>
            </w:r>
          </w:fldSimple>
          <w:r w:rsidR="00173C3A" w:rsidRPr="00785F18">
            <w:t xml:space="preserve"> </w:t>
          </w:r>
          <w:fldSimple w:instr=" NUMPAGES   \* MERGEFORMAT ">
            <w:r w:rsidR="00173C3A">
              <w:t>17</w:t>
            </w:r>
          </w:fldSimple>
        </w:p>
      </w:tc>
    </w:tr>
  </w:tbl>
  <w:p w14:paraId="52E1EACA" w14:textId="77777777" w:rsidR="00173C3A" w:rsidRPr="00785F18" w:rsidRDefault="00173C3A" w:rsidP="003B518B">
    <w:pPr>
      <w:spacing w:line="240" w:lineRule="auto"/>
      <w:rPr>
        <w:sz w:val="2"/>
        <w:szCs w:val="2"/>
      </w:rPr>
    </w:pPr>
  </w:p>
  <w:p w14:paraId="3FF93574" w14:textId="77777777" w:rsidR="00173C3A" w:rsidRPr="00785F18" w:rsidRDefault="00173C3A" w:rsidP="003B518B">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173C3A" w:rsidRPr="00785F18" w14:paraId="3532E7F0" w14:textId="77777777" w:rsidTr="00B06D4B">
      <w:trPr>
        <w:trHeight w:hRule="exact" w:val="240"/>
      </w:trPr>
      <w:tc>
        <w:tcPr>
          <w:tcW w:w="6260" w:type="dxa"/>
          <w:shd w:val="clear" w:color="auto" w:fill="auto"/>
        </w:tcPr>
        <w:p w14:paraId="4B9D7957" w14:textId="77777777" w:rsidR="00173C3A" w:rsidRPr="00785F18" w:rsidRDefault="00173C3A" w:rsidP="00B06D4B">
          <w:pPr>
            <w:rPr>
              <w:rStyle w:val="Huisstijl-Rubricering"/>
            </w:rPr>
          </w:pPr>
        </w:p>
      </w:tc>
      <w:tc>
        <w:tcPr>
          <w:tcW w:w="1392" w:type="dxa"/>
        </w:tcPr>
        <w:p w14:paraId="7344E5DB" w14:textId="66C67182" w:rsidR="00173C3A" w:rsidRPr="00785F18" w:rsidRDefault="005C35DB" w:rsidP="00B06D4B">
          <w:pPr>
            <w:pStyle w:val="Huisstijl-Paginanummering"/>
            <w:jc w:val="right"/>
          </w:pPr>
          <w:fldSimple w:instr=" DOCPROPERTY  L_PAGE  \* MERGEFORMAT ">
            <w:r w:rsidR="006C7EDF">
              <w:t>Pagina</w:t>
            </w:r>
          </w:fldSimple>
          <w:r w:rsidR="00173C3A" w:rsidRPr="00785F18">
            <w:t xml:space="preserve"> </w:t>
          </w:r>
          <w:r w:rsidR="00173C3A" w:rsidRPr="00A908F9">
            <w:rPr>
              <w:rStyle w:val="PageNumber"/>
              <w:noProof w:val="0"/>
              <w:szCs w:val="13"/>
            </w:rPr>
            <w:fldChar w:fldCharType="begin"/>
          </w:r>
          <w:r w:rsidR="00173C3A" w:rsidRPr="00A908F9">
            <w:rPr>
              <w:rStyle w:val="PageNumber"/>
              <w:noProof w:val="0"/>
              <w:szCs w:val="13"/>
            </w:rPr>
            <w:instrText xml:space="preserve"> PAGE </w:instrText>
          </w:r>
          <w:r w:rsidR="00173C3A" w:rsidRPr="00A908F9">
            <w:rPr>
              <w:rStyle w:val="PageNumber"/>
              <w:noProof w:val="0"/>
              <w:szCs w:val="13"/>
            </w:rPr>
            <w:fldChar w:fldCharType="separate"/>
          </w:r>
          <w:r w:rsidR="00173C3A">
            <w:rPr>
              <w:rStyle w:val="PageNumber"/>
              <w:szCs w:val="13"/>
            </w:rPr>
            <w:t>1</w:t>
          </w:r>
          <w:r w:rsidR="00173C3A" w:rsidRPr="00A908F9">
            <w:rPr>
              <w:rStyle w:val="PageNumber"/>
              <w:noProof w:val="0"/>
              <w:szCs w:val="13"/>
            </w:rPr>
            <w:fldChar w:fldCharType="end"/>
          </w:r>
          <w:r w:rsidR="00173C3A" w:rsidRPr="00785F18">
            <w:t xml:space="preserve"> </w:t>
          </w:r>
          <w:fldSimple w:instr=" DOCPROPERTY  L_PAGEOF  \* MERGEFORMAT ">
            <w:r w:rsidR="006C7EDF">
              <w:t>van</w:t>
            </w:r>
          </w:fldSimple>
          <w:r w:rsidR="00173C3A" w:rsidRPr="00785F18">
            <w:t xml:space="preserve"> </w:t>
          </w:r>
          <w:fldSimple w:instr=" NUMPAGES   \* MERGEFORMAT ">
            <w:r w:rsidR="00173C3A">
              <w:t>17</w:t>
            </w:r>
          </w:fldSimple>
        </w:p>
      </w:tc>
    </w:tr>
  </w:tbl>
  <w:p w14:paraId="7CF8B2E2" w14:textId="77777777" w:rsidR="00173C3A" w:rsidRPr="00785F18" w:rsidRDefault="00173C3A" w:rsidP="00101F98">
    <w:pPr>
      <w:spacing w:line="240" w:lineRule="auto"/>
      <w:rPr>
        <w:sz w:val="2"/>
        <w:szCs w:val="2"/>
      </w:rPr>
    </w:pPr>
  </w:p>
  <w:p w14:paraId="6BF379FD" w14:textId="77777777" w:rsidR="00173C3A" w:rsidRPr="00785F18" w:rsidRDefault="00173C3A"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BE5D" w14:textId="77777777" w:rsidR="00AD4701" w:rsidRPr="00B35331" w:rsidRDefault="00AD4701" w:rsidP="00B35331">
      <w:pPr>
        <w:pStyle w:val="Footer"/>
      </w:pPr>
    </w:p>
  </w:footnote>
  <w:footnote w:type="continuationSeparator" w:id="0">
    <w:p w14:paraId="1CD26142" w14:textId="77777777" w:rsidR="00AD4701" w:rsidRDefault="00AD4701">
      <w:r>
        <w:continuationSeparator/>
      </w:r>
    </w:p>
    <w:p w14:paraId="4DE9D593" w14:textId="77777777" w:rsidR="00AD4701" w:rsidRDefault="00AD4701"/>
    <w:p w14:paraId="1EB355E0" w14:textId="77777777" w:rsidR="00AD4701" w:rsidRDefault="00AD4701"/>
  </w:footnote>
  <w:footnote w:type="continuationNotice" w:id="1">
    <w:p w14:paraId="46CDB4E8" w14:textId="77777777" w:rsidR="00AD4701" w:rsidRDefault="00AD4701">
      <w:pPr>
        <w:spacing w:line="240" w:lineRule="auto"/>
      </w:pPr>
    </w:p>
  </w:footnote>
  <w:footnote w:id="2">
    <w:p w14:paraId="46599F7A" w14:textId="46FA748D" w:rsidR="00B26CF2" w:rsidRPr="003E5911" w:rsidRDefault="00B26CF2" w:rsidP="00B26CF2">
      <w:pPr>
        <w:pStyle w:val="FootnoteText"/>
      </w:pPr>
      <w:r w:rsidRPr="00B04D6D">
        <w:footnoteRef/>
      </w:r>
      <w:r w:rsidRPr="00B04D6D">
        <w:t xml:space="preserve"> Beleidskader Mondiaal Multilateralisme</w:t>
      </w:r>
      <w:r>
        <w:t>.</w:t>
      </w:r>
    </w:p>
  </w:footnote>
  <w:footnote w:id="3">
    <w:p w14:paraId="6F3948E4" w14:textId="77777777" w:rsidR="005C35DB" w:rsidRPr="00BF05EE" w:rsidRDefault="005C35DB" w:rsidP="005C35DB">
      <w:pPr>
        <w:pStyle w:val="FootnoteText"/>
      </w:pPr>
      <w:r>
        <w:rPr>
          <w:rStyle w:val="FootnoteReference"/>
        </w:rPr>
        <w:footnoteRef/>
      </w:r>
      <w:r>
        <w:t xml:space="preserve"> </w:t>
      </w:r>
      <w:r w:rsidRPr="0022710D">
        <w:t>Inclusief U</w:t>
      </w:r>
      <w:r>
        <w:t>SD 22 miljard mobilisatie van privaat kapitaal via partners.</w:t>
      </w:r>
    </w:p>
  </w:footnote>
  <w:footnote w:id="4">
    <w:p w14:paraId="5EB45149" w14:textId="77777777" w:rsidR="00AD5E85" w:rsidRPr="00A1242E" w:rsidRDefault="00AD5E85" w:rsidP="00AD5E85">
      <w:pPr>
        <w:pStyle w:val="FootnoteText"/>
      </w:pPr>
      <w:r>
        <w:rPr>
          <w:rStyle w:val="FootnoteReference"/>
        </w:rPr>
        <w:footnoteRef/>
      </w:r>
      <w:r w:rsidRPr="00A1242E">
        <w:t xml:space="preserve"> </w:t>
      </w:r>
      <w:hyperlink r:id="rId1" w:history="1">
        <w:r w:rsidRPr="00A1242E">
          <w:rPr>
            <w:rStyle w:val="Hyperlink"/>
          </w:rPr>
          <w:t>MOPAN IFC Assessment Report 2024</w:t>
        </w:r>
      </w:hyperlink>
    </w:p>
  </w:footnote>
  <w:footnote w:id="5">
    <w:p w14:paraId="6C28F68C" w14:textId="77777777" w:rsidR="00AD5E85" w:rsidRPr="007A7ECD" w:rsidRDefault="00AD5E85" w:rsidP="00AD5E85">
      <w:pPr>
        <w:pStyle w:val="FootnoteText"/>
      </w:pPr>
      <w:r w:rsidRPr="00B04D6D">
        <w:rPr>
          <w:rStyle w:val="Hyperlink"/>
          <w:u w:val="none"/>
          <w:lang w:val="en-US"/>
        </w:rPr>
        <w:footnoteRef/>
      </w:r>
      <w:r w:rsidRPr="00F943BE">
        <w:rPr>
          <w:rStyle w:val="Hyperlink"/>
          <w:u w:val="none"/>
        </w:rPr>
        <w:t xml:space="preserve"> De Kamer is geïnformeerd over de Nederlandse inzet en uitkomsten van het zgn. ‘</w:t>
      </w:r>
      <w:r w:rsidRPr="00F943BE">
        <w:rPr>
          <w:rStyle w:val="Hyperlink"/>
          <w:u w:val="none"/>
        </w:rPr>
        <w:t>Evolution proces’ via o.a. Kamerstuk 02-10-2023 en Vergaderstuk 30-03-2021.</w:t>
      </w:r>
    </w:p>
  </w:footnote>
  <w:footnote w:id="6">
    <w:p w14:paraId="7A875876" w14:textId="77777777" w:rsidR="00AD5E85" w:rsidRPr="00F943BE" w:rsidRDefault="00AD5E85" w:rsidP="00AD5E85">
      <w:pPr>
        <w:pStyle w:val="FootnoteText"/>
      </w:pPr>
      <w:r w:rsidRPr="00A1242E">
        <w:rPr>
          <w:rStyle w:val="FootnoteReference"/>
        </w:rPr>
        <w:footnoteRef/>
      </w:r>
      <w:r w:rsidRPr="00A1242E">
        <w:t xml:space="preserve"> </w:t>
      </w:r>
      <w:hyperlink r:id="rId2" w:history="1">
        <w:r w:rsidRPr="00A1242E">
          <w:rPr>
            <w:rStyle w:val="Hyperlink"/>
            <w:color w:val="auto"/>
            <w:u w:val="none"/>
          </w:rPr>
          <w:t xml:space="preserve">Zie bijvoorbeeld: </w:t>
        </w:r>
        <w:r w:rsidRPr="00A1242E">
          <w:rPr>
            <w:rStyle w:val="Hyperlink"/>
            <w:color w:val="auto"/>
          </w:rPr>
          <w:t xml:space="preserve">Compliance </w:t>
        </w:r>
        <w:r w:rsidRPr="00A1242E">
          <w:rPr>
            <w:rStyle w:val="Hyperlink"/>
            <w:color w:val="auto"/>
          </w:rPr>
          <w:t>Investigation Report of IFC Investment in Bridge International Academies (okt. 2023)</w:t>
        </w:r>
      </w:hyperlink>
    </w:p>
  </w:footnote>
  <w:footnote w:id="7">
    <w:p w14:paraId="050E4372" w14:textId="77777777" w:rsidR="00B14E62" w:rsidRPr="00E13963" w:rsidRDefault="00B14E62" w:rsidP="00B14E62">
      <w:pPr>
        <w:pStyle w:val="FootnoteText"/>
        <w:rPr>
          <w:lang w:val="en-US"/>
        </w:rPr>
      </w:pPr>
      <w:r>
        <w:rPr>
          <w:rStyle w:val="FootnoteReference"/>
        </w:rPr>
        <w:footnoteRef/>
      </w:r>
      <w:r w:rsidRPr="00E13963">
        <w:rPr>
          <w:lang w:val="en-US"/>
        </w:rPr>
        <w:t xml:space="preserve"> </w:t>
      </w:r>
      <w:hyperlink r:id="rId3" w:history="1">
        <w:r w:rsidRPr="00E13963">
          <w:rPr>
            <w:rStyle w:val="Hyperlink"/>
            <w:lang w:val="en-US"/>
          </w:rPr>
          <w:t>World Bank Group Climate Implementation Plan (2021–2025)</w:t>
        </w:r>
      </w:hyperlink>
    </w:p>
  </w:footnote>
  <w:footnote w:id="8">
    <w:p w14:paraId="3351EE58" w14:textId="41E4737C" w:rsidR="003F768F" w:rsidRPr="00726775" w:rsidRDefault="003F768F">
      <w:pPr>
        <w:pStyle w:val="FootnoteText"/>
        <w:rPr>
          <w:lang w:val="en-US"/>
        </w:rPr>
      </w:pPr>
      <w:r>
        <w:rPr>
          <w:rStyle w:val="FootnoteReference"/>
        </w:rPr>
        <w:footnoteRef/>
      </w:r>
      <w:r w:rsidRPr="00726775">
        <w:rPr>
          <w:lang w:val="en-US"/>
        </w:rPr>
        <w:t xml:space="preserve"> </w:t>
      </w:r>
      <w:hyperlink r:id="rId4" w:history="1">
        <w:r w:rsidRPr="00726775">
          <w:rPr>
            <w:rStyle w:val="Hyperlink"/>
            <w:lang w:val="en-US"/>
          </w:rPr>
          <w:t>IFC and The Netherlands: Partners in Private Sector Development</w:t>
        </w:r>
      </w:hyperlink>
    </w:p>
  </w:footnote>
  <w:footnote w:id="9">
    <w:p w14:paraId="0F3E0EA9" w14:textId="77777777" w:rsidR="00B14E62" w:rsidRPr="00E13963" w:rsidRDefault="00B14E62" w:rsidP="00B14E62">
      <w:pPr>
        <w:pStyle w:val="FootnoteText"/>
        <w:rPr>
          <w:lang w:val="en-US"/>
        </w:rPr>
      </w:pPr>
      <w:r>
        <w:rPr>
          <w:rStyle w:val="FootnoteReference"/>
        </w:rPr>
        <w:footnoteRef/>
      </w:r>
      <w:r w:rsidRPr="00E13963">
        <w:rPr>
          <w:lang w:val="en-US"/>
        </w:rPr>
        <w:t xml:space="preserve"> </w:t>
      </w:r>
      <w:hyperlink r:id="rId5" w:history="1">
        <w:r w:rsidRPr="00E13963">
          <w:rPr>
            <w:rStyle w:val="Hyperlink"/>
            <w:lang w:val="en-US"/>
          </w:rPr>
          <w:t>IFC Annual Report 2023</w:t>
        </w:r>
      </w:hyperlink>
      <w:r w:rsidRPr="00E13963">
        <w:rPr>
          <w:lang w:val="en-US"/>
        </w:rPr>
        <w:t xml:space="preserve">; </w:t>
      </w:r>
      <w:hyperlink r:id="rId6" w:history="1">
        <w:r w:rsidRPr="00E13963">
          <w:rPr>
            <w:rStyle w:val="Hyperlink"/>
            <w:lang w:val="en-US"/>
          </w:rPr>
          <w:t>IFC Annual Report 2024</w:t>
        </w:r>
      </w:hyperlink>
    </w:p>
  </w:footnote>
  <w:footnote w:id="10">
    <w:p w14:paraId="5AC51D3E" w14:textId="77777777" w:rsidR="00B14E62" w:rsidRPr="00726775" w:rsidRDefault="00B14E62" w:rsidP="00B14E62">
      <w:pPr>
        <w:pStyle w:val="FootnoteText"/>
        <w:rPr>
          <w:lang w:val="en-US"/>
        </w:rPr>
      </w:pPr>
      <w:r>
        <w:rPr>
          <w:rStyle w:val="FootnoteReference"/>
        </w:rPr>
        <w:footnoteRef/>
      </w:r>
      <w:r w:rsidRPr="00726775">
        <w:rPr>
          <w:lang w:val="en-US"/>
        </w:rPr>
        <w:t xml:space="preserve"> </w:t>
      </w:r>
      <w:hyperlink r:id="rId7" w:history="1">
        <w:r w:rsidRPr="00726775">
          <w:rPr>
            <w:rStyle w:val="Hyperlink"/>
            <w:lang w:val="en-US"/>
          </w:rPr>
          <w:t>De Nederlandse Afrikastrategie 2023-2032. Rapport | 30-05-2023</w:t>
        </w:r>
      </w:hyperlink>
    </w:p>
  </w:footnote>
  <w:footnote w:id="11">
    <w:p w14:paraId="56FFC809" w14:textId="77777777" w:rsidR="00B14E62" w:rsidRPr="00726775" w:rsidRDefault="00B14E62" w:rsidP="00B14E62">
      <w:pPr>
        <w:pStyle w:val="FootnoteText"/>
        <w:rPr>
          <w:lang w:val="en-US"/>
        </w:rPr>
      </w:pPr>
      <w:r>
        <w:rPr>
          <w:rStyle w:val="FootnoteReference"/>
        </w:rPr>
        <w:footnoteRef/>
      </w:r>
      <w:r w:rsidRPr="00726775">
        <w:rPr>
          <w:lang w:val="en-US"/>
        </w:rPr>
        <w:t xml:space="preserve"> </w:t>
      </w:r>
      <w:hyperlink r:id="rId8" w:history="1">
        <w:r w:rsidRPr="00726775">
          <w:rPr>
            <w:rStyle w:val="Hyperlink"/>
            <w:lang w:val="en-US"/>
          </w:rPr>
          <w:t>IFC: Banking on Women</w:t>
        </w:r>
      </w:hyperlink>
    </w:p>
  </w:footnote>
  <w:footnote w:id="12">
    <w:p w14:paraId="2DA9EC6B" w14:textId="77777777" w:rsidR="00B14E62" w:rsidRPr="004A19EA" w:rsidRDefault="00B14E62" w:rsidP="00B14E62">
      <w:pPr>
        <w:pStyle w:val="FootnoteText"/>
        <w:rPr>
          <w:lang w:val="en-US"/>
        </w:rPr>
      </w:pPr>
      <w:r>
        <w:rPr>
          <w:rStyle w:val="FootnoteReference"/>
        </w:rPr>
        <w:footnoteRef/>
      </w:r>
      <w:r w:rsidRPr="004A19EA">
        <w:rPr>
          <w:lang w:val="en-US"/>
        </w:rPr>
        <w:t xml:space="preserve"> </w:t>
      </w:r>
      <w:hyperlink r:id="rId9" w:history="1">
        <w:r w:rsidRPr="004A19EA">
          <w:rPr>
            <w:rStyle w:val="Hyperlink"/>
            <w:lang w:val="en-US"/>
          </w:rPr>
          <w:t>IFC Gender Strategy Update 2023</w:t>
        </w:r>
      </w:hyperlink>
      <w:r w:rsidRPr="004A19EA">
        <w:rPr>
          <w:lang w:val="en-US"/>
        </w:rPr>
        <w:t>; MOPAN (p.60).</w:t>
      </w:r>
    </w:p>
  </w:footnote>
  <w:footnote w:id="13">
    <w:p w14:paraId="6ADF94F8" w14:textId="77777777" w:rsidR="00B14E62" w:rsidRPr="00A07CC8" w:rsidRDefault="00B14E62" w:rsidP="00B14E62">
      <w:pPr>
        <w:pStyle w:val="FootnoteText"/>
        <w:rPr>
          <w:lang w:val="en-US"/>
        </w:rPr>
      </w:pPr>
      <w:r>
        <w:rPr>
          <w:rStyle w:val="FootnoteReference"/>
        </w:rPr>
        <w:footnoteRef/>
      </w:r>
      <w:r w:rsidRPr="00A1242E">
        <w:rPr>
          <w:lang w:val="en-US"/>
        </w:rPr>
        <w:t xml:space="preserve"> </w:t>
      </w:r>
      <w:hyperlink r:id="rId10" w:history="1">
        <w:r w:rsidRPr="00A1242E">
          <w:rPr>
            <w:rStyle w:val="Hyperlink"/>
            <w:lang w:val="en-US"/>
          </w:rPr>
          <w:t>ifc-infrastructure-sectorsheet-tmt-jan2025-v5.pdf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D89F" w14:textId="77777777" w:rsidR="00173C3A" w:rsidRPr="00785F18" w:rsidRDefault="00173C3A">
    <w:pPr>
      <w:pStyle w:val="Header"/>
    </w:pPr>
  </w:p>
  <w:p w14:paraId="2345272D" w14:textId="77777777" w:rsidR="00173C3A" w:rsidRPr="00785F18" w:rsidRDefault="00173C3A"/>
  <w:p w14:paraId="2EFCB3E7" w14:textId="77777777" w:rsidR="00173C3A" w:rsidRPr="00785F18" w:rsidRDefault="00173C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DBDF" w14:textId="77777777" w:rsidR="00173C3A" w:rsidRPr="00785F18" w:rsidRDefault="00173C3A" w:rsidP="000C0FB6">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650C599C" w14:textId="77777777" w:rsidTr="002E14E1">
      <w:trPr>
        <w:trHeight w:val="400"/>
      </w:trPr>
      <w:tc>
        <w:tcPr>
          <w:tcW w:w="7520" w:type="dxa"/>
          <w:shd w:val="clear" w:color="auto" w:fill="auto"/>
        </w:tcPr>
        <w:p w14:paraId="395AA22D" w14:textId="4444117E" w:rsidR="00173C3A" w:rsidRPr="008517DE" w:rsidRDefault="00173C3A" w:rsidP="002E14E1">
          <w:pPr>
            <w:adjustRightInd w:val="0"/>
            <w:spacing w:line="180" w:lineRule="exact"/>
            <w:rPr>
              <w:sz w:val="13"/>
              <w:lang w:val="en-GB"/>
            </w:rPr>
          </w:pPr>
          <w:r>
            <w:rPr>
              <w:rStyle w:val="Huisstijl-Koptekst"/>
            </w:rPr>
            <w:fldChar w:fldCharType="begin"/>
          </w:r>
          <w:r>
            <w:rPr>
              <w:rStyle w:val="Huisstijl-Koptekst"/>
            </w:rPr>
            <w:instrText xml:space="preserve"> Titel </w:instrText>
          </w:r>
          <w:r>
            <w:rPr>
              <w:rStyle w:val="Huisstijl-Koptekst"/>
            </w:rPr>
            <w:fldChar w:fldCharType="separate"/>
          </w:r>
          <w:r w:rsidR="006C7EDF">
            <w:t xml:space="preserve">2025 </w:t>
          </w:r>
          <w:r w:rsidR="006C7EDF" w:rsidRPr="00B36546">
            <w:t>Scor</w:t>
          </w:r>
          <w:r w:rsidR="00B26CF2">
            <w:t>ekaart</w:t>
          </w:r>
          <w:r>
            <w:rPr>
              <w:rStyle w:val="Huisstijl-Koptekst"/>
            </w:rPr>
            <w:fldChar w:fldCharType="end"/>
          </w:r>
          <w:r w:rsidRPr="008517DE">
            <w:rPr>
              <w:rStyle w:val="Huisstijl-Koptekst"/>
              <w:lang w:val="en-GB"/>
            </w:rPr>
            <w:t xml:space="preserve"> | </w:t>
          </w:r>
          <w:r w:rsidR="00AD5E85" w:rsidRPr="00AD5E85">
            <w:rPr>
              <w:rStyle w:val="Huisstijl-Koptekst"/>
              <w:lang w:val="en-GB"/>
            </w:rPr>
            <w:t>International Finance Corporation (IFC)</w:t>
          </w:r>
        </w:p>
      </w:tc>
    </w:tr>
  </w:tbl>
  <w:p w14:paraId="25D69788" w14:textId="77777777" w:rsidR="00173C3A" w:rsidRPr="008517DE" w:rsidRDefault="00173C3A" w:rsidP="000D7BB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661C" w14:textId="146AD6EA" w:rsidR="00173C3A" w:rsidRPr="00785F18" w:rsidRDefault="00173C3A" w:rsidP="006E263E">
    <w:r w:rsidRPr="00785F18">
      <w:rPr>
        <w:noProof/>
      </w:rPr>
      <mc:AlternateContent>
        <mc:Choice Requires="wps">
          <w:drawing>
            <wp:anchor distT="0" distB="0" distL="114300" distR="114300" simplePos="0" relativeHeight="251657216" behindDoc="0" locked="0" layoutInCell="1" allowOverlap="1" wp14:anchorId="387EDD28" wp14:editId="4C6D33D9">
              <wp:simplePos x="0" y="0"/>
              <wp:positionH relativeFrom="column">
                <wp:posOffset>1386840</wp:posOffset>
              </wp:positionH>
              <wp:positionV relativeFrom="page">
                <wp:posOffset>-87630</wp:posOffset>
              </wp:positionV>
              <wp:extent cx="4025900" cy="1746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73C3A" w14:paraId="7BEC5FD0" w14:textId="77777777">
                            <w:trPr>
                              <w:trHeight w:val="2636"/>
                            </w:trPr>
                            <w:tc>
                              <w:tcPr>
                                <w:tcW w:w="737" w:type="dxa"/>
                                <w:shd w:val="clear" w:color="auto" w:fill="auto"/>
                              </w:tcPr>
                              <w:p w14:paraId="416BB74D" w14:textId="5C1A442C" w:rsidR="00173C3A" w:rsidRDefault="00173C3A" w:rsidP="006E263E">
                                <w:pPr>
                                  <w:spacing w:line="240" w:lineRule="auto"/>
                                </w:pPr>
                                <w:bookmarkStart w:id="4" w:name="bm_BZlogo"/>
                                <w:bookmarkEnd w:id="4"/>
                                <w:r>
                                  <w:rPr>
                                    <w:noProof/>
                                  </w:rPr>
                                  <w:drawing>
                                    <wp:inline distT="0" distB="0" distL="0" distR="0" wp14:anchorId="7E8A393E" wp14:editId="71EE400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C63CE40" w14:textId="553368AB" w:rsidR="00173C3A" w:rsidRDefault="00173C3A" w:rsidP="006E263E">
                                <w:pPr>
                                  <w:spacing w:line="240" w:lineRule="auto"/>
                                </w:pPr>
                                <w:r>
                                  <w:rPr>
                                    <w:noProof/>
                                  </w:rPr>
                                  <w:drawing>
                                    <wp:inline distT="0" distB="0" distL="0" distR="0" wp14:anchorId="17C2E86D" wp14:editId="5FBC486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3624A45A" w14:textId="77777777" w:rsidR="00173C3A" w:rsidRDefault="00173C3A"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EDD28" id="_x0000_t202" coordsize="21600,21600" o:spt="202" path="m,l,21600r21600,l21600,xe">
              <v:stroke joinstyle="miter"/>
              <v:path gradientshapeok="t" o:connecttype="rect"/>
            </v:shapetype>
            <v:shape id="Text Box 1" o:spid="_x0000_s1026" type="#_x0000_t202" style="position:absolute;margin-left:109.2pt;margin-top:-6.9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73C3A" w14:paraId="7BEC5FD0" w14:textId="77777777">
                      <w:trPr>
                        <w:trHeight w:val="2636"/>
                      </w:trPr>
                      <w:tc>
                        <w:tcPr>
                          <w:tcW w:w="737" w:type="dxa"/>
                          <w:shd w:val="clear" w:color="auto" w:fill="auto"/>
                        </w:tcPr>
                        <w:p w14:paraId="416BB74D" w14:textId="5C1A442C" w:rsidR="00173C3A" w:rsidRDefault="00173C3A" w:rsidP="006E263E">
                          <w:pPr>
                            <w:spacing w:line="240" w:lineRule="auto"/>
                          </w:pPr>
                          <w:bookmarkStart w:id="5" w:name="bm_BZlogo"/>
                          <w:bookmarkEnd w:id="5"/>
                          <w:r>
                            <w:rPr>
                              <w:noProof/>
                            </w:rPr>
                            <w:drawing>
                              <wp:inline distT="0" distB="0" distL="0" distR="0" wp14:anchorId="7E8A393E" wp14:editId="71EE400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C63CE40" w14:textId="553368AB" w:rsidR="00173C3A" w:rsidRDefault="00173C3A" w:rsidP="006E263E">
                          <w:pPr>
                            <w:spacing w:line="240" w:lineRule="auto"/>
                          </w:pPr>
                          <w:r>
                            <w:rPr>
                              <w:noProof/>
                            </w:rPr>
                            <w:drawing>
                              <wp:inline distT="0" distB="0" distL="0" distR="0" wp14:anchorId="17C2E86D" wp14:editId="5FBC486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3624A45A" w14:textId="77777777" w:rsidR="00173C3A" w:rsidRDefault="00173C3A" w:rsidP="006E263E"/>
                </w:txbxContent>
              </v:textbox>
              <w10:wrap anchory="page"/>
            </v:shape>
          </w:pict>
        </mc:Fallback>
      </mc:AlternateContent>
    </w:r>
  </w:p>
  <w:tbl>
    <w:tblPr>
      <w:tblW w:w="5640" w:type="dxa"/>
      <w:tblLayout w:type="fixed"/>
      <w:tblCellMar>
        <w:left w:w="0" w:type="dxa"/>
        <w:right w:w="0" w:type="dxa"/>
      </w:tblCellMar>
      <w:tblLook w:val="0000" w:firstRow="0" w:lastRow="0" w:firstColumn="0" w:lastColumn="0" w:noHBand="0" w:noVBand="0"/>
    </w:tblPr>
    <w:tblGrid>
      <w:gridCol w:w="5640"/>
    </w:tblGrid>
    <w:tr w:rsidR="00173C3A" w:rsidRPr="00785F18" w14:paraId="305982DD" w14:textId="77777777" w:rsidTr="000A01F6">
      <w:trPr>
        <w:cantSplit/>
        <w:trHeight w:hRule="exact" w:val="3340"/>
      </w:trPr>
      <w:tc>
        <w:tcPr>
          <w:tcW w:w="5640" w:type="dxa"/>
          <w:shd w:val="clear" w:color="auto" w:fill="auto"/>
        </w:tcPr>
        <w:p w14:paraId="40770076" w14:textId="77777777" w:rsidR="00173C3A" w:rsidRPr="00785F18" w:rsidRDefault="00173C3A" w:rsidP="00094B45">
          <w:pPr>
            <w:ind w:left="240" w:hanging="240"/>
          </w:pPr>
        </w:p>
      </w:tc>
    </w:tr>
    <w:tr w:rsidR="00173C3A" w:rsidRPr="00AD5E85" w14:paraId="68A73613" w14:textId="77777777" w:rsidTr="007B0280">
      <w:trPr>
        <w:cantSplit/>
        <w:trHeight w:hRule="exact" w:val="1440"/>
      </w:trPr>
      <w:tc>
        <w:tcPr>
          <w:tcW w:w="5640" w:type="dxa"/>
          <w:shd w:val="clear" w:color="auto" w:fill="auto"/>
        </w:tcPr>
        <w:p w14:paraId="74FE2383" w14:textId="77777777" w:rsidR="00173C3A" w:rsidRPr="00785F18" w:rsidRDefault="00173C3A" w:rsidP="000C0FB6">
          <w:pPr>
            <w:rPr>
              <w:rStyle w:val="Huisstijl-Rubricering"/>
              <w:smallCaps w:val="0"/>
            </w:rPr>
          </w:pPr>
        </w:p>
        <w:p w14:paraId="54A54084" w14:textId="77777777" w:rsidR="00173C3A" w:rsidRPr="00785F18" w:rsidRDefault="00173C3A" w:rsidP="000C0FB6">
          <w:pPr>
            <w:spacing w:line="180" w:lineRule="atLeast"/>
            <w:rPr>
              <w:rStyle w:val="Huisstijl-Rubricering"/>
              <w:smallCaps w:val="0"/>
            </w:rPr>
          </w:pPr>
        </w:p>
        <w:p w14:paraId="62A8DF65" w14:textId="19C81586" w:rsidR="00173C3A" w:rsidRPr="008D07F4" w:rsidRDefault="00173C3A" w:rsidP="00B36546">
          <w:pPr>
            <w:pStyle w:val="Title"/>
            <w:rPr>
              <w:lang w:val="en-US"/>
            </w:rPr>
          </w:pPr>
          <w:bookmarkStart w:id="6" w:name="titel"/>
          <w:r w:rsidRPr="008D07F4">
            <w:rPr>
              <w:lang w:val="en-US"/>
            </w:rPr>
            <w:t>202</w:t>
          </w:r>
          <w:r w:rsidR="00D920AA" w:rsidRPr="008D07F4">
            <w:rPr>
              <w:lang w:val="en-US"/>
            </w:rPr>
            <w:t>5</w:t>
          </w:r>
          <w:r w:rsidRPr="008D07F4">
            <w:rPr>
              <w:lang w:val="en-US"/>
            </w:rPr>
            <w:t xml:space="preserve"> Score</w:t>
          </w:r>
          <w:bookmarkEnd w:id="6"/>
          <w:r w:rsidR="001159B1" w:rsidRPr="008D07F4">
            <w:rPr>
              <w:lang w:val="en-US"/>
            </w:rPr>
            <w:t>kaart</w:t>
          </w:r>
        </w:p>
        <w:p w14:paraId="038EFE8F" w14:textId="2F840B5B" w:rsidR="00173C3A" w:rsidRPr="00B36546" w:rsidRDefault="00AD5E85" w:rsidP="00B36546">
          <w:pPr>
            <w:rPr>
              <w:lang w:val="en-GB"/>
            </w:rPr>
          </w:pPr>
          <w:r w:rsidRPr="00AD5E85">
            <w:rPr>
              <w:rFonts w:cs="Arial"/>
              <w:b/>
              <w:bCs/>
              <w:kern w:val="28"/>
              <w:sz w:val="24"/>
              <w:szCs w:val="32"/>
              <w:lang w:val="en-US"/>
            </w:rPr>
            <w:t>International Finance Corporation (IFC)</w:t>
          </w:r>
        </w:p>
        <w:p w14:paraId="1FC877C3" w14:textId="77777777" w:rsidR="00173C3A" w:rsidRPr="00B36546" w:rsidRDefault="00173C3A" w:rsidP="00B36546">
          <w:pPr>
            <w:tabs>
              <w:tab w:val="left" w:pos="3281"/>
            </w:tabs>
            <w:rPr>
              <w:lang w:val="en-GB"/>
            </w:rPr>
          </w:pPr>
          <w:r w:rsidRPr="00B36546">
            <w:rPr>
              <w:lang w:val="en-GB"/>
            </w:rPr>
            <w:tab/>
          </w:r>
        </w:p>
      </w:tc>
    </w:tr>
    <w:tr w:rsidR="00173C3A" w:rsidRPr="00AD5E85" w14:paraId="2FB7B4EF" w14:textId="77777777" w:rsidTr="000A01F6">
      <w:trPr>
        <w:cantSplit/>
        <w:trHeight w:hRule="exact" w:val="240"/>
      </w:trPr>
      <w:tc>
        <w:tcPr>
          <w:tcW w:w="5640" w:type="dxa"/>
          <w:shd w:val="clear" w:color="auto" w:fill="auto"/>
        </w:tcPr>
        <w:p w14:paraId="71D2669E" w14:textId="77777777" w:rsidR="00173C3A" w:rsidRPr="00B36546" w:rsidRDefault="00173C3A" w:rsidP="00B60860">
          <w:pPr>
            <w:rPr>
              <w:lang w:val="en-GB"/>
            </w:rPr>
          </w:pPr>
        </w:p>
      </w:tc>
    </w:tr>
    <w:tr w:rsidR="00173C3A" w:rsidRPr="00AD5E85" w14:paraId="16087A43" w14:textId="77777777" w:rsidTr="000A01F6">
      <w:trPr>
        <w:cantSplit/>
        <w:trHeight w:hRule="exact" w:val="480"/>
      </w:trPr>
      <w:tc>
        <w:tcPr>
          <w:tcW w:w="5640" w:type="dxa"/>
          <w:shd w:val="clear" w:color="auto" w:fill="auto"/>
        </w:tcPr>
        <w:p w14:paraId="35A50047" w14:textId="77777777" w:rsidR="00173C3A" w:rsidRPr="00B36546" w:rsidRDefault="00173C3A" w:rsidP="00EF0ED5">
          <w:pPr>
            <w:rPr>
              <w:lang w:val="en-GB"/>
            </w:rPr>
          </w:pPr>
        </w:p>
      </w:tc>
    </w:tr>
  </w:tbl>
  <w:p w14:paraId="5E472757" w14:textId="2595340C" w:rsidR="00173C3A" w:rsidRPr="00B36546" w:rsidRDefault="00173C3A">
    <w:pPr>
      <w:rPr>
        <w:lang w:val="en-GB"/>
      </w:rPr>
    </w:pPr>
    <w:r>
      <w:rPr>
        <w:lang w:val="en-GB"/>
      </w:rPr>
      <w:t>Datum</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0D6F5C">
      <w:rPr>
        <w:lang w:val="en-GB"/>
      </w:rPr>
      <w:t>[</w:t>
    </w:r>
    <w:proofErr w:type="spellStart"/>
    <w:r>
      <w:rPr>
        <w:lang w:val="en-GB"/>
      </w:rPr>
      <w:t>xxxx</w:t>
    </w:r>
    <w:proofErr w:type="spellEnd"/>
    <w:r w:rsidR="000D6F5C">
      <w:rPr>
        <w:lang w:val="en-GB"/>
      </w:rPr>
      <w:t>]</w:t>
    </w:r>
  </w:p>
  <w:p w14:paraId="6ABD2DFD" w14:textId="77777777" w:rsidR="00173C3A" w:rsidRPr="00B36546" w:rsidRDefault="00173C3A">
    <w:pPr>
      <w:rPr>
        <w:lang w:val="en-GB"/>
      </w:rPr>
    </w:pPr>
  </w:p>
  <w:p w14:paraId="769A26A3" w14:textId="77777777" w:rsidR="00173C3A" w:rsidRPr="00785F18" w:rsidRDefault="00173C3A" w:rsidP="0006027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8C0D" w14:textId="77777777" w:rsidR="0093015A" w:rsidRPr="00785F18" w:rsidRDefault="0093015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93015A" w:rsidRPr="008517DE" w14:paraId="0D72EA6C" w14:textId="77777777" w:rsidTr="00B06D4B">
      <w:trPr>
        <w:trHeight w:val="400"/>
      </w:trPr>
      <w:tc>
        <w:tcPr>
          <w:tcW w:w="7520" w:type="dxa"/>
          <w:shd w:val="clear" w:color="auto" w:fill="auto"/>
        </w:tcPr>
        <w:p w14:paraId="1371BD2C" w14:textId="32F0BBDA" w:rsidR="0093015A" w:rsidRPr="008517DE" w:rsidRDefault="0093015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006C7EDF" w:rsidRPr="006C7EDF">
            <w:rPr>
              <w:rStyle w:val="Huisstijl-Koptekst"/>
              <w:sz w:val="18"/>
              <w:szCs w:val="18"/>
              <w:lang w:val="en-GB"/>
            </w:rPr>
            <w:t>2025</w:t>
          </w:r>
          <w:r w:rsidR="006C7EDF">
            <w:t xml:space="preserve"> </w:t>
          </w:r>
          <w:r w:rsidR="006C7EDF" w:rsidRPr="00B36546">
            <w:t>Score</w:t>
          </w:r>
          <w:r w:rsidRPr="004111DA">
            <w:rPr>
              <w:rStyle w:val="Huisstijl-Koptekst"/>
              <w:sz w:val="18"/>
              <w:szCs w:val="18"/>
            </w:rPr>
            <w:fldChar w:fldCharType="end"/>
          </w:r>
          <w:r w:rsidR="008E2198">
            <w:rPr>
              <w:rStyle w:val="Huisstijl-Koptekst"/>
              <w:sz w:val="18"/>
              <w:szCs w:val="18"/>
            </w:rPr>
            <w:t>card</w:t>
          </w:r>
          <w:r w:rsidRPr="007B163C">
            <w:rPr>
              <w:rStyle w:val="Huisstijl-Koptekst"/>
              <w:lang w:val="en-GB"/>
            </w:rPr>
            <w:t xml:space="preserve"> | </w:t>
          </w:r>
          <w:r w:rsidR="00AD5E85" w:rsidRPr="00AD5E85">
            <w:rPr>
              <w:rStyle w:val="Huisstijl-Koptekst"/>
              <w:lang w:val="en-GB"/>
            </w:rPr>
            <w:t>International Finance Corporation (IFC)</w:t>
          </w:r>
        </w:p>
      </w:tc>
    </w:tr>
  </w:tbl>
  <w:p w14:paraId="0C97F5DF" w14:textId="77777777" w:rsidR="0093015A" w:rsidRPr="008517DE" w:rsidRDefault="0093015A" w:rsidP="00E51959">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713" w14:textId="77777777" w:rsidR="00173C3A" w:rsidRPr="00785F18" w:rsidRDefault="00173C3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3B0692A9" w14:textId="77777777" w:rsidTr="00B06D4B">
      <w:trPr>
        <w:trHeight w:val="400"/>
      </w:trPr>
      <w:tc>
        <w:tcPr>
          <w:tcW w:w="7520" w:type="dxa"/>
          <w:shd w:val="clear" w:color="auto" w:fill="auto"/>
        </w:tcPr>
        <w:p w14:paraId="3EC8DE57" w14:textId="01F5910C" w:rsidR="00173C3A" w:rsidRPr="008517DE" w:rsidRDefault="00173C3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006C7EDF" w:rsidRPr="006C7EDF">
            <w:rPr>
              <w:rStyle w:val="Huisstijl-Koptekst"/>
              <w:sz w:val="18"/>
              <w:szCs w:val="18"/>
              <w:lang w:val="en-GB"/>
            </w:rPr>
            <w:t>2025</w:t>
          </w:r>
          <w:r w:rsidR="006C7EDF">
            <w:t xml:space="preserve"> </w:t>
          </w:r>
          <w:r w:rsidR="006C7EDF" w:rsidRPr="00B36546">
            <w:t>Score</w:t>
          </w:r>
          <w:r w:rsidRPr="004111DA">
            <w:rPr>
              <w:rStyle w:val="Huisstijl-Koptekst"/>
              <w:sz w:val="18"/>
              <w:szCs w:val="18"/>
            </w:rPr>
            <w:fldChar w:fldCharType="end"/>
          </w:r>
          <w:r w:rsidRPr="007B163C">
            <w:rPr>
              <w:rStyle w:val="Huisstijl-Koptekst"/>
              <w:lang w:val="en-GB"/>
            </w:rPr>
            <w:t xml:space="preserve"> | </w:t>
          </w:r>
          <w:proofErr w:type="spellStart"/>
          <w:r>
            <w:rPr>
              <w:rStyle w:val="Huisstijl-Koptekst"/>
              <w:lang w:val="en-GB"/>
            </w:rPr>
            <w:t>Organisatie</w:t>
          </w:r>
          <w:proofErr w:type="spellEnd"/>
          <w:r w:rsidRPr="008517DE">
            <w:rPr>
              <w:sz w:val="13"/>
              <w:lang w:val="en-GB"/>
            </w:rPr>
            <w:t xml:space="preserve"> </w:t>
          </w:r>
        </w:p>
      </w:tc>
    </w:tr>
  </w:tbl>
  <w:p w14:paraId="06353C2F" w14:textId="77777777" w:rsidR="00173C3A" w:rsidRPr="008517DE" w:rsidRDefault="00173C3A" w:rsidP="00E5195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15:restartNumberingAfterBreak="0">
    <w:nsid w:val="00000402"/>
    <w:multiLevelType w:val="multilevel"/>
    <w:tmpl w:val="FFFFFFFF"/>
    <w:lvl w:ilvl="0">
      <w:numFmt w:val="bullet"/>
      <w:lvlText w:val="•"/>
      <w:lvlJc w:val="left"/>
      <w:pPr>
        <w:ind w:left="603" w:hanging="227"/>
      </w:pPr>
      <w:rPr>
        <w:rFonts w:ascii="Arial" w:hAnsi="Arial" w:cs="Arial"/>
        <w:b w:val="0"/>
        <w:bCs w:val="0"/>
        <w:i w:val="0"/>
        <w:iCs w:val="0"/>
        <w:color w:val="88C7D8"/>
        <w:spacing w:val="0"/>
        <w:w w:val="225"/>
        <w:sz w:val="16"/>
        <w:szCs w:val="16"/>
      </w:rPr>
    </w:lvl>
    <w:lvl w:ilvl="1">
      <w:numFmt w:val="bullet"/>
      <w:lvlText w:val="•"/>
      <w:lvlJc w:val="left"/>
      <w:pPr>
        <w:ind w:left="1496" w:hanging="227"/>
      </w:pPr>
    </w:lvl>
    <w:lvl w:ilvl="2">
      <w:numFmt w:val="bullet"/>
      <w:lvlText w:val="•"/>
      <w:lvlJc w:val="left"/>
      <w:pPr>
        <w:ind w:left="2393" w:hanging="227"/>
      </w:pPr>
    </w:lvl>
    <w:lvl w:ilvl="3">
      <w:numFmt w:val="bullet"/>
      <w:lvlText w:val="•"/>
      <w:lvlJc w:val="left"/>
      <w:pPr>
        <w:ind w:left="3289" w:hanging="227"/>
      </w:pPr>
    </w:lvl>
    <w:lvl w:ilvl="4">
      <w:numFmt w:val="bullet"/>
      <w:lvlText w:val="•"/>
      <w:lvlJc w:val="left"/>
      <w:pPr>
        <w:ind w:left="4186" w:hanging="227"/>
      </w:pPr>
    </w:lvl>
    <w:lvl w:ilvl="5">
      <w:numFmt w:val="bullet"/>
      <w:lvlText w:val="•"/>
      <w:lvlJc w:val="left"/>
      <w:pPr>
        <w:ind w:left="5082" w:hanging="227"/>
      </w:pPr>
    </w:lvl>
    <w:lvl w:ilvl="6">
      <w:numFmt w:val="bullet"/>
      <w:lvlText w:val="•"/>
      <w:lvlJc w:val="left"/>
      <w:pPr>
        <w:ind w:left="5979" w:hanging="227"/>
      </w:pPr>
    </w:lvl>
    <w:lvl w:ilvl="7">
      <w:numFmt w:val="bullet"/>
      <w:lvlText w:val="•"/>
      <w:lvlJc w:val="left"/>
      <w:pPr>
        <w:ind w:left="6875" w:hanging="227"/>
      </w:pPr>
    </w:lvl>
    <w:lvl w:ilvl="8">
      <w:numFmt w:val="bullet"/>
      <w:lvlText w:val="•"/>
      <w:lvlJc w:val="left"/>
      <w:pPr>
        <w:ind w:left="7772" w:hanging="227"/>
      </w:pPr>
    </w:lvl>
  </w:abstractNum>
  <w:abstractNum w:abstractNumId="2" w15:restartNumberingAfterBreak="0">
    <w:nsid w:val="00000403"/>
    <w:multiLevelType w:val="multilevel"/>
    <w:tmpl w:val="FFFFFFFF"/>
    <w:lvl w:ilvl="0">
      <w:numFmt w:val="bullet"/>
      <w:lvlText w:val="•"/>
      <w:lvlJc w:val="left"/>
      <w:pPr>
        <w:ind w:left="603" w:hanging="227"/>
      </w:pPr>
      <w:rPr>
        <w:rFonts w:ascii="Arial" w:hAnsi="Arial" w:cs="Arial"/>
        <w:b w:val="0"/>
        <w:bCs w:val="0"/>
        <w:i w:val="0"/>
        <w:iCs w:val="0"/>
        <w:color w:val="88C7D8"/>
        <w:spacing w:val="0"/>
        <w:w w:val="225"/>
        <w:sz w:val="16"/>
        <w:szCs w:val="16"/>
      </w:rPr>
    </w:lvl>
    <w:lvl w:ilvl="1">
      <w:numFmt w:val="bullet"/>
      <w:lvlText w:val="•"/>
      <w:lvlJc w:val="left"/>
      <w:pPr>
        <w:ind w:left="1496" w:hanging="227"/>
      </w:pPr>
    </w:lvl>
    <w:lvl w:ilvl="2">
      <w:numFmt w:val="bullet"/>
      <w:lvlText w:val="•"/>
      <w:lvlJc w:val="left"/>
      <w:pPr>
        <w:ind w:left="2393" w:hanging="227"/>
      </w:pPr>
    </w:lvl>
    <w:lvl w:ilvl="3">
      <w:numFmt w:val="bullet"/>
      <w:lvlText w:val="•"/>
      <w:lvlJc w:val="left"/>
      <w:pPr>
        <w:ind w:left="3289" w:hanging="227"/>
      </w:pPr>
    </w:lvl>
    <w:lvl w:ilvl="4">
      <w:numFmt w:val="bullet"/>
      <w:lvlText w:val="•"/>
      <w:lvlJc w:val="left"/>
      <w:pPr>
        <w:ind w:left="4186" w:hanging="227"/>
      </w:pPr>
    </w:lvl>
    <w:lvl w:ilvl="5">
      <w:numFmt w:val="bullet"/>
      <w:lvlText w:val="•"/>
      <w:lvlJc w:val="left"/>
      <w:pPr>
        <w:ind w:left="5082" w:hanging="227"/>
      </w:pPr>
    </w:lvl>
    <w:lvl w:ilvl="6">
      <w:numFmt w:val="bullet"/>
      <w:lvlText w:val="•"/>
      <w:lvlJc w:val="left"/>
      <w:pPr>
        <w:ind w:left="5979" w:hanging="227"/>
      </w:pPr>
    </w:lvl>
    <w:lvl w:ilvl="7">
      <w:numFmt w:val="bullet"/>
      <w:lvlText w:val="•"/>
      <w:lvlJc w:val="left"/>
      <w:pPr>
        <w:ind w:left="6875" w:hanging="227"/>
      </w:pPr>
    </w:lvl>
    <w:lvl w:ilvl="8">
      <w:numFmt w:val="bullet"/>
      <w:lvlText w:val="•"/>
      <w:lvlJc w:val="left"/>
      <w:pPr>
        <w:ind w:left="7772" w:hanging="227"/>
      </w:pPr>
    </w:lvl>
  </w:abstractNum>
  <w:abstractNum w:abstractNumId="3" w15:restartNumberingAfterBreak="0">
    <w:nsid w:val="04FE323F"/>
    <w:multiLevelType w:val="multilevel"/>
    <w:tmpl w:val="19DEDDDE"/>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ind w:left="587" w:hanging="360"/>
      </w:pPr>
      <w:rPr>
        <w:rFonts w:ascii="Symbol" w:hAnsi="Symbol" w:hint="default"/>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4"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5" w15:restartNumberingAfterBreak="0">
    <w:nsid w:val="0F166437"/>
    <w:multiLevelType w:val="hybridMultilevel"/>
    <w:tmpl w:val="3EFCA0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54B47"/>
    <w:multiLevelType w:val="multilevel"/>
    <w:tmpl w:val="6D5CBB06"/>
    <w:lvl w:ilvl="0">
      <w:start w:val="2"/>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7" w15:restartNumberingAfterBreak="0">
    <w:nsid w:val="1A5A20BC"/>
    <w:multiLevelType w:val="multilevel"/>
    <w:tmpl w:val="5AEEDE88"/>
    <w:numStyleLink w:val="StyleBulleted"/>
  </w:abstractNum>
  <w:abstractNum w:abstractNumId="8" w15:restartNumberingAfterBreak="0">
    <w:nsid w:val="1BAE0E04"/>
    <w:multiLevelType w:val="hybridMultilevel"/>
    <w:tmpl w:val="2AB83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03251"/>
    <w:multiLevelType w:val="hybridMultilevel"/>
    <w:tmpl w:val="00308E16"/>
    <w:lvl w:ilvl="0" w:tplc="7CB8302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24EE7"/>
    <w:multiLevelType w:val="hybridMultilevel"/>
    <w:tmpl w:val="28A4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03376"/>
    <w:multiLevelType w:val="hybridMultilevel"/>
    <w:tmpl w:val="66F094D2"/>
    <w:lvl w:ilvl="0" w:tplc="08090003">
      <w:start w:val="1"/>
      <w:numFmt w:val="bullet"/>
      <w:lvlText w:val="o"/>
      <w:lvlJc w:val="left"/>
      <w:pPr>
        <w:ind w:left="1401" w:hanging="360"/>
      </w:pPr>
      <w:rPr>
        <w:rFonts w:ascii="Courier New" w:hAnsi="Courier New" w:cs="Courier New" w:hint="default"/>
      </w:rPr>
    </w:lvl>
    <w:lvl w:ilvl="1" w:tplc="FFFFFFFF">
      <w:start w:val="1"/>
      <w:numFmt w:val="bullet"/>
      <w:lvlText w:val="o"/>
      <w:lvlJc w:val="left"/>
      <w:pPr>
        <w:ind w:left="2121" w:hanging="360"/>
      </w:pPr>
      <w:rPr>
        <w:rFonts w:ascii="Courier New" w:hAnsi="Courier New" w:cs="Courier New" w:hint="default"/>
      </w:rPr>
    </w:lvl>
    <w:lvl w:ilvl="2" w:tplc="FFFFFFFF">
      <w:start w:val="1"/>
      <w:numFmt w:val="bullet"/>
      <w:lvlText w:val=""/>
      <w:lvlJc w:val="left"/>
      <w:pPr>
        <w:ind w:left="2841" w:hanging="360"/>
      </w:pPr>
      <w:rPr>
        <w:rFonts w:ascii="Wingdings" w:hAnsi="Wingdings" w:hint="default"/>
      </w:rPr>
    </w:lvl>
    <w:lvl w:ilvl="3" w:tplc="FFFFFFFF">
      <w:start w:val="1"/>
      <w:numFmt w:val="bullet"/>
      <w:lvlText w:val=""/>
      <w:lvlJc w:val="left"/>
      <w:pPr>
        <w:ind w:left="3561" w:hanging="360"/>
      </w:pPr>
      <w:rPr>
        <w:rFonts w:ascii="Symbol" w:hAnsi="Symbol" w:hint="default"/>
      </w:rPr>
    </w:lvl>
    <w:lvl w:ilvl="4" w:tplc="FFFFFFFF">
      <w:start w:val="1"/>
      <w:numFmt w:val="bullet"/>
      <w:lvlText w:val="o"/>
      <w:lvlJc w:val="left"/>
      <w:pPr>
        <w:ind w:left="4281" w:hanging="360"/>
      </w:pPr>
      <w:rPr>
        <w:rFonts w:ascii="Courier New" w:hAnsi="Courier New" w:cs="Courier New" w:hint="default"/>
      </w:rPr>
    </w:lvl>
    <w:lvl w:ilvl="5" w:tplc="FFFFFFFF">
      <w:start w:val="1"/>
      <w:numFmt w:val="bullet"/>
      <w:lvlText w:val=""/>
      <w:lvlJc w:val="left"/>
      <w:pPr>
        <w:ind w:left="5001" w:hanging="360"/>
      </w:pPr>
      <w:rPr>
        <w:rFonts w:ascii="Wingdings" w:hAnsi="Wingdings" w:hint="default"/>
      </w:rPr>
    </w:lvl>
    <w:lvl w:ilvl="6" w:tplc="FFFFFFFF">
      <w:start w:val="1"/>
      <w:numFmt w:val="bullet"/>
      <w:lvlText w:val=""/>
      <w:lvlJc w:val="left"/>
      <w:pPr>
        <w:ind w:left="5721" w:hanging="360"/>
      </w:pPr>
      <w:rPr>
        <w:rFonts w:ascii="Symbol" w:hAnsi="Symbol" w:hint="default"/>
      </w:rPr>
    </w:lvl>
    <w:lvl w:ilvl="7" w:tplc="FFFFFFFF">
      <w:start w:val="1"/>
      <w:numFmt w:val="bullet"/>
      <w:lvlText w:val="o"/>
      <w:lvlJc w:val="left"/>
      <w:pPr>
        <w:ind w:left="6441" w:hanging="360"/>
      </w:pPr>
      <w:rPr>
        <w:rFonts w:ascii="Courier New" w:hAnsi="Courier New" w:cs="Courier New" w:hint="default"/>
      </w:rPr>
    </w:lvl>
    <w:lvl w:ilvl="8" w:tplc="FFFFFFFF">
      <w:start w:val="1"/>
      <w:numFmt w:val="bullet"/>
      <w:lvlText w:val=""/>
      <w:lvlJc w:val="left"/>
      <w:pPr>
        <w:ind w:left="7161" w:hanging="360"/>
      </w:pPr>
      <w:rPr>
        <w:rFonts w:ascii="Wingdings" w:hAnsi="Wingdings" w:hint="default"/>
      </w:rPr>
    </w:lvl>
  </w:abstractNum>
  <w:abstractNum w:abstractNumId="12" w15:restartNumberingAfterBreak="0">
    <w:nsid w:val="2F7D790C"/>
    <w:multiLevelType w:val="hybridMultilevel"/>
    <w:tmpl w:val="23D4E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0E7DDC"/>
    <w:multiLevelType w:val="multilevel"/>
    <w:tmpl w:val="5AEEDE88"/>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4" w15:restartNumberingAfterBreak="0">
    <w:nsid w:val="32273C39"/>
    <w:multiLevelType w:val="hybridMultilevel"/>
    <w:tmpl w:val="6D468B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033E91"/>
    <w:multiLevelType w:val="hybridMultilevel"/>
    <w:tmpl w:val="6C9867D6"/>
    <w:lvl w:ilvl="0" w:tplc="A5FAD76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67F72E5"/>
    <w:multiLevelType w:val="hybridMultilevel"/>
    <w:tmpl w:val="03C05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A3251E3"/>
    <w:multiLevelType w:val="multilevel"/>
    <w:tmpl w:val="19DEDDDE"/>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ind w:left="587" w:hanging="360"/>
      </w:pPr>
      <w:rPr>
        <w:rFonts w:ascii="Symbol" w:hAnsi="Symbol" w:hint="default"/>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8"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9" w15:restartNumberingAfterBreak="0">
    <w:nsid w:val="44361DFA"/>
    <w:multiLevelType w:val="hybridMultilevel"/>
    <w:tmpl w:val="3498309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4DAB4FDB"/>
    <w:multiLevelType w:val="hybridMultilevel"/>
    <w:tmpl w:val="69F07C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1D45CE"/>
    <w:multiLevelType w:val="multilevel"/>
    <w:tmpl w:val="19DEDDDE"/>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ind w:left="587" w:hanging="360"/>
      </w:pPr>
      <w:rPr>
        <w:rFonts w:ascii="Symbol" w:hAnsi="Symbol" w:hint="default"/>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2" w15:restartNumberingAfterBreak="0">
    <w:nsid w:val="543A7F91"/>
    <w:multiLevelType w:val="hybridMultilevel"/>
    <w:tmpl w:val="EAEE56B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4130005">
      <w:start w:val="1"/>
      <w:numFmt w:val="bullet"/>
      <w:lvlText w:val=""/>
      <w:lvlJc w:val="left"/>
      <w:pPr>
        <w:ind w:left="1211"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7EC49E7"/>
    <w:multiLevelType w:val="hybridMultilevel"/>
    <w:tmpl w:val="2F4CFB5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FD11CC6"/>
    <w:multiLevelType w:val="multilevel"/>
    <w:tmpl w:val="3F7A972E"/>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8"/>
      <w:lvlJc w:val="left"/>
      <w:pPr>
        <w:tabs>
          <w:tab w:val="num" w:pos="820"/>
        </w:tabs>
        <w:ind w:left="820" w:hanging="1440"/>
      </w:pPr>
      <w:rPr>
        <w:rFonts w:hint="default"/>
      </w:rPr>
    </w:lvl>
    <w:lvl w:ilvl="8">
      <w:start w:val="1"/>
      <w:numFmt w:val="decimal"/>
      <w:pStyle w:val="Heading9"/>
      <w:lvlText w:val="%8.%9"/>
      <w:lvlJc w:val="left"/>
      <w:pPr>
        <w:tabs>
          <w:tab w:val="num" w:pos="964"/>
        </w:tabs>
        <w:ind w:left="964" w:hanging="1584"/>
      </w:pPr>
      <w:rPr>
        <w:rFonts w:hint="default"/>
      </w:rPr>
    </w:lvl>
  </w:abstractNum>
  <w:abstractNum w:abstractNumId="25" w15:restartNumberingAfterBreak="0">
    <w:nsid w:val="5FE06903"/>
    <w:multiLevelType w:val="hybridMultilevel"/>
    <w:tmpl w:val="BA8049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404D5D"/>
    <w:multiLevelType w:val="multilevel"/>
    <w:tmpl w:val="19DEDDDE"/>
    <w:lvl w:ilvl="0">
      <w:start w:val="1"/>
      <w:numFmt w:val="bullet"/>
      <w:lvlText w:val="•"/>
      <w:lvlJc w:val="left"/>
      <w:pPr>
        <w:tabs>
          <w:tab w:val="num" w:pos="0"/>
        </w:tabs>
        <w:ind w:left="0" w:hanging="227"/>
      </w:pPr>
      <w:rPr>
        <w:rFonts w:ascii="Verdana" w:hAnsi="Verdana" w:hint="default"/>
        <w:color w:val="auto"/>
        <w:sz w:val="18"/>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0"/>
        </w:tabs>
        <w:ind w:left="453" w:hanging="226"/>
      </w:pPr>
      <w:rPr>
        <w:rFonts w:ascii="Verdana" w:hAnsi="Verdana" w:hint="default"/>
      </w:rPr>
    </w:lvl>
    <w:lvl w:ilvl="3">
      <w:start w:val="1"/>
      <w:numFmt w:val="bullet"/>
      <w:lvlText w:val="-"/>
      <w:lvlJc w:val="left"/>
      <w:pPr>
        <w:tabs>
          <w:tab w:val="num" w:pos="0"/>
        </w:tabs>
        <w:ind w:left="680" w:hanging="227"/>
      </w:pPr>
      <w:rPr>
        <w:rFonts w:ascii="Verdana" w:hAnsi="Verdana" w:hint="default"/>
      </w:rPr>
    </w:lvl>
    <w:lvl w:ilvl="4">
      <w:start w:val="1"/>
      <w:numFmt w:val="bullet"/>
      <w:lvlText w:val="•"/>
      <w:lvlJc w:val="left"/>
      <w:pPr>
        <w:tabs>
          <w:tab w:val="num" w:pos="0"/>
        </w:tabs>
        <w:ind w:left="907" w:hanging="227"/>
      </w:pPr>
      <w:rPr>
        <w:rFonts w:ascii="Verdana" w:hAnsi="Verdana" w:hint="default"/>
      </w:rPr>
    </w:lvl>
    <w:lvl w:ilvl="5">
      <w:start w:val="1"/>
      <w:numFmt w:val="bullet"/>
      <w:lvlText w:val="-"/>
      <w:lvlJc w:val="left"/>
      <w:pPr>
        <w:tabs>
          <w:tab w:val="num" w:pos="0"/>
        </w:tabs>
        <w:ind w:left="1134" w:hanging="227"/>
      </w:pPr>
      <w:rPr>
        <w:rFonts w:ascii="Verdana" w:hAnsi="Verdana" w:hint="default"/>
      </w:rPr>
    </w:lvl>
    <w:lvl w:ilvl="6">
      <w:start w:val="1"/>
      <w:numFmt w:val="bullet"/>
      <w:lvlText w:val="•"/>
      <w:lvlJc w:val="left"/>
      <w:pPr>
        <w:tabs>
          <w:tab w:val="num" w:pos="0"/>
        </w:tabs>
        <w:ind w:left="1361" w:hanging="227"/>
      </w:pPr>
      <w:rPr>
        <w:rFonts w:ascii="Verdana" w:hAnsi="Verdana" w:hint="default"/>
      </w:rPr>
    </w:lvl>
    <w:lvl w:ilvl="7">
      <w:start w:val="1"/>
      <w:numFmt w:val="bullet"/>
      <w:lvlText w:val="-"/>
      <w:lvlJc w:val="left"/>
      <w:pPr>
        <w:tabs>
          <w:tab w:val="num" w:pos="0"/>
        </w:tabs>
        <w:ind w:left="1587" w:hanging="226"/>
      </w:pPr>
      <w:rPr>
        <w:rFonts w:ascii="Verdana" w:hAnsi="Verdana" w:hint="default"/>
      </w:rPr>
    </w:lvl>
    <w:lvl w:ilvl="8">
      <w:start w:val="1"/>
      <w:numFmt w:val="bullet"/>
      <w:lvlText w:val="•"/>
      <w:lvlJc w:val="left"/>
      <w:pPr>
        <w:tabs>
          <w:tab w:val="num" w:pos="0"/>
        </w:tabs>
        <w:ind w:left="1814" w:hanging="227"/>
      </w:pPr>
      <w:rPr>
        <w:rFonts w:ascii="Verdana" w:hAnsi="Verdana" w:hint="default"/>
      </w:rPr>
    </w:lvl>
  </w:abstractNum>
  <w:abstractNum w:abstractNumId="27"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8" w15:restartNumberingAfterBreak="0">
    <w:nsid w:val="6B137ACA"/>
    <w:multiLevelType w:val="multilevel"/>
    <w:tmpl w:val="D64CA364"/>
    <w:lvl w:ilvl="0">
      <w:start w:val="1"/>
      <w:numFmt w:val="bullet"/>
      <w:lvlText w:val=""/>
      <w:lvlJc w:val="left"/>
      <w:pPr>
        <w:tabs>
          <w:tab w:val="num" w:pos="1041"/>
        </w:tabs>
        <w:ind w:left="1041" w:hanging="360"/>
      </w:pPr>
      <w:rPr>
        <w:rFonts w:ascii="Symbol" w:hAnsi="Symbol" w:hint="default"/>
        <w:sz w:val="20"/>
      </w:rPr>
    </w:lvl>
    <w:lvl w:ilvl="1">
      <w:start w:val="1"/>
      <w:numFmt w:val="bullet"/>
      <w:lvlText w:val=""/>
      <w:lvlJc w:val="left"/>
      <w:pPr>
        <w:tabs>
          <w:tab w:val="num" w:pos="1761"/>
        </w:tabs>
        <w:ind w:left="1761" w:hanging="360"/>
      </w:pPr>
      <w:rPr>
        <w:rFonts w:ascii="Symbol" w:hAnsi="Symbol" w:hint="default"/>
        <w:sz w:val="20"/>
      </w:rPr>
    </w:lvl>
    <w:lvl w:ilvl="2">
      <w:start w:val="1"/>
      <w:numFmt w:val="bullet"/>
      <w:lvlText w:val=""/>
      <w:lvlJc w:val="left"/>
      <w:pPr>
        <w:tabs>
          <w:tab w:val="num" w:pos="2481"/>
        </w:tabs>
        <w:ind w:left="2481" w:hanging="360"/>
      </w:pPr>
      <w:rPr>
        <w:rFonts w:ascii="Symbol" w:hAnsi="Symbol" w:hint="default"/>
        <w:sz w:val="20"/>
      </w:rPr>
    </w:lvl>
    <w:lvl w:ilvl="3">
      <w:start w:val="1"/>
      <w:numFmt w:val="bullet"/>
      <w:lvlText w:val=""/>
      <w:lvlJc w:val="left"/>
      <w:pPr>
        <w:tabs>
          <w:tab w:val="num" w:pos="3201"/>
        </w:tabs>
        <w:ind w:left="3201" w:hanging="360"/>
      </w:pPr>
      <w:rPr>
        <w:rFonts w:ascii="Symbol" w:hAnsi="Symbol" w:hint="default"/>
        <w:sz w:val="20"/>
      </w:rPr>
    </w:lvl>
    <w:lvl w:ilvl="4">
      <w:start w:val="1"/>
      <w:numFmt w:val="bullet"/>
      <w:lvlText w:val=""/>
      <w:lvlJc w:val="left"/>
      <w:pPr>
        <w:tabs>
          <w:tab w:val="num" w:pos="3921"/>
        </w:tabs>
        <w:ind w:left="3921" w:hanging="360"/>
      </w:pPr>
      <w:rPr>
        <w:rFonts w:ascii="Symbol" w:hAnsi="Symbol" w:hint="default"/>
        <w:sz w:val="20"/>
      </w:rPr>
    </w:lvl>
    <w:lvl w:ilvl="5">
      <w:start w:val="1"/>
      <w:numFmt w:val="bullet"/>
      <w:lvlText w:val=""/>
      <w:lvlJc w:val="left"/>
      <w:pPr>
        <w:tabs>
          <w:tab w:val="num" w:pos="4641"/>
        </w:tabs>
        <w:ind w:left="4641" w:hanging="360"/>
      </w:pPr>
      <w:rPr>
        <w:rFonts w:ascii="Symbol" w:hAnsi="Symbol" w:hint="default"/>
        <w:sz w:val="20"/>
      </w:rPr>
    </w:lvl>
    <w:lvl w:ilvl="6">
      <w:start w:val="1"/>
      <w:numFmt w:val="bullet"/>
      <w:lvlText w:val=""/>
      <w:lvlJc w:val="left"/>
      <w:pPr>
        <w:tabs>
          <w:tab w:val="num" w:pos="5361"/>
        </w:tabs>
        <w:ind w:left="5361" w:hanging="360"/>
      </w:pPr>
      <w:rPr>
        <w:rFonts w:ascii="Symbol" w:hAnsi="Symbol" w:hint="default"/>
        <w:sz w:val="20"/>
      </w:rPr>
    </w:lvl>
    <w:lvl w:ilvl="7">
      <w:start w:val="1"/>
      <w:numFmt w:val="bullet"/>
      <w:lvlText w:val=""/>
      <w:lvlJc w:val="left"/>
      <w:pPr>
        <w:tabs>
          <w:tab w:val="num" w:pos="6081"/>
        </w:tabs>
        <w:ind w:left="6081" w:hanging="360"/>
      </w:pPr>
      <w:rPr>
        <w:rFonts w:ascii="Symbol" w:hAnsi="Symbol" w:hint="default"/>
        <w:sz w:val="20"/>
      </w:rPr>
    </w:lvl>
    <w:lvl w:ilvl="8">
      <w:start w:val="1"/>
      <w:numFmt w:val="bullet"/>
      <w:lvlText w:val=""/>
      <w:lvlJc w:val="left"/>
      <w:pPr>
        <w:tabs>
          <w:tab w:val="num" w:pos="6801"/>
        </w:tabs>
        <w:ind w:left="6801" w:hanging="360"/>
      </w:pPr>
      <w:rPr>
        <w:rFonts w:ascii="Symbol" w:hAnsi="Symbol" w:hint="default"/>
        <w:sz w:val="20"/>
      </w:rPr>
    </w:lvl>
  </w:abstractNum>
  <w:abstractNum w:abstractNumId="29"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30" w15:restartNumberingAfterBreak="0">
    <w:nsid w:val="77555624"/>
    <w:multiLevelType w:val="multilevel"/>
    <w:tmpl w:val="53AC82DE"/>
    <w:lvl w:ilvl="0">
      <w:start w:val="3"/>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31" w15:restartNumberingAfterBreak="0">
    <w:nsid w:val="77C93520"/>
    <w:multiLevelType w:val="hybridMultilevel"/>
    <w:tmpl w:val="AE463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AA3C22"/>
    <w:multiLevelType w:val="hybridMultilevel"/>
    <w:tmpl w:val="B4A219B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23739684">
    <w:abstractNumId w:val="24"/>
  </w:num>
  <w:num w:numId="2" w16cid:durableId="284311903">
    <w:abstractNumId w:val="27"/>
  </w:num>
  <w:num w:numId="3" w16cid:durableId="587690219">
    <w:abstractNumId w:val="18"/>
  </w:num>
  <w:num w:numId="4" w16cid:durableId="235826922">
    <w:abstractNumId w:val="0"/>
  </w:num>
  <w:num w:numId="5" w16cid:durableId="280891140">
    <w:abstractNumId w:val="29"/>
  </w:num>
  <w:num w:numId="6" w16cid:durableId="1047072295">
    <w:abstractNumId w:val="4"/>
  </w:num>
  <w:num w:numId="7" w16cid:durableId="314527761">
    <w:abstractNumId w:val="9"/>
  </w:num>
  <w:num w:numId="8" w16cid:durableId="756706139">
    <w:abstractNumId w:val="7"/>
  </w:num>
  <w:num w:numId="9" w16cid:durableId="1177692037">
    <w:abstractNumId w:val="26"/>
  </w:num>
  <w:num w:numId="10" w16cid:durableId="1831561140">
    <w:abstractNumId w:val="13"/>
  </w:num>
  <w:num w:numId="11" w16cid:durableId="1559248764">
    <w:abstractNumId w:val="30"/>
  </w:num>
  <w:num w:numId="12" w16cid:durableId="818033085">
    <w:abstractNumId w:val="6"/>
  </w:num>
  <w:num w:numId="13" w16cid:durableId="720596893">
    <w:abstractNumId w:val="8"/>
  </w:num>
  <w:num w:numId="14" w16cid:durableId="1294555136">
    <w:abstractNumId w:val="20"/>
  </w:num>
  <w:num w:numId="15" w16cid:durableId="1422216929">
    <w:abstractNumId w:val="25"/>
  </w:num>
  <w:num w:numId="16" w16cid:durableId="1604067006">
    <w:abstractNumId w:val="28"/>
  </w:num>
  <w:num w:numId="17" w16cid:durableId="20059299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5505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005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717896">
    <w:abstractNumId w:val="11"/>
  </w:num>
  <w:num w:numId="21" w16cid:durableId="164833070">
    <w:abstractNumId w:val="14"/>
  </w:num>
  <w:num w:numId="22" w16cid:durableId="2110420158">
    <w:abstractNumId w:val="2"/>
  </w:num>
  <w:num w:numId="23" w16cid:durableId="2128544619">
    <w:abstractNumId w:val="1"/>
  </w:num>
  <w:num w:numId="24" w16cid:durableId="2099212912">
    <w:abstractNumId w:val="22"/>
  </w:num>
  <w:num w:numId="25" w16cid:durableId="305211391">
    <w:abstractNumId w:val="5"/>
  </w:num>
  <w:num w:numId="26" w16cid:durableId="1654018392">
    <w:abstractNumId w:val="19"/>
  </w:num>
  <w:num w:numId="27" w16cid:durableId="1753356055">
    <w:abstractNumId w:val="31"/>
  </w:num>
  <w:num w:numId="28" w16cid:durableId="854996685">
    <w:abstractNumId w:val="3"/>
  </w:num>
  <w:num w:numId="29" w16cid:durableId="1983532468">
    <w:abstractNumId w:val="17"/>
  </w:num>
  <w:num w:numId="30" w16cid:durableId="111443190">
    <w:abstractNumId w:val="21"/>
  </w:num>
  <w:num w:numId="31" w16cid:durableId="184027220">
    <w:abstractNumId w:val="10"/>
  </w:num>
  <w:num w:numId="32" w16cid:durableId="700404229">
    <w:abstractNumId w:val="15"/>
  </w:num>
  <w:num w:numId="33" w16cid:durableId="231045572">
    <w:abstractNumId w:val="12"/>
  </w:num>
  <w:num w:numId="34" w16cid:durableId="12720735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18"/>
    <w:rsid w:val="00000BF3"/>
    <w:rsid w:val="0000367D"/>
    <w:rsid w:val="0000392E"/>
    <w:rsid w:val="00003A32"/>
    <w:rsid w:val="00005884"/>
    <w:rsid w:val="00006E47"/>
    <w:rsid w:val="0001039D"/>
    <w:rsid w:val="0001095C"/>
    <w:rsid w:val="000114F8"/>
    <w:rsid w:val="000130BA"/>
    <w:rsid w:val="00013196"/>
    <w:rsid w:val="00015FFE"/>
    <w:rsid w:val="00016C57"/>
    <w:rsid w:val="00016FCE"/>
    <w:rsid w:val="00020189"/>
    <w:rsid w:val="00020EE4"/>
    <w:rsid w:val="000227EB"/>
    <w:rsid w:val="000234D6"/>
    <w:rsid w:val="0002628D"/>
    <w:rsid w:val="00026447"/>
    <w:rsid w:val="0002695C"/>
    <w:rsid w:val="000304C1"/>
    <w:rsid w:val="00031268"/>
    <w:rsid w:val="00032C0E"/>
    <w:rsid w:val="00033419"/>
    <w:rsid w:val="00033426"/>
    <w:rsid w:val="00033950"/>
    <w:rsid w:val="00033E8D"/>
    <w:rsid w:val="00034A84"/>
    <w:rsid w:val="00035E67"/>
    <w:rsid w:val="0003774C"/>
    <w:rsid w:val="0004192F"/>
    <w:rsid w:val="000422E7"/>
    <w:rsid w:val="00043BCC"/>
    <w:rsid w:val="00044809"/>
    <w:rsid w:val="00045A4F"/>
    <w:rsid w:val="000463B3"/>
    <w:rsid w:val="00046866"/>
    <w:rsid w:val="00047318"/>
    <w:rsid w:val="0005061F"/>
    <w:rsid w:val="00050ABD"/>
    <w:rsid w:val="00050B6A"/>
    <w:rsid w:val="00051416"/>
    <w:rsid w:val="0005459E"/>
    <w:rsid w:val="00054A4B"/>
    <w:rsid w:val="000559DE"/>
    <w:rsid w:val="000560D7"/>
    <w:rsid w:val="00056A80"/>
    <w:rsid w:val="00057B03"/>
    <w:rsid w:val="0006027D"/>
    <w:rsid w:val="000605A3"/>
    <w:rsid w:val="00063486"/>
    <w:rsid w:val="00064D94"/>
    <w:rsid w:val="00066F2B"/>
    <w:rsid w:val="0006700B"/>
    <w:rsid w:val="000705D1"/>
    <w:rsid w:val="000712A8"/>
    <w:rsid w:val="00071F28"/>
    <w:rsid w:val="00072371"/>
    <w:rsid w:val="00076FCC"/>
    <w:rsid w:val="00077900"/>
    <w:rsid w:val="00080AE8"/>
    <w:rsid w:val="00081825"/>
    <w:rsid w:val="00081DD4"/>
    <w:rsid w:val="0008255C"/>
    <w:rsid w:val="00082BB1"/>
    <w:rsid w:val="000842B5"/>
    <w:rsid w:val="000842F4"/>
    <w:rsid w:val="00085F22"/>
    <w:rsid w:val="0008640E"/>
    <w:rsid w:val="0008784B"/>
    <w:rsid w:val="00087FA0"/>
    <w:rsid w:val="000903DE"/>
    <w:rsid w:val="00090808"/>
    <w:rsid w:val="0009114D"/>
    <w:rsid w:val="000912C6"/>
    <w:rsid w:val="000924C1"/>
    <w:rsid w:val="00092A62"/>
    <w:rsid w:val="00093522"/>
    <w:rsid w:val="00094518"/>
    <w:rsid w:val="00094A14"/>
    <w:rsid w:val="00094B45"/>
    <w:rsid w:val="00095A74"/>
    <w:rsid w:val="00096680"/>
    <w:rsid w:val="00097026"/>
    <w:rsid w:val="00097B3F"/>
    <w:rsid w:val="000A01F6"/>
    <w:rsid w:val="000A0BB1"/>
    <w:rsid w:val="000A22CF"/>
    <w:rsid w:val="000A27FF"/>
    <w:rsid w:val="000A2DF7"/>
    <w:rsid w:val="000A381C"/>
    <w:rsid w:val="000A3AF6"/>
    <w:rsid w:val="000B0E8C"/>
    <w:rsid w:val="000B1BEF"/>
    <w:rsid w:val="000B2A0F"/>
    <w:rsid w:val="000B477F"/>
    <w:rsid w:val="000B64F8"/>
    <w:rsid w:val="000B7281"/>
    <w:rsid w:val="000B73BA"/>
    <w:rsid w:val="000C05BF"/>
    <w:rsid w:val="000C0757"/>
    <w:rsid w:val="000C07A1"/>
    <w:rsid w:val="000C082E"/>
    <w:rsid w:val="000C0FB6"/>
    <w:rsid w:val="000C3F40"/>
    <w:rsid w:val="000C43A2"/>
    <w:rsid w:val="000C4679"/>
    <w:rsid w:val="000C521E"/>
    <w:rsid w:val="000C575D"/>
    <w:rsid w:val="000C5810"/>
    <w:rsid w:val="000C5E4F"/>
    <w:rsid w:val="000C6EED"/>
    <w:rsid w:val="000D2C16"/>
    <w:rsid w:val="000D3986"/>
    <w:rsid w:val="000D43C3"/>
    <w:rsid w:val="000D6F5C"/>
    <w:rsid w:val="000D7BB7"/>
    <w:rsid w:val="000E15AA"/>
    <w:rsid w:val="000E1935"/>
    <w:rsid w:val="000E21AD"/>
    <w:rsid w:val="000E447B"/>
    <w:rsid w:val="000F03D7"/>
    <w:rsid w:val="000F06F3"/>
    <w:rsid w:val="000F1533"/>
    <w:rsid w:val="000F1A72"/>
    <w:rsid w:val="000F2632"/>
    <w:rsid w:val="000F2BD2"/>
    <w:rsid w:val="000F46A7"/>
    <w:rsid w:val="000F4B53"/>
    <w:rsid w:val="000F5128"/>
    <w:rsid w:val="000F53BE"/>
    <w:rsid w:val="000F5CDF"/>
    <w:rsid w:val="000F6168"/>
    <w:rsid w:val="000F61BB"/>
    <w:rsid w:val="000F62B9"/>
    <w:rsid w:val="00101F98"/>
    <w:rsid w:val="00102247"/>
    <w:rsid w:val="00102DFB"/>
    <w:rsid w:val="001031E7"/>
    <w:rsid w:val="00104517"/>
    <w:rsid w:val="0010574C"/>
    <w:rsid w:val="001069BA"/>
    <w:rsid w:val="00107EB4"/>
    <w:rsid w:val="001159B1"/>
    <w:rsid w:val="00116E2A"/>
    <w:rsid w:val="001210BF"/>
    <w:rsid w:val="00121AD6"/>
    <w:rsid w:val="00122BDB"/>
    <w:rsid w:val="00123082"/>
    <w:rsid w:val="00123704"/>
    <w:rsid w:val="00123BBE"/>
    <w:rsid w:val="00124B64"/>
    <w:rsid w:val="00125028"/>
    <w:rsid w:val="00125154"/>
    <w:rsid w:val="00125A07"/>
    <w:rsid w:val="001270C7"/>
    <w:rsid w:val="00127516"/>
    <w:rsid w:val="00130DA2"/>
    <w:rsid w:val="00131D1F"/>
    <w:rsid w:val="0013367A"/>
    <w:rsid w:val="00134D07"/>
    <w:rsid w:val="00136130"/>
    <w:rsid w:val="00136D94"/>
    <w:rsid w:val="00137BAC"/>
    <w:rsid w:val="00140948"/>
    <w:rsid w:val="0014120F"/>
    <w:rsid w:val="0014161D"/>
    <w:rsid w:val="001416E6"/>
    <w:rsid w:val="00141F6F"/>
    <w:rsid w:val="00142259"/>
    <w:rsid w:val="00142628"/>
    <w:rsid w:val="00142859"/>
    <w:rsid w:val="001429A1"/>
    <w:rsid w:val="00142BCD"/>
    <w:rsid w:val="00144379"/>
    <w:rsid w:val="0014786A"/>
    <w:rsid w:val="0015109B"/>
    <w:rsid w:val="001516A4"/>
    <w:rsid w:val="00154AD8"/>
    <w:rsid w:val="00156E1E"/>
    <w:rsid w:val="00157A0C"/>
    <w:rsid w:val="00157FFB"/>
    <w:rsid w:val="001609A6"/>
    <w:rsid w:val="00163F42"/>
    <w:rsid w:val="00163F5B"/>
    <w:rsid w:val="00163FA2"/>
    <w:rsid w:val="00163FF4"/>
    <w:rsid w:val="00164384"/>
    <w:rsid w:val="00164D75"/>
    <w:rsid w:val="00165BCE"/>
    <w:rsid w:val="00166242"/>
    <w:rsid w:val="00167F79"/>
    <w:rsid w:val="00171AFC"/>
    <w:rsid w:val="001739A0"/>
    <w:rsid w:val="00173C3A"/>
    <w:rsid w:val="001742A8"/>
    <w:rsid w:val="001753DD"/>
    <w:rsid w:val="0017798F"/>
    <w:rsid w:val="001802CA"/>
    <w:rsid w:val="00180CBA"/>
    <w:rsid w:val="00181629"/>
    <w:rsid w:val="00181A35"/>
    <w:rsid w:val="00182016"/>
    <w:rsid w:val="00182250"/>
    <w:rsid w:val="00182C7C"/>
    <w:rsid w:val="00183CBA"/>
    <w:rsid w:val="00183FB1"/>
    <w:rsid w:val="00185576"/>
    <w:rsid w:val="00185951"/>
    <w:rsid w:val="00185C44"/>
    <w:rsid w:val="00191587"/>
    <w:rsid w:val="00192687"/>
    <w:rsid w:val="0019336F"/>
    <w:rsid w:val="00193994"/>
    <w:rsid w:val="00194809"/>
    <w:rsid w:val="001952F9"/>
    <w:rsid w:val="00195B13"/>
    <w:rsid w:val="001A2505"/>
    <w:rsid w:val="001A4CE3"/>
    <w:rsid w:val="001A5422"/>
    <w:rsid w:val="001B0189"/>
    <w:rsid w:val="001B01D9"/>
    <w:rsid w:val="001B1B4E"/>
    <w:rsid w:val="001B2C4B"/>
    <w:rsid w:val="001B3BB1"/>
    <w:rsid w:val="001B5DC5"/>
    <w:rsid w:val="001B6A49"/>
    <w:rsid w:val="001B793F"/>
    <w:rsid w:val="001B7D7E"/>
    <w:rsid w:val="001C0CF4"/>
    <w:rsid w:val="001C1AF8"/>
    <w:rsid w:val="001C3DBE"/>
    <w:rsid w:val="001C3DE6"/>
    <w:rsid w:val="001C47F8"/>
    <w:rsid w:val="001C49CC"/>
    <w:rsid w:val="001C4F81"/>
    <w:rsid w:val="001C6550"/>
    <w:rsid w:val="001C793E"/>
    <w:rsid w:val="001D0371"/>
    <w:rsid w:val="001D0FB6"/>
    <w:rsid w:val="001D1893"/>
    <w:rsid w:val="001D26DD"/>
    <w:rsid w:val="001D288C"/>
    <w:rsid w:val="001D30C1"/>
    <w:rsid w:val="001D5178"/>
    <w:rsid w:val="001D7F60"/>
    <w:rsid w:val="001E1E35"/>
    <w:rsid w:val="001E2B9C"/>
    <w:rsid w:val="001E34C6"/>
    <w:rsid w:val="001E4C55"/>
    <w:rsid w:val="001E4F43"/>
    <w:rsid w:val="001E5581"/>
    <w:rsid w:val="001E58AD"/>
    <w:rsid w:val="001E628B"/>
    <w:rsid w:val="001E73BA"/>
    <w:rsid w:val="001F0250"/>
    <w:rsid w:val="001F0D75"/>
    <w:rsid w:val="001F2538"/>
    <w:rsid w:val="001F3AD3"/>
    <w:rsid w:val="001F4D72"/>
    <w:rsid w:val="001F562C"/>
    <w:rsid w:val="001F583B"/>
    <w:rsid w:val="001F6340"/>
    <w:rsid w:val="0020202E"/>
    <w:rsid w:val="002022F6"/>
    <w:rsid w:val="00203B6B"/>
    <w:rsid w:val="00204045"/>
    <w:rsid w:val="00204E0A"/>
    <w:rsid w:val="002068BD"/>
    <w:rsid w:val="00210629"/>
    <w:rsid w:val="00211122"/>
    <w:rsid w:val="002121BE"/>
    <w:rsid w:val="0021384A"/>
    <w:rsid w:val="00216302"/>
    <w:rsid w:val="002165AB"/>
    <w:rsid w:val="00216ADD"/>
    <w:rsid w:val="002212B1"/>
    <w:rsid w:val="00221806"/>
    <w:rsid w:val="002222A2"/>
    <w:rsid w:val="0022295F"/>
    <w:rsid w:val="00223E42"/>
    <w:rsid w:val="002266AB"/>
    <w:rsid w:val="00234DF4"/>
    <w:rsid w:val="00234F48"/>
    <w:rsid w:val="00235814"/>
    <w:rsid w:val="00237401"/>
    <w:rsid w:val="00237F45"/>
    <w:rsid w:val="002404E7"/>
    <w:rsid w:val="0024163C"/>
    <w:rsid w:val="00242356"/>
    <w:rsid w:val="002428E3"/>
    <w:rsid w:val="00247458"/>
    <w:rsid w:val="0025034D"/>
    <w:rsid w:val="00254103"/>
    <w:rsid w:val="00256819"/>
    <w:rsid w:val="002568BC"/>
    <w:rsid w:val="00256E73"/>
    <w:rsid w:val="002579E2"/>
    <w:rsid w:val="00260BAF"/>
    <w:rsid w:val="00261F77"/>
    <w:rsid w:val="00262606"/>
    <w:rsid w:val="002633CA"/>
    <w:rsid w:val="002644F5"/>
    <w:rsid w:val="00264CB9"/>
    <w:rsid w:val="002650F7"/>
    <w:rsid w:val="00265477"/>
    <w:rsid w:val="00266018"/>
    <w:rsid w:val="00267BA5"/>
    <w:rsid w:val="0027051F"/>
    <w:rsid w:val="002731C3"/>
    <w:rsid w:val="002733CD"/>
    <w:rsid w:val="0027471C"/>
    <w:rsid w:val="00274E51"/>
    <w:rsid w:val="00275555"/>
    <w:rsid w:val="002803F3"/>
    <w:rsid w:val="0028070F"/>
    <w:rsid w:val="00280CF7"/>
    <w:rsid w:val="00280F74"/>
    <w:rsid w:val="00281846"/>
    <w:rsid w:val="00283363"/>
    <w:rsid w:val="00283899"/>
    <w:rsid w:val="00286998"/>
    <w:rsid w:val="002874CC"/>
    <w:rsid w:val="00290320"/>
    <w:rsid w:val="00290657"/>
    <w:rsid w:val="002912E8"/>
    <w:rsid w:val="002957DE"/>
    <w:rsid w:val="00296115"/>
    <w:rsid w:val="00297320"/>
    <w:rsid w:val="002A149F"/>
    <w:rsid w:val="002A1CB5"/>
    <w:rsid w:val="002A310E"/>
    <w:rsid w:val="002A5261"/>
    <w:rsid w:val="002A6BF7"/>
    <w:rsid w:val="002B0F2F"/>
    <w:rsid w:val="002B153C"/>
    <w:rsid w:val="002B1BE2"/>
    <w:rsid w:val="002B6A2F"/>
    <w:rsid w:val="002B7582"/>
    <w:rsid w:val="002B76D0"/>
    <w:rsid w:val="002C2320"/>
    <w:rsid w:val="002C3659"/>
    <w:rsid w:val="002C45B0"/>
    <w:rsid w:val="002C6064"/>
    <w:rsid w:val="002C6930"/>
    <w:rsid w:val="002C6A05"/>
    <w:rsid w:val="002C7285"/>
    <w:rsid w:val="002C7362"/>
    <w:rsid w:val="002C75D9"/>
    <w:rsid w:val="002C77AF"/>
    <w:rsid w:val="002D1801"/>
    <w:rsid w:val="002D1AA8"/>
    <w:rsid w:val="002D1BD5"/>
    <w:rsid w:val="002D1C24"/>
    <w:rsid w:val="002D3129"/>
    <w:rsid w:val="002D317B"/>
    <w:rsid w:val="002D6BF5"/>
    <w:rsid w:val="002D70F3"/>
    <w:rsid w:val="002E05CA"/>
    <w:rsid w:val="002E0F69"/>
    <w:rsid w:val="002E14DF"/>
    <w:rsid w:val="002E14E1"/>
    <w:rsid w:val="002E15E6"/>
    <w:rsid w:val="002E184D"/>
    <w:rsid w:val="002E1FAD"/>
    <w:rsid w:val="002E3B06"/>
    <w:rsid w:val="002E3F64"/>
    <w:rsid w:val="002E44D1"/>
    <w:rsid w:val="002E572E"/>
    <w:rsid w:val="002E7941"/>
    <w:rsid w:val="002E79A1"/>
    <w:rsid w:val="002F070F"/>
    <w:rsid w:val="002F1D5F"/>
    <w:rsid w:val="002F35DC"/>
    <w:rsid w:val="002F4CA6"/>
    <w:rsid w:val="002F56DD"/>
    <w:rsid w:val="002F5E6C"/>
    <w:rsid w:val="002F6CE5"/>
    <w:rsid w:val="002F7070"/>
    <w:rsid w:val="0030018C"/>
    <w:rsid w:val="00300D9E"/>
    <w:rsid w:val="0030201A"/>
    <w:rsid w:val="00302C0A"/>
    <w:rsid w:val="0030310E"/>
    <w:rsid w:val="00303724"/>
    <w:rsid w:val="00304324"/>
    <w:rsid w:val="003051CC"/>
    <w:rsid w:val="00306A31"/>
    <w:rsid w:val="00306B7E"/>
    <w:rsid w:val="00307981"/>
    <w:rsid w:val="00307CF0"/>
    <w:rsid w:val="00311D97"/>
    <w:rsid w:val="00312597"/>
    <w:rsid w:val="003139A4"/>
    <w:rsid w:val="003141DF"/>
    <w:rsid w:val="0031751C"/>
    <w:rsid w:val="00317E65"/>
    <w:rsid w:val="00321AA3"/>
    <w:rsid w:val="00323304"/>
    <w:rsid w:val="00326699"/>
    <w:rsid w:val="0033173E"/>
    <w:rsid w:val="00331B8E"/>
    <w:rsid w:val="0033207E"/>
    <w:rsid w:val="00333036"/>
    <w:rsid w:val="003331DA"/>
    <w:rsid w:val="00333A30"/>
    <w:rsid w:val="00333A9E"/>
    <w:rsid w:val="00334334"/>
    <w:rsid w:val="00335F89"/>
    <w:rsid w:val="003412ED"/>
    <w:rsid w:val="00341585"/>
    <w:rsid w:val="00341B5D"/>
    <w:rsid w:val="00342938"/>
    <w:rsid w:val="00343F24"/>
    <w:rsid w:val="003477DF"/>
    <w:rsid w:val="00350D8F"/>
    <w:rsid w:val="00350DC8"/>
    <w:rsid w:val="00351AAF"/>
    <w:rsid w:val="00353D56"/>
    <w:rsid w:val="00354908"/>
    <w:rsid w:val="003554B8"/>
    <w:rsid w:val="00355575"/>
    <w:rsid w:val="003555BF"/>
    <w:rsid w:val="0035777A"/>
    <w:rsid w:val="00357FCF"/>
    <w:rsid w:val="0036223B"/>
    <w:rsid w:val="0036252A"/>
    <w:rsid w:val="003646BF"/>
    <w:rsid w:val="00364D9D"/>
    <w:rsid w:val="00365036"/>
    <w:rsid w:val="003668AB"/>
    <w:rsid w:val="00367D55"/>
    <w:rsid w:val="00371603"/>
    <w:rsid w:val="003735B9"/>
    <w:rsid w:val="003737A8"/>
    <w:rsid w:val="0037461E"/>
    <w:rsid w:val="00374748"/>
    <w:rsid w:val="00376EEC"/>
    <w:rsid w:val="00377D6F"/>
    <w:rsid w:val="00382AE3"/>
    <w:rsid w:val="00383906"/>
    <w:rsid w:val="00383DA1"/>
    <w:rsid w:val="00387E90"/>
    <w:rsid w:val="003912B4"/>
    <w:rsid w:val="0039160C"/>
    <w:rsid w:val="00392007"/>
    <w:rsid w:val="0039660F"/>
    <w:rsid w:val="0039741E"/>
    <w:rsid w:val="0039744C"/>
    <w:rsid w:val="00397C46"/>
    <w:rsid w:val="003A06C8"/>
    <w:rsid w:val="003A0D7C"/>
    <w:rsid w:val="003A1E73"/>
    <w:rsid w:val="003A32D7"/>
    <w:rsid w:val="003A4154"/>
    <w:rsid w:val="003A65E8"/>
    <w:rsid w:val="003A667A"/>
    <w:rsid w:val="003A74F5"/>
    <w:rsid w:val="003A7AFA"/>
    <w:rsid w:val="003A7CA6"/>
    <w:rsid w:val="003B1146"/>
    <w:rsid w:val="003B40BE"/>
    <w:rsid w:val="003B4CB4"/>
    <w:rsid w:val="003B518B"/>
    <w:rsid w:val="003B58E3"/>
    <w:rsid w:val="003B7321"/>
    <w:rsid w:val="003B7612"/>
    <w:rsid w:val="003B7799"/>
    <w:rsid w:val="003B7EE7"/>
    <w:rsid w:val="003C1189"/>
    <w:rsid w:val="003C18C0"/>
    <w:rsid w:val="003C6ADC"/>
    <w:rsid w:val="003C72F3"/>
    <w:rsid w:val="003C7467"/>
    <w:rsid w:val="003D02D3"/>
    <w:rsid w:val="003D1731"/>
    <w:rsid w:val="003D1F17"/>
    <w:rsid w:val="003D244F"/>
    <w:rsid w:val="003D39EC"/>
    <w:rsid w:val="003D3A86"/>
    <w:rsid w:val="003D3E27"/>
    <w:rsid w:val="003D3E2B"/>
    <w:rsid w:val="003D53B3"/>
    <w:rsid w:val="003D5452"/>
    <w:rsid w:val="003D5E2E"/>
    <w:rsid w:val="003D606F"/>
    <w:rsid w:val="003D6943"/>
    <w:rsid w:val="003D78F6"/>
    <w:rsid w:val="003E0D8B"/>
    <w:rsid w:val="003E0DD1"/>
    <w:rsid w:val="003E3DD5"/>
    <w:rsid w:val="003E537A"/>
    <w:rsid w:val="003E55D6"/>
    <w:rsid w:val="003E6FCE"/>
    <w:rsid w:val="003E713E"/>
    <w:rsid w:val="003E7BF8"/>
    <w:rsid w:val="003E7ECF"/>
    <w:rsid w:val="003F0833"/>
    <w:rsid w:val="003F0B8C"/>
    <w:rsid w:val="003F0BDF"/>
    <w:rsid w:val="003F1ECD"/>
    <w:rsid w:val="003F26FC"/>
    <w:rsid w:val="003F29CD"/>
    <w:rsid w:val="003F350F"/>
    <w:rsid w:val="003F44B7"/>
    <w:rsid w:val="003F75A0"/>
    <w:rsid w:val="003F768F"/>
    <w:rsid w:val="00400F1C"/>
    <w:rsid w:val="00402366"/>
    <w:rsid w:val="0040306E"/>
    <w:rsid w:val="004030D8"/>
    <w:rsid w:val="00404B4E"/>
    <w:rsid w:val="00405BB4"/>
    <w:rsid w:val="00406AF7"/>
    <w:rsid w:val="004075F2"/>
    <w:rsid w:val="00410DE8"/>
    <w:rsid w:val="00410EFB"/>
    <w:rsid w:val="00411100"/>
    <w:rsid w:val="004111DA"/>
    <w:rsid w:val="00413826"/>
    <w:rsid w:val="00413D48"/>
    <w:rsid w:val="00414ACD"/>
    <w:rsid w:val="004213B0"/>
    <w:rsid w:val="00422948"/>
    <w:rsid w:val="00422FEE"/>
    <w:rsid w:val="00425154"/>
    <w:rsid w:val="00426B4D"/>
    <w:rsid w:val="00430CBE"/>
    <w:rsid w:val="004374FA"/>
    <w:rsid w:val="00437C5E"/>
    <w:rsid w:val="00440D1F"/>
    <w:rsid w:val="00441AC2"/>
    <w:rsid w:val="004425A0"/>
    <w:rsid w:val="00444592"/>
    <w:rsid w:val="00445FEE"/>
    <w:rsid w:val="0044678E"/>
    <w:rsid w:val="004469C1"/>
    <w:rsid w:val="00447E60"/>
    <w:rsid w:val="0045061E"/>
    <w:rsid w:val="00450845"/>
    <w:rsid w:val="004510AC"/>
    <w:rsid w:val="004520E4"/>
    <w:rsid w:val="004528F1"/>
    <w:rsid w:val="00452BCD"/>
    <w:rsid w:val="00453A1E"/>
    <w:rsid w:val="00454B4C"/>
    <w:rsid w:val="00454EC1"/>
    <w:rsid w:val="00456A79"/>
    <w:rsid w:val="00456B63"/>
    <w:rsid w:val="00456C9B"/>
    <w:rsid w:val="0046002C"/>
    <w:rsid w:val="00460E7F"/>
    <w:rsid w:val="0046218D"/>
    <w:rsid w:val="00463AE1"/>
    <w:rsid w:val="00463FDE"/>
    <w:rsid w:val="0046457D"/>
    <w:rsid w:val="004651D5"/>
    <w:rsid w:val="004655AB"/>
    <w:rsid w:val="004659CD"/>
    <w:rsid w:val="00467D2E"/>
    <w:rsid w:val="00470830"/>
    <w:rsid w:val="004726E9"/>
    <w:rsid w:val="00473B74"/>
    <w:rsid w:val="00473FF1"/>
    <w:rsid w:val="00475515"/>
    <w:rsid w:val="00476808"/>
    <w:rsid w:val="00476C91"/>
    <w:rsid w:val="0048144D"/>
    <w:rsid w:val="0048181B"/>
    <w:rsid w:val="00483F0B"/>
    <w:rsid w:val="004846C7"/>
    <w:rsid w:val="00484913"/>
    <w:rsid w:val="00484AC1"/>
    <w:rsid w:val="00486000"/>
    <w:rsid w:val="004867E2"/>
    <w:rsid w:val="00486A4F"/>
    <w:rsid w:val="00487527"/>
    <w:rsid w:val="00492A5E"/>
    <w:rsid w:val="00492B12"/>
    <w:rsid w:val="00494F1D"/>
    <w:rsid w:val="004956ED"/>
    <w:rsid w:val="004A0694"/>
    <w:rsid w:val="004A4A99"/>
    <w:rsid w:val="004A5672"/>
    <w:rsid w:val="004A5F55"/>
    <w:rsid w:val="004A7BAF"/>
    <w:rsid w:val="004B02EC"/>
    <w:rsid w:val="004B113C"/>
    <w:rsid w:val="004B30C6"/>
    <w:rsid w:val="004B3BB8"/>
    <w:rsid w:val="004B5465"/>
    <w:rsid w:val="004B68F5"/>
    <w:rsid w:val="004B7506"/>
    <w:rsid w:val="004C0099"/>
    <w:rsid w:val="004C1744"/>
    <w:rsid w:val="004C1DAB"/>
    <w:rsid w:val="004C2390"/>
    <w:rsid w:val="004C4242"/>
    <w:rsid w:val="004C6647"/>
    <w:rsid w:val="004C7FE0"/>
    <w:rsid w:val="004D07B2"/>
    <w:rsid w:val="004D106D"/>
    <w:rsid w:val="004D1C3B"/>
    <w:rsid w:val="004D24F9"/>
    <w:rsid w:val="004D2E94"/>
    <w:rsid w:val="004D372F"/>
    <w:rsid w:val="004D403F"/>
    <w:rsid w:val="004D4757"/>
    <w:rsid w:val="004D5643"/>
    <w:rsid w:val="004D6440"/>
    <w:rsid w:val="004D7467"/>
    <w:rsid w:val="004E022E"/>
    <w:rsid w:val="004E13BE"/>
    <w:rsid w:val="004E15C9"/>
    <w:rsid w:val="004E271E"/>
    <w:rsid w:val="004E32F0"/>
    <w:rsid w:val="004E4EE9"/>
    <w:rsid w:val="004E60C0"/>
    <w:rsid w:val="004E7715"/>
    <w:rsid w:val="004F0EF9"/>
    <w:rsid w:val="004F252B"/>
    <w:rsid w:val="004F391C"/>
    <w:rsid w:val="004F3C83"/>
    <w:rsid w:val="004F4285"/>
    <w:rsid w:val="004F5098"/>
    <w:rsid w:val="004F680B"/>
    <w:rsid w:val="004F6950"/>
    <w:rsid w:val="00502AF4"/>
    <w:rsid w:val="00504887"/>
    <w:rsid w:val="00504EC6"/>
    <w:rsid w:val="005059B4"/>
    <w:rsid w:val="00505E80"/>
    <w:rsid w:val="00507B8D"/>
    <w:rsid w:val="00510633"/>
    <w:rsid w:val="00511125"/>
    <w:rsid w:val="00511D57"/>
    <w:rsid w:val="00512A53"/>
    <w:rsid w:val="00513024"/>
    <w:rsid w:val="00513D35"/>
    <w:rsid w:val="00514729"/>
    <w:rsid w:val="005150FC"/>
    <w:rsid w:val="00516022"/>
    <w:rsid w:val="0051647D"/>
    <w:rsid w:val="005166D1"/>
    <w:rsid w:val="00521CEE"/>
    <w:rsid w:val="0052308A"/>
    <w:rsid w:val="00523F8B"/>
    <w:rsid w:val="00524549"/>
    <w:rsid w:val="005245FF"/>
    <w:rsid w:val="00524D65"/>
    <w:rsid w:val="00526152"/>
    <w:rsid w:val="00526E66"/>
    <w:rsid w:val="00526EC4"/>
    <w:rsid w:val="00530233"/>
    <w:rsid w:val="00531D44"/>
    <w:rsid w:val="00532172"/>
    <w:rsid w:val="00532596"/>
    <w:rsid w:val="00533187"/>
    <w:rsid w:val="00534880"/>
    <w:rsid w:val="0053789D"/>
    <w:rsid w:val="00537DB3"/>
    <w:rsid w:val="005415F2"/>
    <w:rsid w:val="005443A9"/>
    <w:rsid w:val="005452CC"/>
    <w:rsid w:val="00546561"/>
    <w:rsid w:val="005466EF"/>
    <w:rsid w:val="005469CE"/>
    <w:rsid w:val="005477C5"/>
    <w:rsid w:val="00547CB3"/>
    <w:rsid w:val="005505A1"/>
    <w:rsid w:val="005506A2"/>
    <w:rsid w:val="005530A7"/>
    <w:rsid w:val="005546E2"/>
    <w:rsid w:val="00554727"/>
    <w:rsid w:val="005553AD"/>
    <w:rsid w:val="005557A8"/>
    <w:rsid w:val="00556D2C"/>
    <w:rsid w:val="0055776D"/>
    <w:rsid w:val="005624A7"/>
    <w:rsid w:val="00562B28"/>
    <w:rsid w:val="00562ED1"/>
    <w:rsid w:val="0056454C"/>
    <w:rsid w:val="005652E2"/>
    <w:rsid w:val="005652E3"/>
    <w:rsid w:val="00573041"/>
    <w:rsid w:val="00573368"/>
    <w:rsid w:val="0057372A"/>
    <w:rsid w:val="0057402A"/>
    <w:rsid w:val="005749A5"/>
    <w:rsid w:val="005755EE"/>
    <w:rsid w:val="005755F1"/>
    <w:rsid w:val="0057732A"/>
    <w:rsid w:val="00582942"/>
    <w:rsid w:val="00584568"/>
    <w:rsid w:val="005875BB"/>
    <w:rsid w:val="00587797"/>
    <w:rsid w:val="00587CE6"/>
    <w:rsid w:val="005903FB"/>
    <w:rsid w:val="00593255"/>
    <w:rsid w:val="005936CB"/>
    <w:rsid w:val="00593B69"/>
    <w:rsid w:val="005943F9"/>
    <w:rsid w:val="0059530B"/>
    <w:rsid w:val="0059680A"/>
    <w:rsid w:val="005968D8"/>
    <w:rsid w:val="005972D8"/>
    <w:rsid w:val="00597477"/>
    <w:rsid w:val="005A03A3"/>
    <w:rsid w:val="005A16A9"/>
    <w:rsid w:val="005A1D89"/>
    <w:rsid w:val="005A463A"/>
    <w:rsid w:val="005A5136"/>
    <w:rsid w:val="005A636E"/>
    <w:rsid w:val="005A6ADB"/>
    <w:rsid w:val="005A79E3"/>
    <w:rsid w:val="005B0ADD"/>
    <w:rsid w:val="005B36E0"/>
    <w:rsid w:val="005B3919"/>
    <w:rsid w:val="005B402C"/>
    <w:rsid w:val="005B4F7B"/>
    <w:rsid w:val="005B4F97"/>
    <w:rsid w:val="005B6A16"/>
    <w:rsid w:val="005B77E3"/>
    <w:rsid w:val="005C164B"/>
    <w:rsid w:val="005C1A3A"/>
    <w:rsid w:val="005C22DD"/>
    <w:rsid w:val="005C35DB"/>
    <w:rsid w:val="005C3FE0"/>
    <w:rsid w:val="005C400C"/>
    <w:rsid w:val="005C4A39"/>
    <w:rsid w:val="005C4A83"/>
    <w:rsid w:val="005C7308"/>
    <w:rsid w:val="005C740C"/>
    <w:rsid w:val="005C79BA"/>
    <w:rsid w:val="005D0300"/>
    <w:rsid w:val="005D063A"/>
    <w:rsid w:val="005D1311"/>
    <w:rsid w:val="005D1E27"/>
    <w:rsid w:val="005D2310"/>
    <w:rsid w:val="005D3322"/>
    <w:rsid w:val="005D605B"/>
    <w:rsid w:val="005D6886"/>
    <w:rsid w:val="005E17A4"/>
    <w:rsid w:val="005E25D4"/>
    <w:rsid w:val="005E6236"/>
    <w:rsid w:val="005F0E31"/>
    <w:rsid w:val="005F23DB"/>
    <w:rsid w:val="005F2F08"/>
    <w:rsid w:val="005F3C85"/>
    <w:rsid w:val="005F3FB6"/>
    <w:rsid w:val="005F431D"/>
    <w:rsid w:val="005F4FE7"/>
    <w:rsid w:val="005F55C9"/>
    <w:rsid w:val="005F7C77"/>
    <w:rsid w:val="00600649"/>
    <w:rsid w:val="00600777"/>
    <w:rsid w:val="006010E7"/>
    <w:rsid w:val="0060167A"/>
    <w:rsid w:val="00601DC5"/>
    <w:rsid w:val="00602145"/>
    <w:rsid w:val="00604859"/>
    <w:rsid w:val="006048F4"/>
    <w:rsid w:val="00604F46"/>
    <w:rsid w:val="006064E1"/>
    <w:rsid w:val="0060660A"/>
    <w:rsid w:val="00606D10"/>
    <w:rsid w:val="00610AAA"/>
    <w:rsid w:val="00611CB0"/>
    <w:rsid w:val="00612294"/>
    <w:rsid w:val="006123B1"/>
    <w:rsid w:val="00613D07"/>
    <w:rsid w:val="006144B7"/>
    <w:rsid w:val="0061509D"/>
    <w:rsid w:val="006154C6"/>
    <w:rsid w:val="00615DAA"/>
    <w:rsid w:val="00616671"/>
    <w:rsid w:val="006172D4"/>
    <w:rsid w:val="00617313"/>
    <w:rsid w:val="00617A44"/>
    <w:rsid w:val="00621643"/>
    <w:rsid w:val="00621767"/>
    <w:rsid w:val="00625CD0"/>
    <w:rsid w:val="00625EB1"/>
    <w:rsid w:val="006271BD"/>
    <w:rsid w:val="006316B8"/>
    <w:rsid w:val="00631889"/>
    <w:rsid w:val="00632896"/>
    <w:rsid w:val="006329A1"/>
    <w:rsid w:val="00633D2B"/>
    <w:rsid w:val="00634A3C"/>
    <w:rsid w:val="00635DE3"/>
    <w:rsid w:val="00636AFD"/>
    <w:rsid w:val="006375B8"/>
    <w:rsid w:val="00643545"/>
    <w:rsid w:val="006457AE"/>
    <w:rsid w:val="00645D53"/>
    <w:rsid w:val="00645EC4"/>
    <w:rsid w:val="006460C7"/>
    <w:rsid w:val="006469F6"/>
    <w:rsid w:val="00646E47"/>
    <w:rsid w:val="00651441"/>
    <w:rsid w:val="00651DC0"/>
    <w:rsid w:val="006522A0"/>
    <w:rsid w:val="0065281C"/>
    <w:rsid w:val="006545E1"/>
    <w:rsid w:val="006565D2"/>
    <w:rsid w:val="006569DB"/>
    <w:rsid w:val="00656C96"/>
    <w:rsid w:val="00656FDA"/>
    <w:rsid w:val="00657247"/>
    <w:rsid w:val="006614C4"/>
    <w:rsid w:val="00661591"/>
    <w:rsid w:val="006615A9"/>
    <w:rsid w:val="00662125"/>
    <w:rsid w:val="00663E2A"/>
    <w:rsid w:val="00663E9A"/>
    <w:rsid w:val="0066632F"/>
    <w:rsid w:val="006665E1"/>
    <w:rsid w:val="00667BAB"/>
    <w:rsid w:val="00667FA0"/>
    <w:rsid w:val="0067057E"/>
    <w:rsid w:val="00670DD3"/>
    <w:rsid w:val="006711DA"/>
    <w:rsid w:val="0067329B"/>
    <w:rsid w:val="00674C14"/>
    <w:rsid w:val="0068182A"/>
    <w:rsid w:val="00681B2D"/>
    <w:rsid w:val="00681BA9"/>
    <w:rsid w:val="00683127"/>
    <w:rsid w:val="00687998"/>
    <w:rsid w:val="0069047B"/>
    <w:rsid w:val="00690DCA"/>
    <w:rsid w:val="00691046"/>
    <w:rsid w:val="0069253C"/>
    <w:rsid w:val="00692E7B"/>
    <w:rsid w:val="0069317D"/>
    <w:rsid w:val="00693C3B"/>
    <w:rsid w:val="006956A1"/>
    <w:rsid w:val="0069702B"/>
    <w:rsid w:val="006A3362"/>
    <w:rsid w:val="006A470A"/>
    <w:rsid w:val="006A4DB5"/>
    <w:rsid w:val="006A52D6"/>
    <w:rsid w:val="006A5A41"/>
    <w:rsid w:val="006A670C"/>
    <w:rsid w:val="006A67CA"/>
    <w:rsid w:val="006A6FA2"/>
    <w:rsid w:val="006A73B3"/>
    <w:rsid w:val="006A78DD"/>
    <w:rsid w:val="006B021E"/>
    <w:rsid w:val="006B02BD"/>
    <w:rsid w:val="006B03AF"/>
    <w:rsid w:val="006B0D67"/>
    <w:rsid w:val="006B2292"/>
    <w:rsid w:val="006B329D"/>
    <w:rsid w:val="006B3A5E"/>
    <w:rsid w:val="006B426C"/>
    <w:rsid w:val="006C114E"/>
    <w:rsid w:val="006C1EB0"/>
    <w:rsid w:val="006C2535"/>
    <w:rsid w:val="006C3A41"/>
    <w:rsid w:val="006C5413"/>
    <w:rsid w:val="006C65A1"/>
    <w:rsid w:val="006C6C62"/>
    <w:rsid w:val="006C7CA9"/>
    <w:rsid w:val="006C7EDF"/>
    <w:rsid w:val="006D3256"/>
    <w:rsid w:val="006D4B0D"/>
    <w:rsid w:val="006D5DC2"/>
    <w:rsid w:val="006D60B4"/>
    <w:rsid w:val="006D75E1"/>
    <w:rsid w:val="006D7F64"/>
    <w:rsid w:val="006E263E"/>
    <w:rsid w:val="006E3546"/>
    <w:rsid w:val="006E365A"/>
    <w:rsid w:val="006E38C3"/>
    <w:rsid w:val="006E4D97"/>
    <w:rsid w:val="006E7216"/>
    <w:rsid w:val="006F02A4"/>
    <w:rsid w:val="006F0F93"/>
    <w:rsid w:val="006F17B6"/>
    <w:rsid w:val="006F28F9"/>
    <w:rsid w:val="006F34F3"/>
    <w:rsid w:val="006F35FA"/>
    <w:rsid w:val="00703AEF"/>
    <w:rsid w:val="00704CCA"/>
    <w:rsid w:val="0070543F"/>
    <w:rsid w:val="00705BC0"/>
    <w:rsid w:val="00705C87"/>
    <w:rsid w:val="00707E10"/>
    <w:rsid w:val="00707EA6"/>
    <w:rsid w:val="007104A0"/>
    <w:rsid w:val="00710978"/>
    <w:rsid w:val="00711C67"/>
    <w:rsid w:val="00711E50"/>
    <w:rsid w:val="00713044"/>
    <w:rsid w:val="00713F74"/>
    <w:rsid w:val="007146F0"/>
    <w:rsid w:val="00714C30"/>
    <w:rsid w:val="00715237"/>
    <w:rsid w:val="00715F39"/>
    <w:rsid w:val="00716F76"/>
    <w:rsid w:val="00720573"/>
    <w:rsid w:val="0072120E"/>
    <w:rsid w:val="00722293"/>
    <w:rsid w:val="00722C3C"/>
    <w:rsid w:val="00722F4B"/>
    <w:rsid w:val="007230FA"/>
    <w:rsid w:val="00724101"/>
    <w:rsid w:val="007250F0"/>
    <w:rsid w:val="007254A5"/>
    <w:rsid w:val="00725748"/>
    <w:rsid w:val="00726775"/>
    <w:rsid w:val="00730D14"/>
    <w:rsid w:val="00730FAC"/>
    <w:rsid w:val="00734374"/>
    <w:rsid w:val="00735496"/>
    <w:rsid w:val="00736977"/>
    <w:rsid w:val="00736D0D"/>
    <w:rsid w:val="0073720D"/>
    <w:rsid w:val="007402E0"/>
    <w:rsid w:val="007418AE"/>
    <w:rsid w:val="00742AB9"/>
    <w:rsid w:val="00743337"/>
    <w:rsid w:val="00745016"/>
    <w:rsid w:val="00746658"/>
    <w:rsid w:val="007468AD"/>
    <w:rsid w:val="00750048"/>
    <w:rsid w:val="007500C3"/>
    <w:rsid w:val="00750A91"/>
    <w:rsid w:val="00751CF9"/>
    <w:rsid w:val="0075240B"/>
    <w:rsid w:val="0075368B"/>
    <w:rsid w:val="00754176"/>
    <w:rsid w:val="00754666"/>
    <w:rsid w:val="00754FBF"/>
    <w:rsid w:val="00755248"/>
    <w:rsid w:val="00755B63"/>
    <w:rsid w:val="00756754"/>
    <w:rsid w:val="00757005"/>
    <w:rsid w:val="0076016D"/>
    <w:rsid w:val="007606CE"/>
    <w:rsid w:val="00760C95"/>
    <w:rsid w:val="00762BBD"/>
    <w:rsid w:val="00763BB2"/>
    <w:rsid w:val="0077029E"/>
    <w:rsid w:val="0077048E"/>
    <w:rsid w:val="00770864"/>
    <w:rsid w:val="007724AB"/>
    <w:rsid w:val="00772734"/>
    <w:rsid w:val="00772863"/>
    <w:rsid w:val="00774B22"/>
    <w:rsid w:val="00774BC7"/>
    <w:rsid w:val="00775344"/>
    <w:rsid w:val="00775D8A"/>
    <w:rsid w:val="0077737C"/>
    <w:rsid w:val="007777DF"/>
    <w:rsid w:val="00781BE3"/>
    <w:rsid w:val="00781CED"/>
    <w:rsid w:val="007826CB"/>
    <w:rsid w:val="007831C7"/>
    <w:rsid w:val="00783559"/>
    <w:rsid w:val="00783B2B"/>
    <w:rsid w:val="0078554C"/>
    <w:rsid w:val="00785F18"/>
    <w:rsid w:val="00786645"/>
    <w:rsid w:val="00786698"/>
    <w:rsid w:val="00786BE7"/>
    <w:rsid w:val="0079029D"/>
    <w:rsid w:val="00792567"/>
    <w:rsid w:val="00792AB2"/>
    <w:rsid w:val="007A3BEE"/>
    <w:rsid w:val="007A4105"/>
    <w:rsid w:val="007A474C"/>
    <w:rsid w:val="007B0201"/>
    <w:rsid w:val="007B0280"/>
    <w:rsid w:val="007B10B6"/>
    <w:rsid w:val="007B163C"/>
    <w:rsid w:val="007B2BC2"/>
    <w:rsid w:val="007B54BC"/>
    <w:rsid w:val="007B5EED"/>
    <w:rsid w:val="007B6E9D"/>
    <w:rsid w:val="007C0CE8"/>
    <w:rsid w:val="007C406E"/>
    <w:rsid w:val="007C62FB"/>
    <w:rsid w:val="007C66A9"/>
    <w:rsid w:val="007C7F09"/>
    <w:rsid w:val="007D08AB"/>
    <w:rsid w:val="007D0AC3"/>
    <w:rsid w:val="007D25B4"/>
    <w:rsid w:val="007D2C22"/>
    <w:rsid w:val="007D5658"/>
    <w:rsid w:val="007D6565"/>
    <w:rsid w:val="007E0AEE"/>
    <w:rsid w:val="007E0D4F"/>
    <w:rsid w:val="007E1149"/>
    <w:rsid w:val="007E177C"/>
    <w:rsid w:val="007E2C0D"/>
    <w:rsid w:val="007E33F7"/>
    <w:rsid w:val="007E3ECC"/>
    <w:rsid w:val="007E3F65"/>
    <w:rsid w:val="007E435C"/>
    <w:rsid w:val="007E6BE6"/>
    <w:rsid w:val="007E73C4"/>
    <w:rsid w:val="007F100C"/>
    <w:rsid w:val="007F1982"/>
    <w:rsid w:val="007F2C71"/>
    <w:rsid w:val="007F428E"/>
    <w:rsid w:val="007F74ED"/>
    <w:rsid w:val="0080096E"/>
    <w:rsid w:val="00804DEB"/>
    <w:rsid w:val="008050E6"/>
    <w:rsid w:val="00806B95"/>
    <w:rsid w:val="00807805"/>
    <w:rsid w:val="00810CFA"/>
    <w:rsid w:val="00811392"/>
    <w:rsid w:val="00812028"/>
    <w:rsid w:val="00814D03"/>
    <w:rsid w:val="0081537D"/>
    <w:rsid w:val="00815437"/>
    <w:rsid w:val="00816074"/>
    <w:rsid w:val="00820C94"/>
    <w:rsid w:val="00820F4D"/>
    <w:rsid w:val="00824629"/>
    <w:rsid w:val="0083178B"/>
    <w:rsid w:val="00833695"/>
    <w:rsid w:val="00834F99"/>
    <w:rsid w:val="008364EF"/>
    <w:rsid w:val="0083788B"/>
    <w:rsid w:val="00837C66"/>
    <w:rsid w:val="008407B5"/>
    <w:rsid w:val="008409AE"/>
    <w:rsid w:val="00842A21"/>
    <w:rsid w:val="00842CD8"/>
    <w:rsid w:val="00843589"/>
    <w:rsid w:val="008435CC"/>
    <w:rsid w:val="008517DE"/>
    <w:rsid w:val="00851BC3"/>
    <w:rsid w:val="008520D8"/>
    <w:rsid w:val="008525B2"/>
    <w:rsid w:val="008530B2"/>
    <w:rsid w:val="008553C7"/>
    <w:rsid w:val="0085715E"/>
    <w:rsid w:val="00857770"/>
    <w:rsid w:val="00857FEB"/>
    <w:rsid w:val="00860B95"/>
    <w:rsid w:val="008616B8"/>
    <w:rsid w:val="008616E0"/>
    <w:rsid w:val="00862050"/>
    <w:rsid w:val="008624AD"/>
    <w:rsid w:val="008624F0"/>
    <w:rsid w:val="008632F3"/>
    <w:rsid w:val="008646B0"/>
    <w:rsid w:val="00864B45"/>
    <w:rsid w:val="008666D2"/>
    <w:rsid w:val="008700CC"/>
    <w:rsid w:val="00871B05"/>
    <w:rsid w:val="008720EB"/>
    <w:rsid w:val="008735BA"/>
    <w:rsid w:val="00873E5C"/>
    <w:rsid w:val="00874A11"/>
    <w:rsid w:val="008753FC"/>
    <w:rsid w:val="008777AA"/>
    <w:rsid w:val="008802A6"/>
    <w:rsid w:val="00880749"/>
    <w:rsid w:val="00880A18"/>
    <w:rsid w:val="00880A86"/>
    <w:rsid w:val="008812FB"/>
    <w:rsid w:val="00882814"/>
    <w:rsid w:val="00886D3A"/>
    <w:rsid w:val="00886E97"/>
    <w:rsid w:val="00891692"/>
    <w:rsid w:val="00892002"/>
    <w:rsid w:val="008934AE"/>
    <w:rsid w:val="008934E6"/>
    <w:rsid w:val="00893EF7"/>
    <w:rsid w:val="008A4479"/>
    <w:rsid w:val="008A46A9"/>
    <w:rsid w:val="008A5A3F"/>
    <w:rsid w:val="008A646F"/>
    <w:rsid w:val="008A702B"/>
    <w:rsid w:val="008A7174"/>
    <w:rsid w:val="008A74FA"/>
    <w:rsid w:val="008B1BE5"/>
    <w:rsid w:val="008B378C"/>
    <w:rsid w:val="008B3929"/>
    <w:rsid w:val="008B3C2F"/>
    <w:rsid w:val="008B4118"/>
    <w:rsid w:val="008B4208"/>
    <w:rsid w:val="008B45D6"/>
    <w:rsid w:val="008B4CB3"/>
    <w:rsid w:val="008B54B2"/>
    <w:rsid w:val="008B720C"/>
    <w:rsid w:val="008B731A"/>
    <w:rsid w:val="008C1ABF"/>
    <w:rsid w:val="008C2425"/>
    <w:rsid w:val="008C2444"/>
    <w:rsid w:val="008C3F57"/>
    <w:rsid w:val="008C46FD"/>
    <w:rsid w:val="008C5B1C"/>
    <w:rsid w:val="008C67AF"/>
    <w:rsid w:val="008C78FD"/>
    <w:rsid w:val="008D07F4"/>
    <w:rsid w:val="008D0EBE"/>
    <w:rsid w:val="008D2355"/>
    <w:rsid w:val="008D2FA9"/>
    <w:rsid w:val="008D3CCF"/>
    <w:rsid w:val="008D3CEA"/>
    <w:rsid w:val="008D5B01"/>
    <w:rsid w:val="008E1C6C"/>
    <w:rsid w:val="008E2198"/>
    <w:rsid w:val="008E22BC"/>
    <w:rsid w:val="008E29B4"/>
    <w:rsid w:val="008E2EB9"/>
    <w:rsid w:val="008E35E2"/>
    <w:rsid w:val="008E5F59"/>
    <w:rsid w:val="008E7AC3"/>
    <w:rsid w:val="008F0C84"/>
    <w:rsid w:val="008F1B70"/>
    <w:rsid w:val="008F2143"/>
    <w:rsid w:val="008F38E5"/>
    <w:rsid w:val="008F4A8D"/>
    <w:rsid w:val="008F71FA"/>
    <w:rsid w:val="00900C34"/>
    <w:rsid w:val="00901121"/>
    <w:rsid w:val="00901DEF"/>
    <w:rsid w:val="00902FF2"/>
    <w:rsid w:val="00903B4C"/>
    <w:rsid w:val="00903B67"/>
    <w:rsid w:val="009041A4"/>
    <w:rsid w:val="00905B6D"/>
    <w:rsid w:val="0090647C"/>
    <w:rsid w:val="0090651A"/>
    <w:rsid w:val="0091000A"/>
    <w:rsid w:val="00910642"/>
    <w:rsid w:val="00910DE7"/>
    <w:rsid w:val="0091168F"/>
    <w:rsid w:val="009160BB"/>
    <w:rsid w:val="009166AD"/>
    <w:rsid w:val="00917821"/>
    <w:rsid w:val="00917BAC"/>
    <w:rsid w:val="009205E3"/>
    <w:rsid w:val="00921A22"/>
    <w:rsid w:val="00927293"/>
    <w:rsid w:val="0093015A"/>
    <w:rsid w:val="009311C8"/>
    <w:rsid w:val="00931395"/>
    <w:rsid w:val="00932F43"/>
    <w:rsid w:val="00933376"/>
    <w:rsid w:val="0093339C"/>
    <w:rsid w:val="009336FC"/>
    <w:rsid w:val="00937CE6"/>
    <w:rsid w:val="00940C5F"/>
    <w:rsid w:val="00942355"/>
    <w:rsid w:val="00943F25"/>
    <w:rsid w:val="00944F01"/>
    <w:rsid w:val="00945691"/>
    <w:rsid w:val="009458A1"/>
    <w:rsid w:val="00946D29"/>
    <w:rsid w:val="0095050D"/>
    <w:rsid w:val="009513C2"/>
    <w:rsid w:val="0095259F"/>
    <w:rsid w:val="00952FDE"/>
    <w:rsid w:val="009534EF"/>
    <w:rsid w:val="0095352B"/>
    <w:rsid w:val="00955A7F"/>
    <w:rsid w:val="0095748C"/>
    <w:rsid w:val="0096077C"/>
    <w:rsid w:val="0096143B"/>
    <w:rsid w:val="00961BAF"/>
    <w:rsid w:val="00961C28"/>
    <w:rsid w:val="00961FA7"/>
    <w:rsid w:val="009627A5"/>
    <w:rsid w:val="00962C56"/>
    <w:rsid w:val="00964BBF"/>
    <w:rsid w:val="00964F30"/>
    <w:rsid w:val="00965FD5"/>
    <w:rsid w:val="009668DE"/>
    <w:rsid w:val="00967346"/>
    <w:rsid w:val="009711D9"/>
    <w:rsid w:val="00971257"/>
    <w:rsid w:val="009718F9"/>
    <w:rsid w:val="0097255E"/>
    <w:rsid w:val="00975112"/>
    <w:rsid w:val="00975202"/>
    <w:rsid w:val="009753D7"/>
    <w:rsid w:val="00975719"/>
    <w:rsid w:val="00977002"/>
    <w:rsid w:val="009774C4"/>
    <w:rsid w:val="009811DF"/>
    <w:rsid w:val="00982B90"/>
    <w:rsid w:val="00982E82"/>
    <w:rsid w:val="00983333"/>
    <w:rsid w:val="00983A7C"/>
    <w:rsid w:val="00984D7B"/>
    <w:rsid w:val="00984F0B"/>
    <w:rsid w:val="0098546E"/>
    <w:rsid w:val="009854C3"/>
    <w:rsid w:val="00991B5F"/>
    <w:rsid w:val="00991C2E"/>
    <w:rsid w:val="0099381A"/>
    <w:rsid w:val="00994F7F"/>
    <w:rsid w:val="00996571"/>
    <w:rsid w:val="00997999"/>
    <w:rsid w:val="009A0FF6"/>
    <w:rsid w:val="009A15FA"/>
    <w:rsid w:val="009A342B"/>
    <w:rsid w:val="009A3A5E"/>
    <w:rsid w:val="009A3B71"/>
    <w:rsid w:val="009A3CA0"/>
    <w:rsid w:val="009A513F"/>
    <w:rsid w:val="009A542C"/>
    <w:rsid w:val="009A61BC"/>
    <w:rsid w:val="009A6527"/>
    <w:rsid w:val="009A676D"/>
    <w:rsid w:val="009A727A"/>
    <w:rsid w:val="009B1466"/>
    <w:rsid w:val="009B18E9"/>
    <w:rsid w:val="009B23D3"/>
    <w:rsid w:val="009B24B7"/>
    <w:rsid w:val="009B41E7"/>
    <w:rsid w:val="009B424D"/>
    <w:rsid w:val="009B44BC"/>
    <w:rsid w:val="009B57FB"/>
    <w:rsid w:val="009B7709"/>
    <w:rsid w:val="009C0E96"/>
    <w:rsid w:val="009C1AC6"/>
    <w:rsid w:val="009C1C75"/>
    <w:rsid w:val="009C37AE"/>
    <w:rsid w:val="009C42BC"/>
    <w:rsid w:val="009C4AAC"/>
    <w:rsid w:val="009C4F04"/>
    <w:rsid w:val="009C692B"/>
    <w:rsid w:val="009C7C85"/>
    <w:rsid w:val="009D277F"/>
    <w:rsid w:val="009D3E0A"/>
    <w:rsid w:val="009D63A8"/>
    <w:rsid w:val="009D7120"/>
    <w:rsid w:val="009D7DFA"/>
    <w:rsid w:val="009E042D"/>
    <w:rsid w:val="009E10EF"/>
    <w:rsid w:val="009E1B8B"/>
    <w:rsid w:val="009E2A9E"/>
    <w:rsid w:val="009E37E6"/>
    <w:rsid w:val="009E584D"/>
    <w:rsid w:val="009E6427"/>
    <w:rsid w:val="009E71C1"/>
    <w:rsid w:val="009E72DF"/>
    <w:rsid w:val="009F2635"/>
    <w:rsid w:val="009F3851"/>
    <w:rsid w:val="009F49C1"/>
    <w:rsid w:val="00A004D6"/>
    <w:rsid w:val="00A02980"/>
    <w:rsid w:val="00A03863"/>
    <w:rsid w:val="00A03C1E"/>
    <w:rsid w:val="00A04081"/>
    <w:rsid w:val="00A043B4"/>
    <w:rsid w:val="00A04DC0"/>
    <w:rsid w:val="00A06827"/>
    <w:rsid w:val="00A07737"/>
    <w:rsid w:val="00A07D00"/>
    <w:rsid w:val="00A10614"/>
    <w:rsid w:val="00A10E98"/>
    <w:rsid w:val="00A11768"/>
    <w:rsid w:val="00A12458"/>
    <w:rsid w:val="00A13499"/>
    <w:rsid w:val="00A140D0"/>
    <w:rsid w:val="00A149C1"/>
    <w:rsid w:val="00A14A93"/>
    <w:rsid w:val="00A162BD"/>
    <w:rsid w:val="00A167EA"/>
    <w:rsid w:val="00A2172A"/>
    <w:rsid w:val="00A21A93"/>
    <w:rsid w:val="00A21B3B"/>
    <w:rsid w:val="00A2455B"/>
    <w:rsid w:val="00A245B7"/>
    <w:rsid w:val="00A25B4A"/>
    <w:rsid w:val="00A27328"/>
    <w:rsid w:val="00A277F9"/>
    <w:rsid w:val="00A30E68"/>
    <w:rsid w:val="00A31885"/>
    <w:rsid w:val="00A33763"/>
    <w:rsid w:val="00A34AA0"/>
    <w:rsid w:val="00A35B30"/>
    <w:rsid w:val="00A35BEC"/>
    <w:rsid w:val="00A373C4"/>
    <w:rsid w:val="00A37B8E"/>
    <w:rsid w:val="00A41EFC"/>
    <w:rsid w:val="00A4371E"/>
    <w:rsid w:val="00A43EA3"/>
    <w:rsid w:val="00A47733"/>
    <w:rsid w:val="00A511CD"/>
    <w:rsid w:val="00A551E6"/>
    <w:rsid w:val="00A56946"/>
    <w:rsid w:val="00A56D9C"/>
    <w:rsid w:val="00A578D8"/>
    <w:rsid w:val="00A61759"/>
    <w:rsid w:val="00A61A6C"/>
    <w:rsid w:val="00A63889"/>
    <w:rsid w:val="00A6421B"/>
    <w:rsid w:val="00A64A23"/>
    <w:rsid w:val="00A64F05"/>
    <w:rsid w:val="00A65FF9"/>
    <w:rsid w:val="00A70E93"/>
    <w:rsid w:val="00A71A15"/>
    <w:rsid w:val="00A74DEC"/>
    <w:rsid w:val="00A76D10"/>
    <w:rsid w:val="00A76DC7"/>
    <w:rsid w:val="00A774C4"/>
    <w:rsid w:val="00A77D7A"/>
    <w:rsid w:val="00A834FD"/>
    <w:rsid w:val="00A839EF"/>
    <w:rsid w:val="00A84B60"/>
    <w:rsid w:val="00A84E68"/>
    <w:rsid w:val="00A84F62"/>
    <w:rsid w:val="00A8630D"/>
    <w:rsid w:val="00A87B6C"/>
    <w:rsid w:val="00A9060E"/>
    <w:rsid w:val="00A908F9"/>
    <w:rsid w:val="00A91B1B"/>
    <w:rsid w:val="00A9351D"/>
    <w:rsid w:val="00A94A09"/>
    <w:rsid w:val="00A9623D"/>
    <w:rsid w:val="00A967EE"/>
    <w:rsid w:val="00AA0DA6"/>
    <w:rsid w:val="00AA4277"/>
    <w:rsid w:val="00AA4C2B"/>
    <w:rsid w:val="00AA4D58"/>
    <w:rsid w:val="00AA4E75"/>
    <w:rsid w:val="00AA5B94"/>
    <w:rsid w:val="00AA6265"/>
    <w:rsid w:val="00AB0E61"/>
    <w:rsid w:val="00AB34E9"/>
    <w:rsid w:val="00AB3C60"/>
    <w:rsid w:val="00AB4880"/>
    <w:rsid w:val="00AB5963"/>
    <w:rsid w:val="00AB5F50"/>
    <w:rsid w:val="00AB762B"/>
    <w:rsid w:val="00AB78E0"/>
    <w:rsid w:val="00AC0810"/>
    <w:rsid w:val="00AC0B3D"/>
    <w:rsid w:val="00AC1ED1"/>
    <w:rsid w:val="00AC211D"/>
    <w:rsid w:val="00AC3701"/>
    <w:rsid w:val="00AC40C4"/>
    <w:rsid w:val="00AC49D8"/>
    <w:rsid w:val="00AC523C"/>
    <w:rsid w:val="00AC567F"/>
    <w:rsid w:val="00AC6B29"/>
    <w:rsid w:val="00AD0CCB"/>
    <w:rsid w:val="00AD0D21"/>
    <w:rsid w:val="00AD245D"/>
    <w:rsid w:val="00AD24CE"/>
    <w:rsid w:val="00AD279E"/>
    <w:rsid w:val="00AD2B89"/>
    <w:rsid w:val="00AD3A3C"/>
    <w:rsid w:val="00AD4701"/>
    <w:rsid w:val="00AD5C2E"/>
    <w:rsid w:val="00AD5E85"/>
    <w:rsid w:val="00AE11B7"/>
    <w:rsid w:val="00AE1D85"/>
    <w:rsid w:val="00AE4E07"/>
    <w:rsid w:val="00AE5230"/>
    <w:rsid w:val="00AE58A1"/>
    <w:rsid w:val="00AE5901"/>
    <w:rsid w:val="00AE5D0D"/>
    <w:rsid w:val="00AE77B6"/>
    <w:rsid w:val="00AF0612"/>
    <w:rsid w:val="00AF0888"/>
    <w:rsid w:val="00AF2170"/>
    <w:rsid w:val="00AF2F4F"/>
    <w:rsid w:val="00AF36B0"/>
    <w:rsid w:val="00AF4149"/>
    <w:rsid w:val="00AF612D"/>
    <w:rsid w:val="00AF66D0"/>
    <w:rsid w:val="00AF6CAF"/>
    <w:rsid w:val="00AF7691"/>
    <w:rsid w:val="00AF7F47"/>
    <w:rsid w:val="00B00A55"/>
    <w:rsid w:val="00B00F22"/>
    <w:rsid w:val="00B018BA"/>
    <w:rsid w:val="00B0390C"/>
    <w:rsid w:val="00B03DAC"/>
    <w:rsid w:val="00B0436F"/>
    <w:rsid w:val="00B06444"/>
    <w:rsid w:val="00B0686B"/>
    <w:rsid w:val="00B06C4D"/>
    <w:rsid w:val="00B06CE6"/>
    <w:rsid w:val="00B06D4B"/>
    <w:rsid w:val="00B1151F"/>
    <w:rsid w:val="00B14E62"/>
    <w:rsid w:val="00B201ED"/>
    <w:rsid w:val="00B214B2"/>
    <w:rsid w:val="00B21B3E"/>
    <w:rsid w:val="00B24584"/>
    <w:rsid w:val="00B24C4A"/>
    <w:rsid w:val="00B25CD9"/>
    <w:rsid w:val="00B26CCF"/>
    <w:rsid w:val="00B26CF2"/>
    <w:rsid w:val="00B30004"/>
    <w:rsid w:val="00B30353"/>
    <w:rsid w:val="00B316B9"/>
    <w:rsid w:val="00B322C1"/>
    <w:rsid w:val="00B34C1E"/>
    <w:rsid w:val="00B35331"/>
    <w:rsid w:val="00B36546"/>
    <w:rsid w:val="00B424BA"/>
    <w:rsid w:val="00B42BCF"/>
    <w:rsid w:val="00B464BB"/>
    <w:rsid w:val="00B51544"/>
    <w:rsid w:val="00B52E2F"/>
    <w:rsid w:val="00B531DD"/>
    <w:rsid w:val="00B531F5"/>
    <w:rsid w:val="00B54564"/>
    <w:rsid w:val="00B54A2A"/>
    <w:rsid w:val="00B55390"/>
    <w:rsid w:val="00B56A07"/>
    <w:rsid w:val="00B56D45"/>
    <w:rsid w:val="00B572E8"/>
    <w:rsid w:val="00B603B4"/>
    <w:rsid w:val="00B60860"/>
    <w:rsid w:val="00B63309"/>
    <w:rsid w:val="00B645D2"/>
    <w:rsid w:val="00B65997"/>
    <w:rsid w:val="00B67E6B"/>
    <w:rsid w:val="00B717B0"/>
    <w:rsid w:val="00B71DC2"/>
    <w:rsid w:val="00B73546"/>
    <w:rsid w:val="00B74DD5"/>
    <w:rsid w:val="00B74F88"/>
    <w:rsid w:val="00B76565"/>
    <w:rsid w:val="00B76A6E"/>
    <w:rsid w:val="00B821D9"/>
    <w:rsid w:val="00B84A83"/>
    <w:rsid w:val="00B84B2D"/>
    <w:rsid w:val="00B874B4"/>
    <w:rsid w:val="00B879C7"/>
    <w:rsid w:val="00B90D3F"/>
    <w:rsid w:val="00B90DA2"/>
    <w:rsid w:val="00B92662"/>
    <w:rsid w:val="00B93893"/>
    <w:rsid w:val="00B95E58"/>
    <w:rsid w:val="00B95FC2"/>
    <w:rsid w:val="00B964FC"/>
    <w:rsid w:val="00B975D5"/>
    <w:rsid w:val="00B979F2"/>
    <w:rsid w:val="00B97DCD"/>
    <w:rsid w:val="00BA06AC"/>
    <w:rsid w:val="00BA1B1C"/>
    <w:rsid w:val="00BA2CB0"/>
    <w:rsid w:val="00BA3472"/>
    <w:rsid w:val="00BA537F"/>
    <w:rsid w:val="00BA5E9E"/>
    <w:rsid w:val="00BA770E"/>
    <w:rsid w:val="00BA77F1"/>
    <w:rsid w:val="00BA7A60"/>
    <w:rsid w:val="00BA7EDA"/>
    <w:rsid w:val="00BB055B"/>
    <w:rsid w:val="00BB11E1"/>
    <w:rsid w:val="00BB1594"/>
    <w:rsid w:val="00BB1670"/>
    <w:rsid w:val="00BB2BC0"/>
    <w:rsid w:val="00BB6DA1"/>
    <w:rsid w:val="00BB7A20"/>
    <w:rsid w:val="00BB7ABD"/>
    <w:rsid w:val="00BB7EB7"/>
    <w:rsid w:val="00BC0032"/>
    <w:rsid w:val="00BC02E9"/>
    <w:rsid w:val="00BC0A80"/>
    <w:rsid w:val="00BC12A3"/>
    <w:rsid w:val="00BC2DD5"/>
    <w:rsid w:val="00BC3445"/>
    <w:rsid w:val="00BC3B53"/>
    <w:rsid w:val="00BC4A98"/>
    <w:rsid w:val="00BC4D64"/>
    <w:rsid w:val="00BC56F5"/>
    <w:rsid w:val="00BC73AC"/>
    <w:rsid w:val="00BC7D8C"/>
    <w:rsid w:val="00BD01C0"/>
    <w:rsid w:val="00BD0F12"/>
    <w:rsid w:val="00BD1454"/>
    <w:rsid w:val="00BD4929"/>
    <w:rsid w:val="00BD5DFC"/>
    <w:rsid w:val="00BD644A"/>
    <w:rsid w:val="00BD7AE6"/>
    <w:rsid w:val="00BE0B32"/>
    <w:rsid w:val="00BE2497"/>
    <w:rsid w:val="00BE458E"/>
    <w:rsid w:val="00BE50F0"/>
    <w:rsid w:val="00BE5564"/>
    <w:rsid w:val="00BF1365"/>
    <w:rsid w:val="00BF2B59"/>
    <w:rsid w:val="00BF2B99"/>
    <w:rsid w:val="00BF2C4F"/>
    <w:rsid w:val="00BF37A3"/>
    <w:rsid w:val="00BF3D01"/>
    <w:rsid w:val="00BF5B51"/>
    <w:rsid w:val="00BF731A"/>
    <w:rsid w:val="00C00B67"/>
    <w:rsid w:val="00C00F4E"/>
    <w:rsid w:val="00C01061"/>
    <w:rsid w:val="00C010DC"/>
    <w:rsid w:val="00C0281F"/>
    <w:rsid w:val="00C036D8"/>
    <w:rsid w:val="00C05318"/>
    <w:rsid w:val="00C05FF0"/>
    <w:rsid w:val="00C10839"/>
    <w:rsid w:val="00C10869"/>
    <w:rsid w:val="00C117E2"/>
    <w:rsid w:val="00C11A94"/>
    <w:rsid w:val="00C12C00"/>
    <w:rsid w:val="00C12E90"/>
    <w:rsid w:val="00C12EB9"/>
    <w:rsid w:val="00C1320B"/>
    <w:rsid w:val="00C14CC1"/>
    <w:rsid w:val="00C206F1"/>
    <w:rsid w:val="00C26035"/>
    <w:rsid w:val="00C26079"/>
    <w:rsid w:val="00C27206"/>
    <w:rsid w:val="00C3006B"/>
    <w:rsid w:val="00C30AC1"/>
    <w:rsid w:val="00C3189F"/>
    <w:rsid w:val="00C3256E"/>
    <w:rsid w:val="00C33340"/>
    <w:rsid w:val="00C3445F"/>
    <w:rsid w:val="00C34DC6"/>
    <w:rsid w:val="00C35A00"/>
    <w:rsid w:val="00C35A91"/>
    <w:rsid w:val="00C371A6"/>
    <w:rsid w:val="00C40C60"/>
    <w:rsid w:val="00C4234E"/>
    <w:rsid w:val="00C42756"/>
    <w:rsid w:val="00C42F03"/>
    <w:rsid w:val="00C43022"/>
    <w:rsid w:val="00C44137"/>
    <w:rsid w:val="00C447C0"/>
    <w:rsid w:val="00C458C9"/>
    <w:rsid w:val="00C466ED"/>
    <w:rsid w:val="00C46B84"/>
    <w:rsid w:val="00C50ECF"/>
    <w:rsid w:val="00C52281"/>
    <w:rsid w:val="00C52E42"/>
    <w:rsid w:val="00C53426"/>
    <w:rsid w:val="00C5401F"/>
    <w:rsid w:val="00C54FEA"/>
    <w:rsid w:val="00C55E5A"/>
    <w:rsid w:val="00C56BE8"/>
    <w:rsid w:val="00C60E49"/>
    <w:rsid w:val="00C6295E"/>
    <w:rsid w:val="00C62A0B"/>
    <w:rsid w:val="00C63108"/>
    <w:rsid w:val="00C638E2"/>
    <w:rsid w:val="00C6537C"/>
    <w:rsid w:val="00C65866"/>
    <w:rsid w:val="00C666E4"/>
    <w:rsid w:val="00C66D36"/>
    <w:rsid w:val="00C7777D"/>
    <w:rsid w:val="00C812F7"/>
    <w:rsid w:val="00C81AEC"/>
    <w:rsid w:val="00C833B6"/>
    <w:rsid w:val="00C84896"/>
    <w:rsid w:val="00C85838"/>
    <w:rsid w:val="00C876B7"/>
    <w:rsid w:val="00C90846"/>
    <w:rsid w:val="00C90A2D"/>
    <w:rsid w:val="00C91B2C"/>
    <w:rsid w:val="00C92CA5"/>
    <w:rsid w:val="00C93B39"/>
    <w:rsid w:val="00C954F1"/>
    <w:rsid w:val="00C95961"/>
    <w:rsid w:val="00CA0A69"/>
    <w:rsid w:val="00CA0E76"/>
    <w:rsid w:val="00CA4048"/>
    <w:rsid w:val="00CA40F8"/>
    <w:rsid w:val="00CA473C"/>
    <w:rsid w:val="00CA47D3"/>
    <w:rsid w:val="00CA52E3"/>
    <w:rsid w:val="00CA53DE"/>
    <w:rsid w:val="00CA58C3"/>
    <w:rsid w:val="00CA5BC9"/>
    <w:rsid w:val="00CA6A55"/>
    <w:rsid w:val="00CA6DEF"/>
    <w:rsid w:val="00CB156F"/>
    <w:rsid w:val="00CB1BBD"/>
    <w:rsid w:val="00CB30AB"/>
    <w:rsid w:val="00CB3777"/>
    <w:rsid w:val="00CB5A73"/>
    <w:rsid w:val="00CC01D6"/>
    <w:rsid w:val="00CC0BB4"/>
    <w:rsid w:val="00CC12DF"/>
    <w:rsid w:val="00CC48C9"/>
    <w:rsid w:val="00CC4D8D"/>
    <w:rsid w:val="00CC63E0"/>
    <w:rsid w:val="00CC6FDD"/>
    <w:rsid w:val="00CD1689"/>
    <w:rsid w:val="00CD2492"/>
    <w:rsid w:val="00CD47BA"/>
    <w:rsid w:val="00CD51BE"/>
    <w:rsid w:val="00CD5427"/>
    <w:rsid w:val="00CD604A"/>
    <w:rsid w:val="00CD6791"/>
    <w:rsid w:val="00CD7B6F"/>
    <w:rsid w:val="00CE15C4"/>
    <w:rsid w:val="00CE2E6A"/>
    <w:rsid w:val="00CE2EA9"/>
    <w:rsid w:val="00CE3BFB"/>
    <w:rsid w:val="00CE41DA"/>
    <w:rsid w:val="00CE5892"/>
    <w:rsid w:val="00CE6D64"/>
    <w:rsid w:val="00CE74D9"/>
    <w:rsid w:val="00CF053F"/>
    <w:rsid w:val="00CF0A55"/>
    <w:rsid w:val="00CF301C"/>
    <w:rsid w:val="00CF3BC3"/>
    <w:rsid w:val="00CF5904"/>
    <w:rsid w:val="00CF7C8B"/>
    <w:rsid w:val="00D00180"/>
    <w:rsid w:val="00D00793"/>
    <w:rsid w:val="00D01D15"/>
    <w:rsid w:val="00D029F7"/>
    <w:rsid w:val="00D04083"/>
    <w:rsid w:val="00D078E1"/>
    <w:rsid w:val="00D102D2"/>
    <w:rsid w:val="00D10AEF"/>
    <w:rsid w:val="00D12A7F"/>
    <w:rsid w:val="00D131D6"/>
    <w:rsid w:val="00D135BA"/>
    <w:rsid w:val="00D17A1D"/>
    <w:rsid w:val="00D20C77"/>
    <w:rsid w:val="00D21484"/>
    <w:rsid w:val="00D218AC"/>
    <w:rsid w:val="00D221A6"/>
    <w:rsid w:val="00D22365"/>
    <w:rsid w:val="00D232A2"/>
    <w:rsid w:val="00D23522"/>
    <w:rsid w:val="00D25C90"/>
    <w:rsid w:val="00D25F5C"/>
    <w:rsid w:val="00D26196"/>
    <w:rsid w:val="00D279AE"/>
    <w:rsid w:val="00D30900"/>
    <w:rsid w:val="00D30F08"/>
    <w:rsid w:val="00D311EA"/>
    <w:rsid w:val="00D31C61"/>
    <w:rsid w:val="00D323BE"/>
    <w:rsid w:val="00D32F98"/>
    <w:rsid w:val="00D34329"/>
    <w:rsid w:val="00D358D8"/>
    <w:rsid w:val="00D365C5"/>
    <w:rsid w:val="00D36C95"/>
    <w:rsid w:val="00D405AB"/>
    <w:rsid w:val="00D41280"/>
    <w:rsid w:val="00D43528"/>
    <w:rsid w:val="00D45EB0"/>
    <w:rsid w:val="00D46125"/>
    <w:rsid w:val="00D508A9"/>
    <w:rsid w:val="00D52F46"/>
    <w:rsid w:val="00D5423B"/>
    <w:rsid w:val="00D54D92"/>
    <w:rsid w:val="00D54F4E"/>
    <w:rsid w:val="00D55865"/>
    <w:rsid w:val="00D56274"/>
    <w:rsid w:val="00D60BA4"/>
    <w:rsid w:val="00D61E03"/>
    <w:rsid w:val="00D62F23"/>
    <w:rsid w:val="00D6528F"/>
    <w:rsid w:val="00D67A7A"/>
    <w:rsid w:val="00D67F8F"/>
    <w:rsid w:val="00D711A5"/>
    <w:rsid w:val="00D713FF"/>
    <w:rsid w:val="00D71666"/>
    <w:rsid w:val="00D72421"/>
    <w:rsid w:val="00D734E5"/>
    <w:rsid w:val="00D73F97"/>
    <w:rsid w:val="00D745A7"/>
    <w:rsid w:val="00D74D0A"/>
    <w:rsid w:val="00D767FA"/>
    <w:rsid w:val="00D80CCE"/>
    <w:rsid w:val="00D81D90"/>
    <w:rsid w:val="00D82202"/>
    <w:rsid w:val="00D83104"/>
    <w:rsid w:val="00D83137"/>
    <w:rsid w:val="00D836FE"/>
    <w:rsid w:val="00D83800"/>
    <w:rsid w:val="00D847D3"/>
    <w:rsid w:val="00D85213"/>
    <w:rsid w:val="00D85A93"/>
    <w:rsid w:val="00D87FF1"/>
    <w:rsid w:val="00D90204"/>
    <w:rsid w:val="00D90F92"/>
    <w:rsid w:val="00D920AA"/>
    <w:rsid w:val="00D92483"/>
    <w:rsid w:val="00D92633"/>
    <w:rsid w:val="00D93CE9"/>
    <w:rsid w:val="00D94DB4"/>
    <w:rsid w:val="00D951CB"/>
    <w:rsid w:val="00DA11ED"/>
    <w:rsid w:val="00DA2288"/>
    <w:rsid w:val="00DA243E"/>
    <w:rsid w:val="00DA298C"/>
    <w:rsid w:val="00DA59A9"/>
    <w:rsid w:val="00DB030C"/>
    <w:rsid w:val="00DB0A58"/>
    <w:rsid w:val="00DB2280"/>
    <w:rsid w:val="00DB403F"/>
    <w:rsid w:val="00DB4A3A"/>
    <w:rsid w:val="00DB4FA7"/>
    <w:rsid w:val="00DB7D94"/>
    <w:rsid w:val="00DC10EE"/>
    <w:rsid w:val="00DC1AA9"/>
    <w:rsid w:val="00DC1F27"/>
    <w:rsid w:val="00DC2000"/>
    <w:rsid w:val="00DC3D87"/>
    <w:rsid w:val="00DC6E11"/>
    <w:rsid w:val="00DD0C9E"/>
    <w:rsid w:val="00DD1B91"/>
    <w:rsid w:val="00DD368B"/>
    <w:rsid w:val="00DD39F6"/>
    <w:rsid w:val="00DD3EE2"/>
    <w:rsid w:val="00DD657D"/>
    <w:rsid w:val="00DD6E29"/>
    <w:rsid w:val="00DE26D6"/>
    <w:rsid w:val="00DE2DA8"/>
    <w:rsid w:val="00DE343C"/>
    <w:rsid w:val="00DE575C"/>
    <w:rsid w:val="00DE578A"/>
    <w:rsid w:val="00DE5D8B"/>
    <w:rsid w:val="00DE6045"/>
    <w:rsid w:val="00DE6AC5"/>
    <w:rsid w:val="00DE6E7E"/>
    <w:rsid w:val="00DE7DDA"/>
    <w:rsid w:val="00DF0931"/>
    <w:rsid w:val="00DF1D1E"/>
    <w:rsid w:val="00DF2583"/>
    <w:rsid w:val="00DF54D9"/>
    <w:rsid w:val="00DF6973"/>
    <w:rsid w:val="00DF79E9"/>
    <w:rsid w:val="00E00687"/>
    <w:rsid w:val="00E008CB"/>
    <w:rsid w:val="00E014FC"/>
    <w:rsid w:val="00E021C8"/>
    <w:rsid w:val="00E03D32"/>
    <w:rsid w:val="00E03E8B"/>
    <w:rsid w:val="00E04465"/>
    <w:rsid w:val="00E04E34"/>
    <w:rsid w:val="00E05FDB"/>
    <w:rsid w:val="00E10991"/>
    <w:rsid w:val="00E10DC6"/>
    <w:rsid w:val="00E11F8E"/>
    <w:rsid w:val="00E12B7F"/>
    <w:rsid w:val="00E145EA"/>
    <w:rsid w:val="00E17944"/>
    <w:rsid w:val="00E17BC5"/>
    <w:rsid w:val="00E20A86"/>
    <w:rsid w:val="00E225E7"/>
    <w:rsid w:val="00E22722"/>
    <w:rsid w:val="00E2347F"/>
    <w:rsid w:val="00E276B2"/>
    <w:rsid w:val="00E33FD4"/>
    <w:rsid w:val="00E34ED6"/>
    <w:rsid w:val="00E3596E"/>
    <w:rsid w:val="00E364EF"/>
    <w:rsid w:val="00E4094E"/>
    <w:rsid w:val="00E40E48"/>
    <w:rsid w:val="00E426A4"/>
    <w:rsid w:val="00E42D22"/>
    <w:rsid w:val="00E431EC"/>
    <w:rsid w:val="00E43371"/>
    <w:rsid w:val="00E43993"/>
    <w:rsid w:val="00E43EB3"/>
    <w:rsid w:val="00E4573C"/>
    <w:rsid w:val="00E458E2"/>
    <w:rsid w:val="00E45F37"/>
    <w:rsid w:val="00E466F2"/>
    <w:rsid w:val="00E50A17"/>
    <w:rsid w:val="00E50BD4"/>
    <w:rsid w:val="00E51959"/>
    <w:rsid w:val="00E56173"/>
    <w:rsid w:val="00E56899"/>
    <w:rsid w:val="00E56ADD"/>
    <w:rsid w:val="00E575BA"/>
    <w:rsid w:val="00E5788D"/>
    <w:rsid w:val="00E57CC8"/>
    <w:rsid w:val="00E60B21"/>
    <w:rsid w:val="00E61D0A"/>
    <w:rsid w:val="00E62286"/>
    <w:rsid w:val="00E62F21"/>
    <w:rsid w:val="00E634B6"/>
    <w:rsid w:val="00E634E3"/>
    <w:rsid w:val="00E645B1"/>
    <w:rsid w:val="00E6586E"/>
    <w:rsid w:val="00E659A6"/>
    <w:rsid w:val="00E669BE"/>
    <w:rsid w:val="00E724F5"/>
    <w:rsid w:val="00E7457D"/>
    <w:rsid w:val="00E75C19"/>
    <w:rsid w:val="00E75D2C"/>
    <w:rsid w:val="00E7661B"/>
    <w:rsid w:val="00E80636"/>
    <w:rsid w:val="00E80F31"/>
    <w:rsid w:val="00E82965"/>
    <w:rsid w:val="00E85102"/>
    <w:rsid w:val="00E8592D"/>
    <w:rsid w:val="00E86633"/>
    <w:rsid w:val="00E86D37"/>
    <w:rsid w:val="00E876A6"/>
    <w:rsid w:val="00E906C7"/>
    <w:rsid w:val="00E9497F"/>
    <w:rsid w:val="00E96181"/>
    <w:rsid w:val="00E96C67"/>
    <w:rsid w:val="00E96D0E"/>
    <w:rsid w:val="00E96DE5"/>
    <w:rsid w:val="00EA0AA8"/>
    <w:rsid w:val="00EA14C5"/>
    <w:rsid w:val="00EA1765"/>
    <w:rsid w:val="00EA26EF"/>
    <w:rsid w:val="00EA3241"/>
    <w:rsid w:val="00EA35E3"/>
    <w:rsid w:val="00EA3B5F"/>
    <w:rsid w:val="00EA5786"/>
    <w:rsid w:val="00EA615D"/>
    <w:rsid w:val="00EA75C1"/>
    <w:rsid w:val="00EA7B10"/>
    <w:rsid w:val="00EB141A"/>
    <w:rsid w:val="00EB1508"/>
    <w:rsid w:val="00EB2DEB"/>
    <w:rsid w:val="00EB40BD"/>
    <w:rsid w:val="00EB6CEE"/>
    <w:rsid w:val="00EB6D1A"/>
    <w:rsid w:val="00EB7038"/>
    <w:rsid w:val="00EB71FE"/>
    <w:rsid w:val="00EB7550"/>
    <w:rsid w:val="00EB7C2E"/>
    <w:rsid w:val="00EC0F04"/>
    <w:rsid w:val="00EC1309"/>
    <w:rsid w:val="00EC237D"/>
    <w:rsid w:val="00EC3951"/>
    <w:rsid w:val="00EC5F70"/>
    <w:rsid w:val="00EC6AAB"/>
    <w:rsid w:val="00EC6F2A"/>
    <w:rsid w:val="00ED2F32"/>
    <w:rsid w:val="00ED2F66"/>
    <w:rsid w:val="00ED4248"/>
    <w:rsid w:val="00ED60CA"/>
    <w:rsid w:val="00ED64EF"/>
    <w:rsid w:val="00ED6CDA"/>
    <w:rsid w:val="00EE0CAE"/>
    <w:rsid w:val="00EE0EC3"/>
    <w:rsid w:val="00EE1819"/>
    <w:rsid w:val="00EE1966"/>
    <w:rsid w:val="00EE1A75"/>
    <w:rsid w:val="00EE1B9E"/>
    <w:rsid w:val="00EE1DC0"/>
    <w:rsid w:val="00EE4A1F"/>
    <w:rsid w:val="00EE53EA"/>
    <w:rsid w:val="00EF009A"/>
    <w:rsid w:val="00EF0D0D"/>
    <w:rsid w:val="00EF0ED5"/>
    <w:rsid w:val="00EF1B5A"/>
    <w:rsid w:val="00EF2CCA"/>
    <w:rsid w:val="00EF4BC3"/>
    <w:rsid w:val="00EF5F22"/>
    <w:rsid w:val="00EF61AC"/>
    <w:rsid w:val="00EF791D"/>
    <w:rsid w:val="00F00F8B"/>
    <w:rsid w:val="00F01325"/>
    <w:rsid w:val="00F0172C"/>
    <w:rsid w:val="00F017B1"/>
    <w:rsid w:val="00F01BA1"/>
    <w:rsid w:val="00F0303D"/>
    <w:rsid w:val="00F03E1B"/>
    <w:rsid w:val="00F04D64"/>
    <w:rsid w:val="00F057E0"/>
    <w:rsid w:val="00F05885"/>
    <w:rsid w:val="00F0753A"/>
    <w:rsid w:val="00F10ADF"/>
    <w:rsid w:val="00F13F47"/>
    <w:rsid w:val="00F157E5"/>
    <w:rsid w:val="00F16EBD"/>
    <w:rsid w:val="00F1774A"/>
    <w:rsid w:val="00F214D5"/>
    <w:rsid w:val="00F229EF"/>
    <w:rsid w:val="00F22C62"/>
    <w:rsid w:val="00F24A31"/>
    <w:rsid w:val="00F24B62"/>
    <w:rsid w:val="00F24E4E"/>
    <w:rsid w:val="00F25B7F"/>
    <w:rsid w:val="00F26059"/>
    <w:rsid w:val="00F2608D"/>
    <w:rsid w:val="00F262C6"/>
    <w:rsid w:val="00F264AB"/>
    <w:rsid w:val="00F26CB6"/>
    <w:rsid w:val="00F313B0"/>
    <w:rsid w:val="00F33E73"/>
    <w:rsid w:val="00F343DA"/>
    <w:rsid w:val="00F359F8"/>
    <w:rsid w:val="00F3652C"/>
    <w:rsid w:val="00F366F4"/>
    <w:rsid w:val="00F36803"/>
    <w:rsid w:val="00F376A8"/>
    <w:rsid w:val="00F403C0"/>
    <w:rsid w:val="00F4065E"/>
    <w:rsid w:val="00F42679"/>
    <w:rsid w:val="00F43D1A"/>
    <w:rsid w:val="00F43E8A"/>
    <w:rsid w:val="00F45528"/>
    <w:rsid w:val="00F46AA1"/>
    <w:rsid w:val="00F47235"/>
    <w:rsid w:val="00F47A9A"/>
    <w:rsid w:val="00F50554"/>
    <w:rsid w:val="00F51771"/>
    <w:rsid w:val="00F53F91"/>
    <w:rsid w:val="00F56255"/>
    <w:rsid w:val="00F57321"/>
    <w:rsid w:val="00F57CD4"/>
    <w:rsid w:val="00F60DB5"/>
    <w:rsid w:val="00F613E9"/>
    <w:rsid w:val="00F6168C"/>
    <w:rsid w:val="00F61A72"/>
    <w:rsid w:val="00F621FB"/>
    <w:rsid w:val="00F62D1F"/>
    <w:rsid w:val="00F6371E"/>
    <w:rsid w:val="00F63E0E"/>
    <w:rsid w:val="00F64274"/>
    <w:rsid w:val="00F65951"/>
    <w:rsid w:val="00F65DE4"/>
    <w:rsid w:val="00F66F13"/>
    <w:rsid w:val="00F72BC6"/>
    <w:rsid w:val="00F74073"/>
    <w:rsid w:val="00F74AC4"/>
    <w:rsid w:val="00F74D7D"/>
    <w:rsid w:val="00F7614E"/>
    <w:rsid w:val="00F77453"/>
    <w:rsid w:val="00F80F82"/>
    <w:rsid w:val="00F81A04"/>
    <w:rsid w:val="00F84116"/>
    <w:rsid w:val="00F8524E"/>
    <w:rsid w:val="00F857AB"/>
    <w:rsid w:val="00F8778E"/>
    <w:rsid w:val="00F87D67"/>
    <w:rsid w:val="00F87D80"/>
    <w:rsid w:val="00F90E04"/>
    <w:rsid w:val="00F9189A"/>
    <w:rsid w:val="00F928C5"/>
    <w:rsid w:val="00F94FFB"/>
    <w:rsid w:val="00F970A1"/>
    <w:rsid w:val="00F978F0"/>
    <w:rsid w:val="00FA1759"/>
    <w:rsid w:val="00FA277B"/>
    <w:rsid w:val="00FA6987"/>
    <w:rsid w:val="00FB06ED"/>
    <w:rsid w:val="00FB76DB"/>
    <w:rsid w:val="00FC084D"/>
    <w:rsid w:val="00FC36AB"/>
    <w:rsid w:val="00FC3F21"/>
    <w:rsid w:val="00FC4193"/>
    <w:rsid w:val="00FC5A5F"/>
    <w:rsid w:val="00FC6AB4"/>
    <w:rsid w:val="00FC6EC6"/>
    <w:rsid w:val="00FD09E3"/>
    <w:rsid w:val="00FD1727"/>
    <w:rsid w:val="00FD1D6B"/>
    <w:rsid w:val="00FD2798"/>
    <w:rsid w:val="00FD2A72"/>
    <w:rsid w:val="00FD5819"/>
    <w:rsid w:val="00FD7DCA"/>
    <w:rsid w:val="00FE15EB"/>
    <w:rsid w:val="00FE4F08"/>
    <w:rsid w:val="00FE5C0A"/>
    <w:rsid w:val="00FE64E4"/>
    <w:rsid w:val="00FE660A"/>
    <w:rsid w:val="00FF0D35"/>
    <w:rsid w:val="00FF0DF2"/>
    <w:rsid w:val="00FF2229"/>
    <w:rsid w:val="00FF3A5A"/>
    <w:rsid w:val="00FF3D49"/>
    <w:rsid w:val="00FF5128"/>
    <w:rsid w:val="00FF6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D86DD6F"/>
  <w15:chartTrackingRefBased/>
  <w15:docId w15:val="{7822E0B9-4777-4FB1-B0A0-AAECCAEB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554"/>
    <w:pPr>
      <w:spacing w:line="240" w:lineRule="atLeast"/>
    </w:pPr>
    <w:rPr>
      <w:rFonts w:ascii="Verdana" w:hAnsi="Verdana"/>
      <w:sz w:val="18"/>
      <w:szCs w:val="24"/>
    </w:rPr>
  </w:style>
  <w:style w:type="paragraph" w:styleId="Heading1">
    <w:name w:val="heading 1"/>
    <w:basedOn w:val="Normal"/>
    <w:next w:val="Normal"/>
    <w:link w:val="Heading1Char"/>
    <w:qFormat/>
    <w:rsid w:val="009627A5"/>
    <w:pPr>
      <w:pageBreakBefore/>
      <w:widowControl w:val="0"/>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9627A5"/>
    <w:pPr>
      <w:keepNext/>
      <w:pageBreakBefore w:val="0"/>
      <w:spacing w:before="200" w:after="0"/>
      <w:outlineLvl w:val="1"/>
    </w:pPr>
    <w:rPr>
      <w:b/>
      <w:bCs w:val="0"/>
      <w:iCs/>
      <w:sz w:val="18"/>
      <w:szCs w:val="28"/>
    </w:rPr>
  </w:style>
  <w:style w:type="paragraph" w:styleId="Heading3">
    <w:name w:val="heading 3"/>
    <w:basedOn w:val="Heading1"/>
    <w:next w:val="Normal"/>
    <w:qFormat/>
    <w:rsid w:val="009627A5"/>
    <w:pPr>
      <w:keepNext/>
      <w:pageBreakBefore w:val="0"/>
      <w:spacing w:before="240" w:after="0" w:line="240" w:lineRule="atLeast"/>
      <w:contextualSpacing w:val="0"/>
      <w:outlineLvl w:val="2"/>
    </w:pPr>
    <w:rPr>
      <w:bCs w:val="0"/>
      <w:i/>
      <w:sz w:val="18"/>
      <w:szCs w:val="26"/>
    </w:rPr>
  </w:style>
  <w:style w:type="paragraph" w:styleId="Heading4">
    <w:name w:val="heading 4"/>
    <w:basedOn w:val="Heading1"/>
    <w:next w:val="Normal"/>
    <w:qFormat/>
    <w:rsid w:val="009627A5"/>
    <w:pPr>
      <w:keepNext/>
      <w:pageBreakBefore w:val="0"/>
      <w:spacing w:before="240" w:after="0" w:line="240" w:lineRule="atLeast"/>
      <w:contextualSpacing w:val="0"/>
      <w:outlineLvl w:val="3"/>
    </w:pPr>
    <w:rPr>
      <w:bCs w:val="0"/>
      <w:sz w:val="18"/>
      <w:szCs w:val="28"/>
    </w:rPr>
  </w:style>
  <w:style w:type="paragraph" w:styleId="Heading5">
    <w:name w:val="heading 5"/>
    <w:basedOn w:val="Normal"/>
    <w:next w:val="Normal"/>
    <w:qFormat/>
    <w:rsid w:val="009627A5"/>
    <w:pPr>
      <w:spacing w:before="240" w:after="60"/>
      <w:outlineLvl w:val="4"/>
    </w:pPr>
    <w:rPr>
      <w:b/>
      <w:bCs/>
      <w:i/>
      <w:iCs/>
      <w:sz w:val="26"/>
      <w:szCs w:val="26"/>
    </w:rPr>
  </w:style>
  <w:style w:type="paragraph" w:styleId="Heading6">
    <w:name w:val="heading 6"/>
    <w:basedOn w:val="Normal"/>
    <w:next w:val="Normal"/>
    <w:qFormat/>
    <w:rsid w:val="00F26059"/>
    <w:pPr>
      <w:numPr>
        <w:ilvl w:val="5"/>
        <w:numId w:val="1"/>
      </w:numPr>
      <w:spacing w:before="240" w:after="60"/>
      <w:outlineLvl w:val="5"/>
    </w:pPr>
    <w:rPr>
      <w:b/>
      <w:bCs/>
      <w:szCs w:val="22"/>
    </w:rPr>
  </w:style>
  <w:style w:type="paragraph" w:styleId="Heading7">
    <w:name w:val="heading 7"/>
    <w:basedOn w:val="Normal"/>
    <w:next w:val="Normal"/>
    <w:qFormat/>
    <w:rsid w:val="00F26059"/>
    <w:pPr>
      <w:numPr>
        <w:ilvl w:val="6"/>
        <w:numId w:val="1"/>
      </w:numPr>
      <w:spacing w:before="240" w:after="60"/>
      <w:outlineLvl w:val="6"/>
    </w:pPr>
    <w:rPr>
      <w:sz w:val="24"/>
    </w:rPr>
  </w:style>
  <w:style w:type="paragraph" w:styleId="Heading8">
    <w:name w:val="heading 8"/>
    <w:basedOn w:val="Normal"/>
    <w:next w:val="Normal"/>
    <w:qFormat/>
    <w:rsid w:val="00F26059"/>
    <w:pPr>
      <w:numPr>
        <w:ilvl w:val="7"/>
        <w:numId w:val="1"/>
      </w:numPr>
      <w:spacing w:before="240" w:after="60"/>
      <w:outlineLvl w:val="7"/>
    </w:pPr>
    <w:rPr>
      <w:i/>
      <w:iCs/>
      <w:sz w:val="24"/>
    </w:rPr>
  </w:style>
  <w:style w:type="paragraph" w:styleId="Heading9">
    <w:name w:val="heading 9"/>
    <w:basedOn w:val="Normal"/>
    <w:next w:val="Normal"/>
    <w:qFormat/>
    <w:rsid w:val="00FF0DF2"/>
    <w:pPr>
      <w:numPr>
        <w:ilvl w:val="8"/>
        <w:numId w:val="1"/>
      </w:numPr>
      <w:spacing w:before="240" w:after="6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Inhoudsopgave">
    <w:name w:val="Kop-Inhoudsopgave"/>
    <w:basedOn w:val="Kopzondernummering"/>
    <w:next w:val="Normal"/>
    <w:rsid w:val="009627A5"/>
  </w:style>
  <w:style w:type="paragraph" w:customStyle="1" w:styleId="Kopzondernummering">
    <w:name w:val="Kop zonder nummering"/>
    <w:basedOn w:val="Normal"/>
    <w:next w:val="Normal"/>
    <w:rsid w:val="009627A5"/>
    <w:pPr>
      <w:spacing w:after="700" w:line="300" w:lineRule="atLeast"/>
      <w:contextualSpacing/>
    </w:pPr>
    <w:rPr>
      <w:sz w:val="24"/>
    </w:rPr>
  </w:style>
  <w:style w:type="character" w:styleId="Hyperlink">
    <w:name w:val="Hyperlink"/>
    <w:uiPriority w:val="99"/>
    <w:rsid w:val="009627A5"/>
    <w:rPr>
      <w:rFonts w:ascii="Verdana" w:hAnsi="Verdana"/>
      <w:color w:val="000000"/>
      <w:u w:val="single"/>
    </w:rPr>
  </w:style>
  <w:style w:type="character" w:customStyle="1" w:styleId="ListNumber2Char">
    <w:name w:val="List Number 2 Char"/>
    <w:link w:val="ListNumber2"/>
    <w:rsid w:val="003C18C0"/>
    <w:rPr>
      <w:rFonts w:ascii="Verdana" w:hAnsi="Verdana"/>
      <w:sz w:val="18"/>
      <w:szCs w:val="24"/>
    </w:rPr>
  </w:style>
  <w:style w:type="paragraph" w:styleId="ListNumber2">
    <w:name w:val="List Number 2"/>
    <w:basedOn w:val="Normal"/>
    <w:link w:val="ListNumber2Char"/>
    <w:rsid w:val="009627A5"/>
    <w:pPr>
      <w:numPr>
        <w:numId w:val="4"/>
      </w:numPr>
    </w:pPr>
  </w:style>
  <w:style w:type="paragraph" w:styleId="TOC1">
    <w:name w:val="toc 1"/>
    <w:basedOn w:val="Normal"/>
    <w:next w:val="Normal"/>
    <w:uiPriority w:val="39"/>
    <w:rsid w:val="007724AB"/>
  </w:style>
  <w:style w:type="paragraph" w:customStyle="1" w:styleId="Huisstijl-Paginanummering">
    <w:name w:val="Huisstijl-Paginanummering"/>
    <w:basedOn w:val="Normal"/>
    <w:rsid w:val="009627A5"/>
    <w:pPr>
      <w:spacing w:line="180" w:lineRule="exact"/>
    </w:pPr>
    <w:rPr>
      <w:noProof/>
      <w:sz w:val="13"/>
    </w:rPr>
  </w:style>
  <w:style w:type="character" w:customStyle="1" w:styleId="ListNumberChar">
    <w:name w:val="List Number Char"/>
    <w:link w:val="ListNumber"/>
    <w:rsid w:val="003C18C0"/>
    <w:rPr>
      <w:rFonts w:ascii="Verdana" w:hAnsi="Verdana"/>
      <w:sz w:val="18"/>
      <w:szCs w:val="24"/>
    </w:rPr>
  </w:style>
  <w:style w:type="paragraph" w:styleId="ListNumber">
    <w:name w:val="List Number"/>
    <w:basedOn w:val="Normal"/>
    <w:link w:val="ListNumberChar"/>
    <w:rsid w:val="009627A5"/>
    <w:pPr>
      <w:numPr>
        <w:numId w:val="3"/>
      </w:numPr>
    </w:pPr>
  </w:style>
  <w:style w:type="character" w:customStyle="1" w:styleId="Huisstijl-Koptekst">
    <w:name w:val="Huisstijl-Koptekst"/>
    <w:rsid w:val="009627A5"/>
    <w:rPr>
      <w:rFonts w:ascii="Verdana" w:hAnsi="Verdana"/>
      <w:dstrike w:val="0"/>
      <w:sz w:val="13"/>
      <w:vertAlign w:val="baseline"/>
    </w:rPr>
  </w:style>
  <w:style w:type="paragraph" w:styleId="Header">
    <w:name w:val="header"/>
    <w:basedOn w:val="Normal"/>
    <w:rsid w:val="009627A5"/>
    <w:pPr>
      <w:tabs>
        <w:tab w:val="center" w:pos="4536"/>
        <w:tab w:val="right" w:pos="9072"/>
      </w:tabs>
    </w:pPr>
  </w:style>
  <w:style w:type="paragraph" w:styleId="Footer">
    <w:name w:val="footer"/>
    <w:basedOn w:val="Normal"/>
    <w:rsid w:val="009627A5"/>
    <w:pPr>
      <w:tabs>
        <w:tab w:val="center" w:pos="4536"/>
        <w:tab w:val="right" w:pos="9072"/>
      </w:tabs>
    </w:pPr>
  </w:style>
  <w:style w:type="paragraph" w:styleId="ListBullet2">
    <w:name w:val="List Bullet 2"/>
    <w:basedOn w:val="Normal"/>
    <w:rsid w:val="008F2143"/>
    <w:pPr>
      <w:tabs>
        <w:tab w:val="num" w:pos="-31680"/>
      </w:tabs>
      <w:ind w:left="454" w:hanging="227"/>
    </w:pPr>
    <w:rPr>
      <w:noProof/>
    </w:rPr>
  </w:style>
  <w:style w:type="paragraph" w:styleId="ListBullet">
    <w:name w:val="List Bullet"/>
    <w:basedOn w:val="Normal"/>
    <w:rsid w:val="009627A5"/>
    <w:pPr>
      <w:numPr>
        <w:numId w:val="2"/>
      </w:numPr>
    </w:pPr>
  </w:style>
  <w:style w:type="paragraph" w:styleId="Subtitle">
    <w:name w:val="Subtitle"/>
    <w:basedOn w:val="Normal"/>
    <w:next w:val="Normal"/>
    <w:link w:val="SubtitleChar"/>
    <w:qFormat/>
    <w:rsid w:val="009627A5"/>
    <w:pPr>
      <w:spacing w:line="320" w:lineRule="atLeast"/>
      <w:outlineLvl w:val="1"/>
    </w:pPr>
    <w:rPr>
      <w:sz w:val="24"/>
    </w:rPr>
  </w:style>
  <w:style w:type="paragraph" w:styleId="Title">
    <w:name w:val="Title"/>
    <w:basedOn w:val="Normal"/>
    <w:qFormat/>
    <w:rsid w:val="009627A5"/>
    <w:pPr>
      <w:spacing w:line="320" w:lineRule="atLeast"/>
      <w:outlineLvl w:val="0"/>
    </w:pPr>
    <w:rPr>
      <w:rFonts w:cs="Arial"/>
      <w:b/>
      <w:bCs/>
      <w:kern w:val="28"/>
      <w:sz w:val="24"/>
      <w:szCs w:val="32"/>
    </w:rPr>
  </w:style>
  <w:style w:type="character" w:customStyle="1" w:styleId="Huisstijl-Rubricering">
    <w:name w:val="Huisstijl-Rubricering"/>
    <w:rsid w:val="009627A5"/>
    <w:rPr>
      <w:rFonts w:ascii="Verdana" w:hAnsi="Verdana"/>
      <w:b/>
      <w:smallCaps/>
      <w:dstrike w:val="0"/>
      <w:sz w:val="13"/>
      <w:vertAlign w:val="baseline"/>
    </w:rPr>
  </w:style>
  <w:style w:type="paragraph" w:styleId="TOC2">
    <w:name w:val="toc 2"/>
    <w:basedOn w:val="TOC1"/>
    <w:next w:val="Normal"/>
    <w:autoRedefine/>
    <w:uiPriority w:val="39"/>
    <w:rsid w:val="001E628B"/>
    <w:pPr>
      <w:tabs>
        <w:tab w:val="right" w:leader="dot" w:pos="7716"/>
      </w:tabs>
      <w:spacing w:before="240"/>
      <w:ind w:left="1440" w:hanging="1213"/>
    </w:pPr>
    <w:rPr>
      <w:b/>
      <w:noProof/>
    </w:rPr>
  </w:style>
  <w:style w:type="paragraph" w:styleId="NormalWeb">
    <w:name w:val="Normal (Web)"/>
    <w:basedOn w:val="Normal"/>
    <w:rsid w:val="009627A5"/>
  </w:style>
  <w:style w:type="paragraph" w:styleId="TOC3">
    <w:name w:val="toc 3"/>
    <w:basedOn w:val="TOC2"/>
    <w:next w:val="Normal"/>
    <w:uiPriority w:val="39"/>
    <w:rsid w:val="007724AB"/>
    <w:pPr>
      <w:spacing w:before="0"/>
    </w:pPr>
    <w:rPr>
      <w:b w:val="0"/>
    </w:rPr>
  </w:style>
  <w:style w:type="paragraph" w:customStyle="1" w:styleId="Huisstijl-TabelTitel">
    <w:name w:val="Huisstijl-TabelTitel"/>
    <w:basedOn w:val="Normal"/>
    <w:next w:val="Normal"/>
    <w:rsid w:val="009627A5"/>
    <w:rPr>
      <w:b/>
      <w:sz w:val="14"/>
    </w:rPr>
  </w:style>
  <w:style w:type="paragraph" w:customStyle="1" w:styleId="Huisstijl-Bijschrift">
    <w:name w:val="Huisstijl-Bijschrift"/>
    <w:basedOn w:val="Normal"/>
    <w:next w:val="Normal"/>
    <w:rsid w:val="009627A5"/>
    <w:rPr>
      <w:i/>
    </w:rPr>
  </w:style>
  <w:style w:type="table" w:styleId="TableGrid">
    <w:name w:val="Table Grid"/>
    <w:basedOn w:val="TableNormal"/>
    <w:rsid w:val="009627A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TableNormal"/>
    <w:rsid w:val="009627A5"/>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9627A5"/>
    <w:rPr>
      <w:b w:val="0"/>
    </w:rPr>
  </w:style>
  <w:style w:type="paragraph" w:styleId="TOC4">
    <w:name w:val="toc 4"/>
    <w:basedOn w:val="TOC3"/>
    <w:next w:val="Normal"/>
    <w:semiHidden/>
    <w:rsid w:val="007724AB"/>
  </w:style>
  <w:style w:type="paragraph" w:styleId="TOC5">
    <w:name w:val="toc 5"/>
    <w:basedOn w:val="Normal"/>
    <w:next w:val="Normal"/>
    <w:autoRedefine/>
    <w:semiHidden/>
    <w:rsid w:val="007724AB"/>
    <w:pPr>
      <w:ind w:left="720"/>
    </w:pPr>
  </w:style>
  <w:style w:type="paragraph" w:styleId="FootnoteText">
    <w:name w:val="footnote text"/>
    <w:basedOn w:val="Normal"/>
    <w:link w:val="FootnoteTextChar"/>
    <w:uiPriority w:val="99"/>
    <w:semiHidden/>
    <w:rsid w:val="00646E47"/>
    <w:pPr>
      <w:tabs>
        <w:tab w:val="left" w:pos="600"/>
      </w:tabs>
      <w:spacing w:line="180" w:lineRule="atLeast"/>
      <w:ind w:left="240" w:hanging="240"/>
    </w:pPr>
    <w:rPr>
      <w:sz w:val="13"/>
      <w:szCs w:val="20"/>
    </w:rPr>
  </w:style>
  <w:style w:type="character" w:styleId="FootnoteReference">
    <w:name w:val="footnote reference"/>
    <w:uiPriority w:val="99"/>
    <w:semiHidden/>
    <w:rsid w:val="00646E47"/>
    <w:rPr>
      <w:vertAlign w:val="superscript"/>
    </w:rPr>
  </w:style>
  <w:style w:type="paragraph" w:styleId="EndnoteText">
    <w:name w:val="endnote text"/>
    <w:basedOn w:val="Normal"/>
    <w:link w:val="EndnoteTextChar"/>
    <w:semiHidden/>
    <w:rsid w:val="00646E47"/>
    <w:rPr>
      <w:sz w:val="20"/>
      <w:szCs w:val="20"/>
    </w:rPr>
  </w:style>
  <w:style w:type="character" w:styleId="EndnoteReference">
    <w:name w:val="endnote reference"/>
    <w:semiHidden/>
    <w:rsid w:val="00646E47"/>
    <w:rPr>
      <w:vertAlign w:val="superscript"/>
    </w:rPr>
  </w:style>
  <w:style w:type="paragraph" w:customStyle="1" w:styleId="Bestandsnaam">
    <w:name w:val="Bestandsnaam"/>
    <w:basedOn w:val="Header"/>
    <w:rsid w:val="009627A5"/>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Huisstijl-Adres">
    <w:name w:val="Huisstijl-Adres"/>
    <w:basedOn w:val="Normal"/>
    <w:rsid w:val="009627A5"/>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9627A5"/>
    <w:pPr>
      <w:spacing w:after="92" w:line="180" w:lineRule="exact"/>
    </w:pPr>
    <w:rPr>
      <w:noProof/>
      <w:sz w:val="13"/>
    </w:rPr>
  </w:style>
  <w:style w:type="character" w:customStyle="1" w:styleId="Huisstijl-GegevenCharChar">
    <w:name w:val="Huisstijl-Gegeven Char Char"/>
    <w:link w:val="Huisstijl-Gegeven"/>
    <w:rsid w:val="009627A5"/>
    <w:rPr>
      <w:rFonts w:ascii="Verdana" w:hAnsi="Verdana"/>
      <w:noProof/>
      <w:sz w:val="13"/>
      <w:szCs w:val="24"/>
      <w:lang w:val="nl-NL" w:eastAsia="nl-NL" w:bidi="ar-SA"/>
    </w:rPr>
  </w:style>
  <w:style w:type="paragraph" w:customStyle="1" w:styleId="Huisstijl-KixCode">
    <w:name w:val="Huisstijl-KixCode"/>
    <w:basedOn w:val="Normal"/>
    <w:rsid w:val="009627A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627A5"/>
    <w:pPr>
      <w:spacing w:after="0"/>
    </w:pPr>
    <w:rPr>
      <w:b/>
    </w:rPr>
  </w:style>
  <w:style w:type="paragraph" w:customStyle="1" w:styleId="Huisstijl-NAW">
    <w:name w:val="Huisstijl-NAW"/>
    <w:basedOn w:val="Normal"/>
    <w:rsid w:val="009627A5"/>
    <w:pPr>
      <w:adjustRightInd w:val="0"/>
    </w:pPr>
    <w:rPr>
      <w:rFonts w:cs="Verdana"/>
      <w:noProof/>
      <w:szCs w:val="18"/>
    </w:rPr>
  </w:style>
  <w:style w:type="paragraph" w:customStyle="1" w:styleId="Huisstijl-Retouradres">
    <w:name w:val="Huisstijl-Retouradres"/>
    <w:basedOn w:val="Normal"/>
    <w:rsid w:val="009627A5"/>
    <w:pPr>
      <w:spacing w:line="180" w:lineRule="exact"/>
    </w:pPr>
    <w:rPr>
      <w:noProof/>
      <w:sz w:val="13"/>
    </w:rPr>
  </w:style>
  <w:style w:type="paragraph" w:customStyle="1" w:styleId="Huisstijl-Voorwaarden">
    <w:name w:val="Huisstijl-Voorwaarden"/>
    <w:basedOn w:val="Normal"/>
    <w:rsid w:val="009627A5"/>
    <w:pPr>
      <w:spacing w:line="180" w:lineRule="exact"/>
    </w:pPr>
    <w:rPr>
      <w:i/>
      <w:noProof/>
      <w:sz w:val="13"/>
    </w:rPr>
  </w:style>
  <w:style w:type="paragraph" w:customStyle="1" w:styleId="Minuut">
    <w:name w:val="Minuut"/>
    <w:basedOn w:val="Normal"/>
    <w:rsid w:val="009627A5"/>
    <w:pPr>
      <w:spacing w:line="280" w:lineRule="exact"/>
    </w:pPr>
    <w:rPr>
      <w:rFonts w:ascii="Times New Roman" w:hAnsi="Times New Roman"/>
      <w:b/>
      <w:sz w:val="20"/>
      <w:szCs w:val="20"/>
      <w:lang w:eastAsia="en-US"/>
    </w:rPr>
  </w:style>
  <w:style w:type="numbering" w:customStyle="1" w:styleId="StyleBulleted">
    <w:name w:val="Style Bulleted"/>
    <w:basedOn w:val="NoList"/>
    <w:rsid w:val="009627A5"/>
    <w:pPr>
      <w:numPr>
        <w:numId w:val="5"/>
      </w:numPr>
    </w:pPr>
  </w:style>
  <w:style w:type="numbering" w:customStyle="1" w:styleId="StyleNumbered">
    <w:name w:val="Style Numbered"/>
    <w:basedOn w:val="NoList"/>
    <w:rsid w:val="009627A5"/>
    <w:pPr>
      <w:numPr>
        <w:numId w:val="6"/>
      </w:numPr>
    </w:pPr>
  </w:style>
  <w:style w:type="paragraph" w:styleId="DocumentMap">
    <w:name w:val="Document Map"/>
    <w:basedOn w:val="Normal"/>
    <w:semiHidden/>
    <w:rsid w:val="003E713E"/>
    <w:pPr>
      <w:shd w:val="clear" w:color="auto" w:fill="000080"/>
    </w:pPr>
    <w:rPr>
      <w:rFonts w:ascii="Tahoma" w:hAnsi="Tahoma" w:cs="Tahoma"/>
      <w:sz w:val="20"/>
      <w:szCs w:val="20"/>
    </w:rPr>
  </w:style>
  <w:style w:type="paragraph" w:customStyle="1" w:styleId="Table">
    <w:name w:val="Table"/>
    <w:basedOn w:val="Normal"/>
    <w:rsid w:val="00470830"/>
    <w:pPr>
      <w:spacing w:line="280" w:lineRule="atLeast"/>
    </w:pPr>
    <w:rPr>
      <w:rFonts w:ascii="Times New Roman" w:hAnsi="Times New Roman"/>
      <w:sz w:val="22"/>
      <w:szCs w:val="20"/>
      <w:lang w:val="fr-FR" w:eastAsia="en-US" w:bidi="he-IL"/>
    </w:rPr>
  </w:style>
  <w:style w:type="paragraph" w:styleId="Caption">
    <w:name w:val="caption"/>
    <w:basedOn w:val="Normal"/>
    <w:next w:val="Normal"/>
    <w:qFormat/>
    <w:rsid w:val="00646E47"/>
    <w:rPr>
      <w:b/>
      <w:bCs/>
      <w:szCs w:val="20"/>
    </w:rPr>
  </w:style>
  <w:style w:type="paragraph" w:customStyle="1" w:styleId="Huisstijl-Adres2">
    <w:name w:val="Huisstijl-Adres2"/>
    <w:basedOn w:val="Huisstijl-Adres"/>
    <w:rsid w:val="00646E47"/>
    <w:pPr>
      <w:spacing w:after="0"/>
    </w:pPr>
  </w:style>
  <w:style w:type="paragraph" w:styleId="BodyText">
    <w:name w:val="Body Text"/>
    <w:basedOn w:val="Normal"/>
    <w:rsid w:val="00B56D45"/>
    <w:pPr>
      <w:spacing w:after="120"/>
    </w:pPr>
  </w:style>
  <w:style w:type="character" w:customStyle="1" w:styleId="SubtitleChar">
    <w:name w:val="Subtitle Char"/>
    <w:link w:val="Subtitle"/>
    <w:rsid w:val="008517DE"/>
    <w:rPr>
      <w:rFonts w:ascii="Verdana" w:hAnsi="Verdana"/>
      <w:sz w:val="24"/>
      <w:szCs w:val="24"/>
      <w:lang w:val="nl-NL" w:eastAsia="nl-NL" w:bidi="ar-SA"/>
    </w:rPr>
  </w:style>
  <w:style w:type="character" w:styleId="PageNumber">
    <w:name w:val="page number"/>
    <w:basedOn w:val="DefaultParagraphFont"/>
    <w:rsid w:val="009E1B8B"/>
  </w:style>
  <w:style w:type="character" w:styleId="CommentReference">
    <w:name w:val="annotation reference"/>
    <w:semiHidden/>
    <w:rsid w:val="008777AA"/>
    <w:rPr>
      <w:sz w:val="16"/>
      <w:szCs w:val="16"/>
    </w:rPr>
  </w:style>
  <w:style w:type="paragraph" w:styleId="CommentText">
    <w:name w:val="annotation text"/>
    <w:basedOn w:val="Normal"/>
    <w:link w:val="CommentTextChar"/>
    <w:uiPriority w:val="99"/>
    <w:semiHidden/>
    <w:rsid w:val="008777AA"/>
    <w:rPr>
      <w:sz w:val="20"/>
      <w:szCs w:val="20"/>
    </w:rPr>
  </w:style>
  <w:style w:type="paragraph" w:styleId="BalloonText">
    <w:name w:val="Balloon Text"/>
    <w:basedOn w:val="Normal"/>
    <w:semiHidden/>
    <w:rsid w:val="008777AA"/>
    <w:rPr>
      <w:rFonts w:ascii="Tahoma" w:hAnsi="Tahoma" w:cs="Tahoma"/>
      <w:sz w:val="16"/>
      <w:szCs w:val="16"/>
    </w:rPr>
  </w:style>
  <w:style w:type="character" w:customStyle="1" w:styleId="FootnoteTextChar">
    <w:name w:val="Footnote Text Char"/>
    <w:link w:val="FootnoteText"/>
    <w:uiPriority w:val="99"/>
    <w:semiHidden/>
    <w:rsid w:val="005150FC"/>
    <w:rPr>
      <w:rFonts w:ascii="Verdana" w:hAnsi="Verdana"/>
      <w:sz w:val="13"/>
    </w:rPr>
  </w:style>
  <w:style w:type="paragraph" w:styleId="PlainText">
    <w:name w:val="Plain Text"/>
    <w:basedOn w:val="Normal"/>
    <w:link w:val="PlainTextChar"/>
    <w:uiPriority w:val="99"/>
    <w:unhideWhenUsed/>
    <w:rsid w:val="00033E8D"/>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033E8D"/>
    <w:rPr>
      <w:rFonts w:ascii="Calibri" w:eastAsia="Calibri" w:hAnsi="Calibri"/>
      <w:sz w:val="22"/>
      <w:szCs w:val="21"/>
      <w:lang w:eastAsia="en-US"/>
    </w:rPr>
  </w:style>
  <w:style w:type="character" w:customStyle="1" w:styleId="Heading2Char">
    <w:name w:val="Heading 2 Char"/>
    <w:link w:val="Heading2"/>
    <w:rsid w:val="005749A5"/>
    <w:rPr>
      <w:rFonts w:ascii="Verdana" w:hAnsi="Verdana" w:cs="Arial"/>
      <w:b/>
      <w:iCs/>
      <w:kern w:val="32"/>
      <w:sz w:val="18"/>
      <w:szCs w:val="28"/>
    </w:rPr>
  </w:style>
  <w:style w:type="paragraph" w:styleId="CommentSubject">
    <w:name w:val="annotation subject"/>
    <w:basedOn w:val="CommentText"/>
    <w:next w:val="CommentText"/>
    <w:link w:val="CommentSubjectChar"/>
    <w:rsid w:val="00EE0CAE"/>
    <w:rPr>
      <w:b/>
      <w:bCs/>
    </w:rPr>
  </w:style>
  <w:style w:type="character" w:customStyle="1" w:styleId="CommentTextChar">
    <w:name w:val="Comment Text Char"/>
    <w:link w:val="CommentText"/>
    <w:uiPriority w:val="99"/>
    <w:semiHidden/>
    <w:rsid w:val="00EE0CAE"/>
    <w:rPr>
      <w:rFonts w:ascii="Verdana" w:hAnsi="Verdana"/>
    </w:rPr>
  </w:style>
  <w:style w:type="character" w:customStyle="1" w:styleId="CommentSubjectChar">
    <w:name w:val="Comment Subject Char"/>
    <w:link w:val="CommentSubject"/>
    <w:rsid w:val="00EE0CAE"/>
    <w:rPr>
      <w:rFonts w:ascii="Verdana" w:hAnsi="Verdana"/>
      <w:b/>
      <w:bCs/>
    </w:rPr>
  </w:style>
  <w:style w:type="paragraph" w:styleId="Revision">
    <w:name w:val="Revision"/>
    <w:hidden/>
    <w:uiPriority w:val="99"/>
    <w:semiHidden/>
    <w:rsid w:val="008A646F"/>
    <w:rPr>
      <w:rFonts w:ascii="Verdana" w:hAnsi="Verdana"/>
      <w:sz w:val="18"/>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93C3B"/>
    <w:pPr>
      <w:ind w:left="720"/>
    </w:pPr>
  </w:style>
  <w:style w:type="paragraph" w:styleId="TOCHeading">
    <w:name w:val="TOC Heading"/>
    <w:basedOn w:val="Heading1"/>
    <w:next w:val="Normal"/>
    <w:uiPriority w:val="39"/>
    <w:unhideWhenUsed/>
    <w:qFormat/>
    <w:rsid w:val="0093015A"/>
    <w:pPr>
      <w:keepNext/>
      <w:keepLines/>
      <w:pageBreakBefore w:val="0"/>
      <w:widowControl/>
      <w:spacing w:before="240" w:after="0" w:line="259" w:lineRule="auto"/>
      <w:contextualSpacing w:val="0"/>
      <w:outlineLvl w:val="9"/>
    </w:pPr>
    <w:rPr>
      <w:rFonts w:asciiTheme="majorHAnsi" w:eastAsiaTheme="majorEastAsia" w:hAnsiTheme="majorHAnsi" w:cstheme="majorBidi"/>
      <w:bCs w:val="0"/>
      <w:color w:val="2E74B5" w:themeColor="accent1" w:themeShade="BF"/>
      <w:kern w:val="0"/>
      <w:sz w:val="32"/>
      <w:szCs w:val="3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C05FF0"/>
    <w:rPr>
      <w:rFonts w:ascii="Verdana" w:hAnsi="Verdana"/>
      <w:sz w:val="18"/>
      <w:szCs w:val="24"/>
    </w:rPr>
  </w:style>
  <w:style w:type="character" w:customStyle="1" w:styleId="EndnoteTextChar">
    <w:name w:val="Endnote Text Char"/>
    <w:basedOn w:val="DefaultParagraphFont"/>
    <w:link w:val="EndnoteText"/>
    <w:semiHidden/>
    <w:rsid w:val="009B44BC"/>
    <w:rPr>
      <w:rFonts w:ascii="Verdana" w:hAnsi="Verdana"/>
    </w:rPr>
  </w:style>
  <w:style w:type="character" w:styleId="FollowedHyperlink">
    <w:name w:val="FollowedHyperlink"/>
    <w:basedOn w:val="DefaultParagraphFont"/>
    <w:rsid w:val="00AF4149"/>
    <w:rPr>
      <w:color w:val="954F72" w:themeColor="followedHyperlink"/>
      <w:u w:val="single"/>
    </w:rPr>
  </w:style>
  <w:style w:type="character" w:styleId="UnresolvedMention">
    <w:name w:val="Unresolved Mention"/>
    <w:basedOn w:val="DefaultParagraphFont"/>
    <w:uiPriority w:val="99"/>
    <w:semiHidden/>
    <w:unhideWhenUsed/>
    <w:rsid w:val="00486A4F"/>
    <w:rPr>
      <w:color w:val="605E5C"/>
      <w:shd w:val="clear" w:color="auto" w:fill="E1DFDD"/>
    </w:rPr>
  </w:style>
  <w:style w:type="character" w:customStyle="1" w:styleId="Heading1Char">
    <w:name w:val="Heading 1 Char"/>
    <w:basedOn w:val="DefaultParagraphFont"/>
    <w:link w:val="Heading1"/>
    <w:rsid w:val="00B26CF2"/>
    <w:rPr>
      <w:rFonts w:ascii="Verdana" w:hAnsi="Verdana" w:cs="Arial"/>
      <w:bCs/>
      <w:kern w:val="3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52">
      <w:bodyDiv w:val="1"/>
      <w:marLeft w:val="0"/>
      <w:marRight w:val="0"/>
      <w:marTop w:val="0"/>
      <w:marBottom w:val="0"/>
      <w:divBdr>
        <w:top w:val="none" w:sz="0" w:space="0" w:color="auto"/>
        <w:left w:val="none" w:sz="0" w:space="0" w:color="auto"/>
        <w:bottom w:val="none" w:sz="0" w:space="0" w:color="auto"/>
        <w:right w:val="none" w:sz="0" w:space="0" w:color="auto"/>
      </w:divBdr>
    </w:div>
    <w:div w:id="89396246">
      <w:bodyDiv w:val="1"/>
      <w:marLeft w:val="0"/>
      <w:marRight w:val="0"/>
      <w:marTop w:val="0"/>
      <w:marBottom w:val="0"/>
      <w:divBdr>
        <w:top w:val="none" w:sz="0" w:space="0" w:color="auto"/>
        <w:left w:val="none" w:sz="0" w:space="0" w:color="auto"/>
        <w:bottom w:val="none" w:sz="0" w:space="0" w:color="auto"/>
        <w:right w:val="none" w:sz="0" w:space="0" w:color="auto"/>
      </w:divBdr>
    </w:div>
    <w:div w:id="315769763">
      <w:bodyDiv w:val="1"/>
      <w:marLeft w:val="0"/>
      <w:marRight w:val="0"/>
      <w:marTop w:val="0"/>
      <w:marBottom w:val="0"/>
      <w:divBdr>
        <w:top w:val="none" w:sz="0" w:space="0" w:color="auto"/>
        <w:left w:val="none" w:sz="0" w:space="0" w:color="auto"/>
        <w:bottom w:val="none" w:sz="0" w:space="0" w:color="auto"/>
        <w:right w:val="none" w:sz="0" w:space="0" w:color="auto"/>
      </w:divBdr>
    </w:div>
    <w:div w:id="390464610">
      <w:bodyDiv w:val="1"/>
      <w:marLeft w:val="0"/>
      <w:marRight w:val="0"/>
      <w:marTop w:val="0"/>
      <w:marBottom w:val="0"/>
      <w:divBdr>
        <w:top w:val="none" w:sz="0" w:space="0" w:color="auto"/>
        <w:left w:val="none" w:sz="0" w:space="0" w:color="auto"/>
        <w:bottom w:val="none" w:sz="0" w:space="0" w:color="auto"/>
        <w:right w:val="none" w:sz="0" w:space="0" w:color="auto"/>
      </w:divBdr>
    </w:div>
    <w:div w:id="467666748">
      <w:bodyDiv w:val="1"/>
      <w:marLeft w:val="0"/>
      <w:marRight w:val="0"/>
      <w:marTop w:val="0"/>
      <w:marBottom w:val="0"/>
      <w:divBdr>
        <w:top w:val="none" w:sz="0" w:space="0" w:color="auto"/>
        <w:left w:val="none" w:sz="0" w:space="0" w:color="auto"/>
        <w:bottom w:val="none" w:sz="0" w:space="0" w:color="auto"/>
        <w:right w:val="none" w:sz="0" w:space="0" w:color="auto"/>
      </w:divBdr>
    </w:div>
    <w:div w:id="494809538">
      <w:bodyDiv w:val="1"/>
      <w:marLeft w:val="0"/>
      <w:marRight w:val="0"/>
      <w:marTop w:val="0"/>
      <w:marBottom w:val="0"/>
      <w:divBdr>
        <w:top w:val="none" w:sz="0" w:space="0" w:color="auto"/>
        <w:left w:val="none" w:sz="0" w:space="0" w:color="auto"/>
        <w:bottom w:val="none" w:sz="0" w:space="0" w:color="auto"/>
        <w:right w:val="none" w:sz="0" w:space="0" w:color="auto"/>
      </w:divBdr>
    </w:div>
    <w:div w:id="514418116">
      <w:bodyDiv w:val="1"/>
      <w:marLeft w:val="0"/>
      <w:marRight w:val="0"/>
      <w:marTop w:val="0"/>
      <w:marBottom w:val="0"/>
      <w:divBdr>
        <w:top w:val="none" w:sz="0" w:space="0" w:color="auto"/>
        <w:left w:val="none" w:sz="0" w:space="0" w:color="auto"/>
        <w:bottom w:val="none" w:sz="0" w:space="0" w:color="auto"/>
        <w:right w:val="none" w:sz="0" w:space="0" w:color="auto"/>
      </w:divBdr>
      <w:divsChild>
        <w:div w:id="1338772541">
          <w:marLeft w:val="0"/>
          <w:marRight w:val="0"/>
          <w:marTop w:val="0"/>
          <w:marBottom w:val="0"/>
          <w:divBdr>
            <w:top w:val="none" w:sz="0" w:space="0" w:color="auto"/>
            <w:left w:val="none" w:sz="0" w:space="0" w:color="auto"/>
            <w:bottom w:val="none" w:sz="0" w:space="0" w:color="auto"/>
            <w:right w:val="none" w:sz="0" w:space="0" w:color="auto"/>
          </w:divBdr>
          <w:divsChild>
            <w:div w:id="1635256463">
              <w:marLeft w:val="0"/>
              <w:marRight w:val="0"/>
              <w:marTop w:val="0"/>
              <w:marBottom w:val="0"/>
              <w:divBdr>
                <w:top w:val="none" w:sz="0" w:space="0" w:color="auto"/>
                <w:left w:val="none" w:sz="0" w:space="0" w:color="auto"/>
                <w:bottom w:val="none" w:sz="0" w:space="0" w:color="auto"/>
                <w:right w:val="none" w:sz="0" w:space="0" w:color="auto"/>
              </w:divBdr>
              <w:divsChild>
                <w:div w:id="1782603038">
                  <w:marLeft w:val="0"/>
                  <w:marRight w:val="0"/>
                  <w:marTop w:val="0"/>
                  <w:marBottom w:val="0"/>
                  <w:divBdr>
                    <w:top w:val="none" w:sz="0" w:space="0" w:color="auto"/>
                    <w:left w:val="none" w:sz="0" w:space="0" w:color="auto"/>
                    <w:bottom w:val="none" w:sz="0" w:space="0" w:color="auto"/>
                    <w:right w:val="none" w:sz="0" w:space="0" w:color="auto"/>
                  </w:divBdr>
                  <w:divsChild>
                    <w:div w:id="2140297729">
                      <w:marLeft w:val="0"/>
                      <w:marRight w:val="0"/>
                      <w:marTop w:val="0"/>
                      <w:marBottom w:val="0"/>
                      <w:divBdr>
                        <w:top w:val="none" w:sz="0" w:space="0" w:color="auto"/>
                        <w:left w:val="none" w:sz="0" w:space="0" w:color="auto"/>
                        <w:bottom w:val="none" w:sz="0" w:space="0" w:color="auto"/>
                        <w:right w:val="none" w:sz="0" w:space="0" w:color="auto"/>
                      </w:divBdr>
                      <w:divsChild>
                        <w:div w:id="682589243">
                          <w:marLeft w:val="0"/>
                          <w:marRight w:val="0"/>
                          <w:marTop w:val="0"/>
                          <w:marBottom w:val="0"/>
                          <w:divBdr>
                            <w:top w:val="none" w:sz="0" w:space="0" w:color="auto"/>
                            <w:left w:val="none" w:sz="0" w:space="0" w:color="auto"/>
                            <w:bottom w:val="none" w:sz="0" w:space="0" w:color="auto"/>
                            <w:right w:val="none" w:sz="0" w:space="0" w:color="auto"/>
                          </w:divBdr>
                          <w:divsChild>
                            <w:div w:id="151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15485">
      <w:bodyDiv w:val="1"/>
      <w:marLeft w:val="0"/>
      <w:marRight w:val="0"/>
      <w:marTop w:val="0"/>
      <w:marBottom w:val="0"/>
      <w:divBdr>
        <w:top w:val="none" w:sz="0" w:space="0" w:color="auto"/>
        <w:left w:val="none" w:sz="0" w:space="0" w:color="auto"/>
        <w:bottom w:val="none" w:sz="0" w:space="0" w:color="auto"/>
        <w:right w:val="none" w:sz="0" w:space="0" w:color="auto"/>
      </w:divBdr>
    </w:div>
    <w:div w:id="620461367">
      <w:bodyDiv w:val="1"/>
      <w:marLeft w:val="0"/>
      <w:marRight w:val="0"/>
      <w:marTop w:val="0"/>
      <w:marBottom w:val="0"/>
      <w:divBdr>
        <w:top w:val="none" w:sz="0" w:space="0" w:color="auto"/>
        <w:left w:val="none" w:sz="0" w:space="0" w:color="auto"/>
        <w:bottom w:val="none" w:sz="0" w:space="0" w:color="auto"/>
        <w:right w:val="none" w:sz="0" w:space="0" w:color="auto"/>
      </w:divBdr>
    </w:div>
    <w:div w:id="657343764">
      <w:bodyDiv w:val="1"/>
      <w:marLeft w:val="0"/>
      <w:marRight w:val="0"/>
      <w:marTop w:val="0"/>
      <w:marBottom w:val="0"/>
      <w:divBdr>
        <w:top w:val="none" w:sz="0" w:space="0" w:color="auto"/>
        <w:left w:val="none" w:sz="0" w:space="0" w:color="auto"/>
        <w:bottom w:val="none" w:sz="0" w:space="0" w:color="auto"/>
        <w:right w:val="none" w:sz="0" w:space="0" w:color="auto"/>
      </w:divBdr>
    </w:div>
    <w:div w:id="696470769">
      <w:bodyDiv w:val="1"/>
      <w:marLeft w:val="0"/>
      <w:marRight w:val="0"/>
      <w:marTop w:val="0"/>
      <w:marBottom w:val="0"/>
      <w:divBdr>
        <w:top w:val="none" w:sz="0" w:space="0" w:color="auto"/>
        <w:left w:val="none" w:sz="0" w:space="0" w:color="auto"/>
        <w:bottom w:val="none" w:sz="0" w:space="0" w:color="auto"/>
        <w:right w:val="none" w:sz="0" w:space="0" w:color="auto"/>
      </w:divBdr>
    </w:div>
    <w:div w:id="729421627">
      <w:bodyDiv w:val="1"/>
      <w:marLeft w:val="0"/>
      <w:marRight w:val="0"/>
      <w:marTop w:val="0"/>
      <w:marBottom w:val="0"/>
      <w:divBdr>
        <w:top w:val="none" w:sz="0" w:space="0" w:color="auto"/>
        <w:left w:val="none" w:sz="0" w:space="0" w:color="auto"/>
        <w:bottom w:val="none" w:sz="0" w:space="0" w:color="auto"/>
        <w:right w:val="none" w:sz="0" w:space="0" w:color="auto"/>
      </w:divBdr>
    </w:div>
    <w:div w:id="1136752203">
      <w:bodyDiv w:val="1"/>
      <w:marLeft w:val="0"/>
      <w:marRight w:val="0"/>
      <w:marTop w:val="0"/>
      <w:marBottom w:val="0"/>
      <w:divBdr>
        <w:top w:val="none" w:sz="0" w:space="0" w:color="auto"/>
        <w:left w:val="none" w:sz="0" w:space="0" w:color="auto"/>
        <w:bottom w:val="none" w:sz="0" w:space="0" w:color="auto"/>
        <w:right w:val="none" w:sz="0" w:space="0" w:color="auto"/>
      </w:divBdr>
    </w:div>
    <w:div w:id="1249314465">
      <w:bodyDiv w:val="1"/>
      <w:marLeft w:val="0"/>
      <w:marRight w:val="0"/>
      <w:marTop w:val="0"/>
      <w:marBottom w:val="0"/>
      <w:divBdr>
        <w:top w:val="none" w:sz="0" w:space="0" w:color="auto"/>
        <w:left w:val="none" w:sz="0" w:space="0" w:color="auto"/>
        <w:bottom w:val="none" w:sz="0" w:space="0" w:color="auto"/>
        <w:right w:val="none" w:sz="0" w:space="0" w:color="auto"/>
      </w:divBdr>
    </w:div>
    <w:div w:id="1323704177">
      <w:bodyDiv w:val="1"/>
      <w:marLeft w:val="0"/>
      <w:marRight w:val="0"/>
      <w:marTop w:val="0"/>
      <w:marBottom w:val="0"/>
      <w:divBdr>
        <w:top w:val="none" w:sz="0" w:space="0" w:color="auto"/>
        <w:left w:val="none" w:sz="0" w:space="0" w:color="auto"/>
        <w:bottom w:val="none" w:sz="0" w:space="0" w:color="auto"/>
        <w:right w:val="none" w:sz="0" w:space="0" w:color="auto"/>
      </w:divBdr>
    </w:div>
    <w:div w:id="1742869048">
      <w:bodyDiv w:val="1"/>
      <w:marLeft w:val="0"/>
      <w:marRight w:val="0"/>
      <w:marTop w:val="0"/>
      <w:marBottom w:val="0"/>
      <w:divBdr>
        <w:top w:val="none" w:sz="0" w:space="0" w:color="auto"/>
        <w:left w:val="none" w:sz="0" w:space="0" w:color="auto"/>
        <w:bottom w:val="none" w:sz="0" w:space="0" w:color="auto"/>
        <w:right w:val="none" w:sz="0" w:space="0" w:color="auto"/>
      </w:divBdr>
    </w:div>
    <w:div w:id="20855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4.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theme" Target="theme/theme1.xml" Id="rId25" /><Relationship Type="http://schemas.openxmlformats.org/officeDocument/2006/relationships/footer" Target="footer2.xml" Id="rId16" /><Relationship Type="http://schemas.microsoft.com/office/2007/relationships/hdphoto" Target="media/hdphoto1.wdp" Id="rId20"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footer" Target="footer1.xml" Id="rId15" /><Relationship Type="http://schemas.openxmlformats.org/officeDocument/2006/relationships/header" Target="header5.xml" Id="rId23" /><Relationship Type="http://schemas.openxmlformats.org/officeDocument/2006/relationships/webSettings" Target="webSettings.xml" Id="rId10" /><Relationship Type="http://schemas.openxmlformats.org/officeDocument/2006/relationships/image" Target="media/image3.png"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image" Target="media/image4.jpeg"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ifc.org/en/what-we-do/sector-expertise/financial-institutions/gender-finance/banking-on-women" TargetMode="External"/><Relationship Id="rId3" Type="http://schemas.openxmlformats.org/officeDocument/2006/relationships/hyperlink" Target="https://openknowledge.worldbank.org/entities/publication/ee8a5cd7-ed72-542d-918b-d72e07f96c79" TargetMode="External"/><Relationship Id="rId7" Type="http://schemas.openxmlformats.org/officeDocument/2006/relationships/hyperlink" Target="https://open.overheid.nl/documenten/68e1c3d0-5504-425e-b149-bef0772fcd85/file" TargetMode="External"/><Relationship Id="rId2" Type="http://schemas.openxmlformats.org/officeDocument/2006/relationships/hyperlink" Target="https://www.cao-ombudsman.org/sites/default/files/downloads/CAO%20Investigation%20of%20IFC%20Investment%20in%20Bridge%20International%20Academies_Bridge-04_October%203_2023.pdf?utm_source=chatgpt.com" TargetMode="External"/><Relationship Id="rId1" Type="http://schemas.openxmlformats.org/officeDocument/2006/relationships/hyperlink" Target="https://www.mopan.org/content/dam/mopan/en/publications/our-work/evidence/ifc/ifc-2024/mopan-ifc-assessment-report-2024.pdf" TargetMode="External"/><Relationship Id="rId6" Type="http://schemas.openxmlformats.org/officeDocument/2006/relationships/hyperlink" Target="https://www.ifc.org/en/insights-reports/annual-report-2023" TargetMode="External"/><Relationship Id="rId5" Type="http://schemas.openxmlformats.org/officeDocument/2006/relationships/hyperlink" Target="https://www.ifc.org/en/insights-reports/annual-report-2023" TargetMode="External"/><Relationship Id="rId10" Type="http://schemas.openxmlformats.org/officeDocument/2006/relationships/hyperlink" Target="file:///C:\Offline\lazic.zoran\Desktop\IFC&#8217;s%20Impact%20in%20Digital%20Infrastructure" TargetMode="External"/><Relationship Id="rId4" Type="http://schemas.openxmlformats.org/officeDocument/2006/relationships/hyperlink" Target="https://www.ifc.org/content/dam/ifc/doc/2023/ifc-and-the-netherlands.pdf" TargetMode="External"/><Relationship Id="rId9" Type="http://schemas.openxmlformats.org/officeDocument/2006/relationships/hyperlink" Target="https://www.ifc.org/en/what-we-do/sector-expertise/gend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4902</ap:Words>
  <ap:Characters>26963</ap:Characters>
  <ap:DocSecurity>0</ap:DocSecurity>
  <ap:Lines>224</ap:Lines>
  <ap:Paragraphs>63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Algemene Aanwijzingen</vt:lpstr>
      <vt:lpstr>Algemene Aanwijzingen</vt:lpstr>
    </vt:vector>
  </ap:TitlesOfParts>
  <ap:LinksUpToDate>false</ap:LinksUpToDate>
  <ap:CharactersWithSpaces>31802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2017-02-03T12:54:00.0000000Z</lastPrinted>
  <dcterms:created xsi:type="dcterms:W3CDTF">2025-09-26T15:01:00.0000000Z</dcterms:created>
  <dcterms:modified xsi:type="dcterms:W3CDTF">2025-09-26T15:01:00.0000000Z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DATE">
    <vt:lpwstr>Datum</vt:lpwstr>
  </property>
  <property fmtid="{D5CDD505-2E9C-101B-9397-08002B2CF9AE}" pid="3" name="L_PLACE">
    <vt:lpwstr>Plaats</vt:lpwstr>
  </property>
  <property fmtid="{D5CDD505-2E9C-101B-9397-08002B2CF9AE}" pid="4" name="SIG_DIR">
    <vt:lpwstr>Directie Verenigde Naties en Internationale Financiële Instellingen</vt:lpwstr>
  </property>
  <property fmtid="{D5CDD505-2E9C-101B-9397-08002B2CF9AE}" pid="5" name="SIG_DEP">
    <vt:lpwstr>Sociaal Economische VN Zaken</vt:lpwstr>
  </property>
  <property fmtid="{D5CDD505-2E9C-101B-9397-08002B2CF9AE}" pid="6" name="SIG_PHONE">
    <vt:lpwstr>+31 (0)70- 3484194</vt:lpwstr>
  </property>
  <property fmtid="{D5CDD505-2E9C-101B-9397-08002B2CF9AE}" pid="7" name="L_AUTHOR">
    <vt:lpwstr>Redacteur(en):</vt:lpwstr>
  </property>
  <property fmtid="{D5CDD505-2E9C-101B-9397-08002B2CF9AE}" pid="8" name="L_CONTACT">
    <vt:lpwstr>Opgesteld door</vt:lpwstr>
  </property>
  <property fmtid="{D5CDD505-2E9C-101B-9397-08002B2CF9AE}" pid="9" name="L_TOC">
    <vt:lpwstr>Inhoudsopgave</vt:lpwstr>
  </property>
  <property fmtid="{D5CDD505-2E9C-101B-9397-08002B2CF9AE}" pid="10" name="L_PAGE">
    <vt:lpwstr>Pagina</vt:lpwstr>
  </property>
  <property fmtid="{D5CDD505-2E9C-101B-9397-08002B2CF9AE}" pid="11" name="L_PAGEOF">
    <vt:lpwstr>van</vt:lpwstr>
  </property>
  <property fmtid="{D5CDD505-2E9C-101B-9397-08002B2CF9AE}" pid="12" name="L_ENCLOSURES">
    <vt:lpwstr>Bijlage(n)</vt:lpwstr>
  </property>
  <property fmtid="{D5CDD505-2E9C-101B-9397-08002B2CF9AE}" pid="13" name="L_CITY">
    <vt:lpwstr>Plaats</vt:lpwstr>
  </property>
  <property fmtid="{D5CDD505-2E9C-101B-9397-08002B2CF9AE}" pid="14" name="BZ_Language">
    <vt:lpwstr>Dutch</vt:lpwstr>
  </property>
  <property fmtid="{D5CDD505-2E9C-101B-9397-08002B2CF9AE}" pid="15" name="SIG_NAME">
    <vt:lpwstr>Han Huiskamp</vt:lpwstr>
  </property>
  <property fmtid="{D5CDD505-2E9C-101B-9397-08002B2CF9AE}" pid="16" name="SIG_FUNCTION">
    <vt:lpwstr>Beleidsmedewerker</vt:lpwstr>
  </property>
  <property fmtid="{D5CDD505-2E9C-101B-9397-08002B2CF9AE}" pid="17" name="SIG_SENDER">
    <vt:lpwstr>Han Huiskamp</vt:lpwstr>
  </property>
  <property fmtid="{D5CDD505-2E9C-101B-9397-08002B2CF9AE}" pid="18" name="SIG_CdP">
    <vt:lpwstr>unknown CdP</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_Classification">
    <vt:lpwstr>6;#UNCLASSIFIED|d92c6340-bc14-4cb2-a9a6-6deda93c493b</vt:lpwstr>
  </property>
  <property fmtid="{D5CDD505-2E9C-101B-9397-08002B2CF9AE}" pid="21" name="BZ_Forum">
    <vt:lpwstr>2;#UN|7eaa391d-aaa0-4d84-8495-5b1c55212166</vt:lpwstr>
  </property>
  <property fmtid="{D5CDD505-2E9C-101B-9397-08002B2CF9AE}" pid="22" name="BZ_Country">
    <vt:lpwstr>3;#Not applicable|ec01d90b-9d0f-4785-8785-e1ea615196bf</vt:lpwstr>
  </property>
  <property fmtid="{D5CDD505-2E9C-101B-9397-08002B2CF9AE}" pid="23" name="BZ_Theme">
    <vt:lpwstr>1;#UN (non-implementation) general|00195dc6-ae3f-47a4-a1b1-71527c40ae42</vt:lpwstr>
  </property>
  <property fmtid="{D5CDD505-2E9C-101B-9397-08002B2CF9AE}" pid="24" name="_docset_NoMedatataSyncRequired">
    <vt:lpwstr>False</vt:lpwstr>
  </property>
  <property fmtid="{D5CDD505-2E9C-101B-9397-08002B2CF9AE}" pid="25" name="BZForumOrganisation">
    <vt:lpwstr>2;#Not applicable|0049e722-bfb1-4a3f-9d08-af7366a9af40</vt:lpwstr>
  </property>
  <property fmtid="{D5CDD505-2E9C-101B-9397-08002B2CF9AE}" pid="26" name="BZTheme">
    <vt:lpwstr>1;#Not applicable|ec01d90b-9d0f-4785-8785-e1ea615196bf</vt:lpwstr>
  </property>
  <property fmtid="{D5CDD505-2E9C-101B-9397-08002B2CF9AE}" pid="27" name="DocumentSetDescription">
    <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URL">
    <vt:lpwstr/>
  </property>
  <property fmtid="{D5CDD505-2E9C-101B-9397-08002B2CF9AE}" pid="32" name="nf4434b3fae540fe847866e45672fb3a">
    <vt:lpwstr>UN (non-implementation) general|00195dc6-ae3f-47a4-a1b1-71527c40ae42</vt:lpwstr>
  </property>
  <property fmtid="{D5CDD505-2E9C-101B-9397-08002B2CF9AE}" pid="33" name="a45510494d1a450e9cee6905c7ad8168">
    <vt:lpwstr>Not applicable|ec01d90b-9d0f-4785-8785-e1ea615196bf</vt:lpwstr>
  </property>
  <property fmtid="{D5CDD505-2E9C-101B-9397-08002B2CF9AE}" pid="34" name="ge4bd621e46a403e97baf402a410deb5">
    <vt:lpwstr>UN|7eaa391d-aaa0-4d84-8495-5b1c55212166</vt:lpwstr>
  </property>
  <property fmtid="{D5CDD505-2E9C-101B-9397-08002B2CF9AE}" pid="35" name="ga509c7afcac4f5cb939db754ffece25">
    <vt:lpwstr>UNCLASSIFIED|d92c6340-bc14-4cb2-a9a6-6deda93c493b</vt:lpwstr>
  </property>
  <property fmtid="{D5CDD505-2E9C-101B-9397-08002B2CF9AE}" pid="36" name="SharedWithUsers">
    <vt:lpwstr>185;#Kymmell, Laurens;#161;#Knoben, Irene;#23;#Voorhoeve, Daniel</vt:lpwstr>
  </property>
  <property fmtid="{D5CDD505-2E9C-101B-9397-08002B2CF9AE}" pid="37" name="_dlc_DocIdItemGuid">
    <vt:lpwstr>dc6c7b1d-48d1-4970-adf4-9aedfa46004b</vt:lpwstr>
  </property>
</Properties>
</file>