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7C51" w:rsidRDefault="002E7C51" w14:paraId="6041DB9D" w14:textId="1D0B537A">
      <w:pPr>
        <w:rPr>
          <w:b/>
          <w:bCs/>
        </w:rPr>
      </w:pPr>
      <w:r>
        <w:rPr>
          <w:b/>
          <w:bCs/>
        </w:rPr>
        <w:t>AH 148</w:t>
      </w:r>
    </w:p>
    <w:p w:rsidR="002E7C51" w:rsidRDefault="00B04886" w14:paraId="2604DBD8" w14:textId="77777777">
      <w:pPr>
        <w:rPr>
          <w:b/>
          <w:bCs/>
        </w:rPr>
      </w:pPr>
      <w:r w:rsidRPr="250AE766">
        <w:rPr>
          <w:b/>
          <w:bCs/>
        </w:rPr>
        <w:t>2025Z15150</w:t>
      </w:r>
    </w:p>
    <w:p w:rsidR="002E7C51" w:rsidRDefault="002E7C51" w14:paraId="01BFFCA1" w14:textId="77777777">
      <w:pPr>
        <w:rPr>
          <w:b/>
          <w:bCs/>
        </w:rPr>
      </w:pPr>
    </w:p>
    <w:p w:rsidRPr="002E7C51" w:rsidR="00273FC4" w:rsidRDefault="002E7C51" w14:paraId="685F8B37" w14:textId="2C15D20C">
      <w:r w:rsidRPr="002E7C51">
        <w:t>Antwoord van minister Paul (Sociale Zaken en Werkgelegenheid) (ontvangen 29 september 2025)</w:t>
      </w:r>
      <w:r w:rsidRPr="002E7C51" w:rsidR="00B04886">
        <w:br/>
      </w:r>
    </w:p>
    <w:p w:rsidR="00273FC4" w:rsidRDefault="002E7C51" w14:paraId="479A68AA" w14:textId="2822833D">
      <w:r w:rsidRPr="001D4184">
        <w:t>Zie ook Aanhangsel Handelingen, vergaderjaar 202</w:t>
      </w:r>
      <w:r>
        <w:t>4</w:t>
      </w:r>
      <w:r w:rsidRPr="001D4184">
        <w:t>-202</w:t>
      </w:r>
      <w:r>
        <w:t>5</w:t>
      </w:r>
      <w:r w:rsidRPr="001D4184">
        <w:t>, nr.</w:t>
      </w:r>
      <w:r>
        <w:t xml:space="preserve"> 3039</w:t>
      </w:r>
      <w:r w:rsidR="00B04886">
        <w:br/>
      </w:r>
    </w:p>
    <w:p w:rsidR="00273FC4" w:rsidRDefault="00B04886" w14:paraId="09AE1B4D" w14:textId="77777777">
      <w:r>
        <w:t> </w:t>
      </w:r>
      <w:r>
        <w:br/>
      </w:r>
    </w:p>
    <w:p w:rsidR="00F3402B" w:rsidRDefault="00B04886" w14:paraId="0E66B60D" w14:textId="77777777">
      <w:pPr>
        <w:numPr>
          <w:ilvl w:val="0"/>
          <w:numId w:val="4"/>
        </w:numPr>
        <w:ind w:left="360"/>
      </w:pPr>
      <w:r>
        <w:t>Heeft u kennisgenomen van het opinieartikel van VNO-NCW en MBK-Nederland 1) en het artikel in PensioenPro 2), waaruit blijkt dat er sprake is van brede kritiek op de voorgestelde wijzigingen in de Regeling vrijstellingen Wet Bpf 2000 3)?</w:t>
      </w:r>
    </w:p>
    <w:p w:rsidR="00F3402B" w:rsidP="00F3402B" w:rsidRDefault="00F3402B" w14:paraId="07E59786" w14:textId="77777777">
      <w:pPr>
        <w:ind w:left="360"/>
      </w:pPr>
    </w:p>
    <w:p w:rsidRPr="00B04886" w:rsidR="00273FC4" w:rsidP="00F3402B" w:rsidRDefault="001C6315" w14:paraId="775A0EC5" w14:textId="4D3524F0">
      <w:pPr>
        <w:ind w:left="360"/>
      </w:pPr>
      <w:r w:rsidRPr="009B20A2">
        <w:t>Antwoord</w:t>
      </w:r>
      <w:r w:rsidR="00CC119B">
        <w:t xml:space="preserve"> 1</w:t>
      </w:r>
      <w:r w:rsidRPr="009B20A2">
        <w:t xml:space="preserve">: </w:t>
      </w:r>
      <w:r w:rsidRPr="009B20A2" w:rsidR="00F3402B">
        <w:t xml:space="preserve">Ja. </w:t>
      </w:r>
      <w:r w:rsidRPr="00B04886" w:rsidR="00F3402B">
        <w:br/>
      </w:r>
    </w:p>
    <w:p w:rsidR="00F3402B" w:rsidRDefault="00B04886" w14:paraId="26C76F83" w14:textId="77777777">
      <w:pPr>
        <w:numPr>
          <w:ilvl w:val="0"/>
          <w:numId w:val="4"/>
        </w:numPr>
        <w:ind w:left="360"/>
      </w:pPr>
      <w:r>
        <w:t>Verschillende consultatiereacties en werkgevers wijzen op het risico dat de voorgestelde wijzigingen de vrijstellingsmogelijkheid voor werkgevers mogelijk beperken of zelfs onmogelijk maken, onder meer door de hoge uitvoeringscomplexiteit en kosten, bent u het ermee eens dat dit niet wenselijk is?</w:t>
      </w:r>
    </w:p>
    <w:p w:rsidR="00F3402B" w:rsidP="00F3402B" w:rsidRDefault="00F3402B" w14:paraId="45D8249C" w14:textId="77777777">
      <w:pPr>
        <w:ind w:left="360"/>
        <w:rPr>
          <w:i/>
          <w:iCs/>
        </w:rPr>
      </w:pPr>
    </w:p>
    <w:p w:rsidR="00E71A80" w:rsidP="00F3402B" w:rsidRDefault="001C6315" w14:paraId="76B09F26" w14:textId="71706B76">
      <w:pPr>
        <w:ind w:left="360"/>
      </w:pPr>
      <w:r w:rsidRPr="009B20A2">
        <w:t>Antwoord</w:t>
      </w:r>
      <w:r w:rsidR="00CC119B">
        <w:t xml:space="preserve"> 2</w:t>
      </w:r>
      <w:r w:rsidRPr="009B20A2">
        <w:t xml:space="preserve">: </w:t>
      </w:r>
      <w:r w:rsidRPr="009B20A2" w:rsidR="00F3402B">
        <w:t xml:space="preserve">De Regeling vrijstellingen Wet </w:t>
      </w:r>
      <w:r w:rsidR="0049050E">
        <w:t>B</w:t>
      </w:r>
      <w:r w:rsidRPr="009B20A2" w:rsidR="00F3402B">
        <w:t xml:space="preserve">pf 2000 wordt gewijzigd op een aantal punten, met name op de </w:t>
      </w:r>
      <w:r w:rsidRPr="009B20A2" w:rsidR="00953D63">
        <w:t>berekeningswijzen</w:t>
      </w:r>
      <w:r w:rsidRPr="009B20A2" w:rsidR="00F3402B">
        <w:t xml:space="preserve"> voor financiële en actuariële gelijkwaardigheid. Een aantal grondslagen wa</w:t>
      </w:r>
      <w:r w:rsidR="00F8274A">
        <w:t>s</w:t>
      </w:r>
      <w:r w:rsidRPr="009B20A2" w:rsidR="00F3402B">
        <w:t xml:space="preserve"> verouderd en niet langer passend bij de </w:t>
      </w:r>
      <w:r w:rsidRPr="009B20A2" w:rsidR="001E5708">
        <w:t xml:space="preserve">overgang </w:t>
      </w:r>
      <w:r w:rsidRPr="009B20A2" w:rsidR="00953D63">
        <w:t xml:space="preserve">van uitkeringsovereenkomsten naar premieovereenkomsten </w:t>
      </w:r>
      <w:r w:rsidRPr="009B20A2" w:rsidR="001E5708">
        <w:t>als gevolg van de W</w:t>
      </w:r>
      <w:r w:rsidRPr="009B20A2" w:rsidR="00120AD1">
        <w:t>et toekomst pensioenen</w:t>
      </w:r>
      <w:r w:rsidRPr="009B20A2" w:rsidR="00953D63">
        <w:t>.</w:t>
      </w:r>
      <w:r w:rsidR="00E71A80">
        <w:t xml:space="preserve"> De voorgestelde regeling is </w:t>
      </w:r>
      <w:r w:rsidRPr="009B20A2" w:rsidR="00E71A80">
        <w:t xml:space="preserve">in samenspraak met de sector </w:t>
      </w:r>
      <w:r w:rsidR="00A36A60">
        <w:t>tot stand gekomen</w:t>
      </w:r>
      <w:r w:rsidR="00E71A80">
        <w:t>. De aangepaste regeling</w:t>
      </w:r>
      <w:r w:rsidRPr="009B20A2" w:rsidR="00E71A80">
        <w:t xml:space="preserve"> beoog</w:t>
      </w:r>
      <w:r w:rsidR="00E71A80">
        <w:t>t</w:t>
      </w:r>
      <w:r w:rsidRPr="009B20A2" w:rsidR="00E71A80">
        <w:t xml:space="preserve"> een balans te vinden tussen enerzijds het beschermen van de belangen van de deelnemer en anderzijds de </w:t>
      </w:r>
      <w:r w:rsidR="00A36A60">
        <w:t>optie</w:t>
      </w:r>
      <w:r w:rsidRPr="009B20A2" w:rsidR="00E71A80">
        <w:t xml:space="preserve"> tot het krijgen of behouden van een </w:t>
      </w:r>
      <w:r w:rsidR="00E71A80">
        <w:t>werkgevers</w:t>
      </w:r>
      <w:r w:rsidRPr="009B20A2" w:rsidR="00E71A80">
        <w:t>vrijstelling zoveel mogelijk hetzelfde te houden</w:t>
      </w:r>
      <w:r w:rsidR="00E71A80">
        <w:t xml:space="preserve">.  </w:t>
      </w:r>
      <w:r w:rsidRPr="009B20A2" w:rsidR="00953D63">
        <w:t xml:space="preserve"> </w:t>
      </w:r>
      <w:r w:rsidRPr="009B20A2" w:rsidR="001B143D">
        <w:t xml:space="preserve"> </w:t>
      </w:r>
    </w:p>
    <w:p w:rsidR="00A36A60" w:rsidP="00F3402B" w:rsidRDefault="00A36A60" w14:paraId="68835D42" w14:textId="77777777">
      <w:pPr>
        <w:ind w:left="360"/>
      </w:pPr>
    </w:p>
    <w:p w:rsidR="00137BF9" w:rsidP="00137BF9" w:rsidRDefault="00CD15BF" w14:paraId="0756CFB2" w14:textId="3505FD76">
      <w:pPr>
        <w:ind w:left="360"/>
      </w:pPr>
      <w:r w:rsidRPr="009B20A2">
        <w:t xml:space="preserve">Het zou uiteraard </w:t>
      </w:r>
      <w:r w:rsidR="00286638">
        <w:t>niet de bedoeling</w:t>
      </w:r>
      <w:r w:rsidRPr="009B20A2">
        <w:t xml:space="preserve"> zijn als de vrijstellingsmogelijkheid</w:t>
      </w:r>
      <w:r w:rsidR="008F361B">
        <w:t xml:space="preserve"> voor werkgevers</w:t>
      </w:r>
      <w:r w:rsidR="00F8274A">
        <w:t xml:space="preserve"> onnodig</w:t>
      </w:r>
      <w:r w:rsidRPr="009B20A2">
        <w:t xml:space="preserve"> wordt beperkt</w:t>
      </w:r>
      <w:r w:rsidR="00F8274A">
        <w:t xml:space="preserve"> of wanneer het verkrijgen van een vrijstelling tot</w:t>
      </w:r>
      <w:r w:rsidR="00E71A80">
        <w:t xml:space="preserve"> substantieel</w:t>
      </w:r>
      <w:r w:rsidR="00F8274A">
        <w:t xml:space="preserve"> hoge</w:t>
      </w:r>
      <w:r w:rsidR="00E71A80">
        <w:t>re</w:t>
      </w:r>
      <w:r w:rsidR="00F8274A">
        <w:t xml:space="preserve"> uitvoeringskosten leidt</w:t>
      </w:r>
      <w:r w:rsidRPr="009B20A2">
        <w:t>.</w:t>
      </w:r>
      <w:r w:rsidR="00F8274A">
        <w:t xml:space="preserve"> Om deze reden is bijvoorbeeld mogelijk gemaakt om ook op kwalitatieve gronden te kunnen toetsen</w:t>
      </w:r>
      <w:r w:rsidR="00E71A80">
        <w:t>.</w:t>
      </w:r>
      <w:r w:rsidR="00F8274A">
        <w:t xml:space="preserve"> </w:t>
      </w:r>
      <w:r w:rsidR="00E71A80">
        <w:t>E</w:t>
      </w:r>
      <w:r w:rsidR="00F8274A">
        <w:t xml:space="preserve">n wanneer toch berekeningen nodig </w:t>
      </w:r>
      <w:r w:rsidR="00E71A80">
        <w:t>zijn</w:t>
      </w:r>
      <w:r w:rsidR="00413C52">
        <w:t>,</w:t>
      </w:r>
      <w:r w:rsidR="00F8274A">
        <w:t xml:space="preserve"> kan</w:t>
      </w:r>
      <w:r w:rsidR="00164922">
        <w:t xml:space="preserve"> ook</w:t>
      </w:r>
      <w:r w:rsidR="00F8274A">
        <w:t xml:space="preserve"> worden volstaan met een relatief eenvoudige en daardoor ook goedkope</w:t>
      </w:r>
      <w:r w:rsidR="00137BF9">
        <w:t>re</w:t>
      </w:r>
      <w:r w:rsidR="00F8274A">
        <w:t xml:space="preserve"> methodiek</w:t>
      </w:r>
      <w:r w:rsidR="00413C52">
        <w:t>.</w:t>
      </w:r>
      <w:r w:rsidRPr="009B20A2">
        <w:t xml:space="preserve"> </w:t>
      </w:r>
    </w:p>
    <w:p w:rsidR="00137BF9" w:rsidP="00137BF9" w:rsidRDefault="00137BF9" w14:paraId="1CBDF0B1" w14:textId="77777777">
      <w:pPr>
        <w:ind w:left="360"/>
      </w:pPr>
    </w:p>
    <w:p w:rsidR="008E7762" w:rsidP="00137BF9" w:rsidRDefault="00F3402B" w14:paraId="4B08B217" w14:textId="77777777">
      <w:pPr>
        <w:ind w:left="360"/>
      </w:pPr>
      <w:r w:rsidRPr="009B20A2">
        <w:t xml:space="preserve">Naar aanleiding van de internetconsultatie is de regeling </w:t>
      </w:r>
      <w:r w:rsidR="00F8274A">
        <w:t xml:space="preserve">verder </w:t>
      </w:r>
      <w:r w:rsidRPr="009B20A2">
        <w:t>aangepast</w:t>
      </w:r>
      <w:r w:rsidR="00F8274A">
        <w:t xml:space="preserve"> om daarmee aan de genoemde zorgen van werkgevers en pensioenverzekeraars tegemoet te komen</w:t>
      </w:r>
      <w:r w:rsidRPr="009B20A2">
        <w:t>.</w:t>
      </w:r>
      <w:r w:rsidRPr="009B20A2" w:rsidR="00CD15BF">
        <w:t xml:space="preserve"> </w:t>
      </w:r>
      <w:r w:rsidRPr="009B20A2" w:rsidR="009D701C">
        <w:t xml:space="preserve">Dit betreft </w:t>
      </w:r>
      <w:r w:rsidR="00413B31">
        <w:t xml:space="preserve">onder </w:t>
      </w:r>
      <w:r w:rsidRPr="009B20A2" w:rsidR="00953D63">
        <w:t>andere</w:t>
      </w:r>
      <w:r w:rsidRPr="009B20A2">
        <w:t xml:space="preserve"> </w:t>
      </w:r>
      <w:r w:rsidR="00413B31">
        <w:t xml:space="preserve">het </w:t>
      </w:r>
      <w:r w:rsidRPr="009B20A2">
        <w:t xml:space="preserve">standaard </w:t>
      </w:r>
      <w:r w:rsidRPr="009B20A2" w:rsidR="00444778">
        <w:t xml:space="preserve">voorschrijven </w:t>
      </w:r>
      <w:r w:rsidRPr="009B20A2">
        <w:t>van</w:t>
      </w:r>
      <w:r w:rsidR="008B789E">
        <w:t xml:space="preserve"> de relatief eenvoudige berekeningsmethodiek</w:t>
      </w:r>
      <w:r w:rsidRPr="009B20A2">
        <w:t xml:space="preserve"> </w:t>
      </w:r>
      <w:r w:rsidR="008B789E">
        <w:t>(</w:t>
      </w:r>
      <w:r w:rsidRPr="009B20A2">
        <w:t>een</w:t>
      </w:r>
      <w:r w:rsidR="008B789E">
        <w:t xml:space="preserve"> zogenoemde</w:t>
      </w:r>
      <w:r w:rsidRPr="009B20A2">
        <w:t xml:space="preserve"> deterministische berekening</w:t>
      </w:r>
      <w:r w:rsidR="008B789E">
        <w:t>) in plaats van een meer nauwkeurige maar complexe berekening als verplichte standaard. Ook is het voorstel geschrapt voor een</w:t>
      </w:r>
      <w:r w:rsidRPr="009B20A2">
        <w:t xml:space="preserve"> </w:t>
      </w:r>
      <w:r w:rsidRPr="009B20A2" w:rsidR="00CD15BF">
        <w:t>actuariële toetsing per pensioensoort</w:t>
      </w:r>
      <w:r w:rsidRPr="009B20A2" w:rsidR="009D701C">
        <w:t xml:space="preserve">. Verder </w:t>
      </w:r>
      <w:r w:rsidR="00413B31">
        <w:t>is</w:t>
      </w:r>
      <w:r w:rsidR="00F3786B">
        <w:t xml:space="preserve"> na</w:t>
      </w:r>
      <w:r w:rsidR="008B57F7">
        <w:t>ar</w:t>
      </w:r>
      <w:r w:rsidR="00F3786B">
        <w:t xml:space="preserve"> aanleiding van de internetconsultatie</w:t>
      </w:r>
      <w:r w:rsidR="00413B31">
        <w:t xml:space="preserve"> besloten om </w:t>
      </w:r>
      <w:r w:rsidRPr="009B20A2" w:rsidR="009D701C">
        <w:t>de ontslagkansen bij werkgevers die gebruikmaken van</w:t>
      </w:r>
      <w:r w:rsidR="008B789E">
        <w:t xml:space="preserve"> de</w:t>
      </w:r>
      <w:r w:rsidRPr="009B20A2" w:rsidR="009D701C">
        <w:t xml:space="preserve"> eerbiedigende werking</w:t>
      </w:r>
      <w:r w:rsidRPr="009B20A2" w:rsidR="001B143D">
        <w:t xml:space="preserve"> </w:t>
      </w:r>
      <w:r w:rsidRPr="00B02DFC" w:rsidR="00413B31">
        <w:t xml:space="preserve">tijdelijk </w:t>
      </w:r>
      <w:r w:rsidRPr="009B20A2" w:rsidR="001B143D">
        <w:t>niet mee te wegen</w:t>
      </w:r>
      <w:r w:rsidR="00E71A80">
        <w:t xml:space="preserve">. Er zou anders mogelijk </w:t>
      </w:r>
      <w:r w:rsidRPr="009B20A2" w:rsidR="009D701C">
        <w:t>een stapeling van effecten</w:t>
      </w:r>
      <w:r w:rsidR="00E71A80">
        <w:t xml:space="preserve"> kunnen optreden bij werkgevers met</w:t>
      </w:r>
      <w:r w:rsidRPr="009B20A2" w:rsidR="009D701C">
        <w:t xml:space="preserve"> een zeer jong deelnemersbestand</w:t>
      </w:r>
      <w:r w:rsidR="00E71A80">
        <w:t>, waardoor</w:t>
      </w:r>
      <w:r w:rsidRPr="009B20A2" w:rsidR="009D701C">
        <w:t xml:space="preserve"> </w:t>
      </w:r>
      <w:r w:rsidRPr="009B20A2" w:rsidR="001B143D">
        <w:t xml:space="preserve">de premieregelingen </w:t>
      </w:r>
      <w:r w:rsidRPr="009B20A2" w:rsidR="009D701C">
        <w:t xml:space="preserve">onbedoeld niet meer gelijkwaardig zouden kunnen zijn. </w:t>
      </w:r>
    </w:p>
    <w:p w:rsidRPr="009B20A2" w:rsidR="00273FC4" w:rsidP="00137BF9" w:rsidRDefault="009D701C" w14:paraId="54F58570" w14:textId="7A05C94E">
      <w:pPr>
        <w:ind w:left="360"/>
      </w:pPr>
      <w:r w:rsidRPr="009B20A2">
        <w:lastRenderedPageBreak/>
        <w:t xml:space="preserve">Met deze wijzigingen kan de </w:t>
      </w:r>
      <w:r w:rsidR="008F361B">
        <w:t>r</w:t>
      </w:r>
      <w:r w:rsidRPr="009B20A2">
        <w:t>egeling rekenen op breed draagvlak bij de sociale partners en de pensioenuitvoerders.</w:t>
      </w:r>
      <w:r w:rsidR="00164922">
        <w:t xml:space="preserve"> De </w:t>
      </w:r>
      <w:r w:rsidR="008F361B">
        <w:t>r</w:t>
      </w:r>
      <w:r w:rsidR="00164922">
        <w:t>egeling zal</w:t>
      </w:r>
      <w:r w:rsidR="00A36A60">
        <w:t xml:space="preserve"> naar verwachting</w:t>
      </w:r>
      <w:r w:rsidR="00164922">
        <w:t xml:space="preserve"> begin oktober worden gepubliceerd.</w:t>
      </w:r>
      <w:r w:rsidRPr="009B20A2">
        <w:t xml:space="preserve"> </w:t>
      </w:r>
    </w:p>
    <w:p w:rsidR="00CD15BF" w:rsidP="00F3402B" w:rsidRDefault="00CD15BF" w14:paraId="52CB3E0E" w14:textId="77777777">
      <w:pPr>
        <w:ind w:left="360"/>
      </w:pPr>
    </w:p>
    <w:p w:rsidR="00F3402B" w:rsidRDefault="00B04886" w14:paraId="561D7F0F" w14:textId="77777777">
      <w:pPr>
        <w:numPr>
          <w:ilvl w:val="0"/>
          <w:numId w:val="4"/>
        </w:numPr>
        <w:ind w:left="360"/>
      </w:pPr>
      <w:r>
        <w:t>De rode draad in de reacties op de internetconsulatie is dat het in een stelsel met uitsluitend premieregelingen volstaat om te toetsen op financiële gelijkwaardigheid en dat een toets op actuariële gelijkwaardigheid overbodig is, deelt u dit standpunt?</w:t>
      </w:r>
    </w:p>
    <w:p w:rsidR="00F3402B" w:rsidP="00F3402B" w:rsidRDefault="00F3402B" w14:paraId="54C7F6F0" w14:textId="77777777">
      <w:pPr>
        <w:ind w:left="360"/>
      </w:pPr>
    </w:p>
    <w:p w:rsidR="00724052" w:rsidP="00F3402B" w:rsidRDefault="001C6315" w14:paraId="634A21D9" w14:textId="3F45196A">
      <w:pPr>
        <w:ind w:left="360"/>
      </w:pPr>
      <w:r w:rsidRPr="009B20A2">
        <w:t>Antwoord</w:t>
      </w:r>
      <w:r w:rsidR="00CC119B">
        <w:t xml:space="preserve"> 3</w:t>
      </w:r>
      <w:r w:rsidRPr="009B20A2">
        <w:t>:</w:t>
      </w:r>
      <w:r w:rsidR="00413C52">
        <w:t xml:space="preserve"> Bij het</w:t>
      </w:r>
      <w:r w:rsidRPr="009B20A2" w:rsidR="00F3402B">
        <w:t xml:space="preserve"> in</w:t>
      </w:r>
      <w:r w:rsidRPr="009B20A2" w:rsidR="00FF23C3">
        <w:t xml:space="preserve"> </w:t>
      </w:r>
      <w:r w:rsidRPr="009B20A2" w:rsidR="00F3402B">
        <w:t>werking</w:t>
      </w:r>
      <w:r w:rsidRPr="009B20A2" w:rsidR="00FF23C3">
        <w:t xml:space="preserve"> </w:t>
      </w:r>
      <w:r w:rsidRPr="009B20A2" w:rsidR="00F3402B">
        <w:t xml:space="preserve">treden van het Besluit toekomst pensioenen op 1 juli 2023 is aangekondigd dat de noodzaak voor </w:t>
      </w:r>
      <w:r w:rsidRPr="009B20A2" w:rsidR="00236A9D">
        <w:t>actuariële</w:t>
      </w:r>
      <w:r w:rsidRPr="009B20A2" w:rsidR="00F3402B">
        <w:t xml:space="preserve"> toetsing niet zal vervallen in het nieuwe stelsel. </w:t>
      </w:r>
      <w:r w:rsidRPr="009B20A2" w:rsidR="00236A9D">
        <w:t>Dit</w:t>
      </w:r>
      <w:r w:rsidR="00137BF9">
        <w:t xml:space="preserve"> voornemen</w:t>
      </w:r>
      <w:r w:rsidRPr="009B20A2" w:rsidR="00236A9D">
        <w:t xml:space="preserve"> is ook uitdrukkelijk onderdeel geweest van</w:t>
      </w:r>
      <w:r w:rsidR="00413C52">
        <w:t xml:space="preserve"> de parlementaire behandeling van de </w:t>
      </w:r>
      <w:r w:rsidRPr="009B20A2" w:rsidR="00236A9D">
        <w:t>Wet toekomst pensioenen.</w:t>
      </w:r>
      <w:r w:rsidR="00511552">
        <w:t xml:space="preserve"> Zo is</w:t>
      </w:r>
      <w:r w:rsidRPr="009B20A2" w:rsidR="00511552">
        <w:t xml:space="preserve"> aangegeven dat de Wet toekomst pensioenen de vrijstellingsgronden en voorwaarden waaronder vrijstellingen afgegeven kunnen worden, ongemoeid laat</w:t>
      </w:r>
      <w:r w:rsidRPr="009B20A2" w:rsidR="00511552">
        <w:rPr>
          <w:rStyle w:val="Voetnootmarkering"/>
        </w:rPr>
        <w:t xml:space="preserve"> </w:t>
      </w:r>
      <w:r w:rsidRPr="009B20A2" w:rsidR="008B789E">
        <w:rPr>
          <w:rStyle w:val="Voetnootmarkering"/>
        </w:rPr>
        <w:footnoteReference w:id="2"/>
      </w:r>
      <w:r w:rsidR="00511552">
        <w:t>.</w:t>
      </w:r>
      <w:r w:rsidRPr="009B20A2" w:rsidR="00236A9D">
        <w:t xml:space="preserve"> </w:t>
      </w:r>
    </w:p>
    <w:p w:rsidRPr="009B20A2" w:rsidR="00511552" w:rsidP="00F3402B" w:rsidRDefault="00511552" w14:paraId="24CBC31D" w14:textId="77777777">
      <w:pPr>
        <w:ind w:left="360"/>
      </w:pPr>
    </w:p>
    <w:p w:rsidRPr="009B20A2" w:rsidR="00273FC4" w:rsidP="00F3402B" w:rsidRDefault="00F3402B" w14:paraId="6A0D0CDA" w14:textId="4CB0AB1B">
      <w:pPr>
        <w:ind w:left="360"/>
      </w:pPr>
      <w:r w:rsidRPr="009B20A2">
        <w:t xml:space="preserve">In het nieuwe stelsel staat de premie </w:t>
      </w:r>
      <w:r w:rsidRPr="009B20A2" w:rsidR="001B143D">
        <w:t xml:space="preserve">als toezegging </w:t>
      </w:r>
      <w:r w:rsidRPr="009B20A2">
        <w:t>centraal, maar de deelnemer heeft</w:t>
      </w:r>
      <w:r w:rsidR="00164922">
        <w:t xml:space="preserve"> evengoed</w:t>
      </w:r>
      <w:r w:rsidRPr="009B20A2">
        <w:t xml:space="preserve"> recht op een regeling</w:t>
      </w:r>
      <w:r w:rsidRPr="009B20A2" w:rsidR="00297222">
        <w:t xml:space="preserve"> die </w:t>
      </w:r>
      <w:r w:rsidRPr="009B20A2" w:rsidR="0078462B">
        <w:t xml:space="preserve">in termen van pensioenuitkering </w:t>
      </w:r>
      <w:r w:rsidRPr="009B20A2" w:rsidR="00297222">
        <w:t>gelijkwaardig is</w:t>
      </w:r>
      <w:r w:rsidRPr="009B20A2">
        <w:t xml:space="preserve"> aan de pensioenregeling van het verplichtgestelde bedrijfstakpensioenfonds. Ook andere kenmerken dan enkel de premie zijn daarbij van belang</w:t>
      </w:r>
      <w:r w:rsidRPr="009B20A2" w:rsidR="008A73FF">
        <w:t xml:space="preserve">, zoals het beleggingsbeleid. </w:t>
      </w:r>
      <w:r w:rsidRPr="009B20A2">
        <w:t xml:space="preserve">Deze kenmerken hebben immers ook invloed op de uiteindelijke pensioenuitkering </w:t>
      </w:r>
      <w:r w:rsidRPr="009B20A2" w:rsidR="008A73FF">
        <w:t>van</w:t>
      </w:r>
      <w:r w:rsidRPr="009B20A2">
        <w:t xml:space="preserve"> de deelnemer. Uit het oogpunt van bescherming van deze deelnemer blijft daar</w:t>
      </w:r>
      <w:r w:rsidRPr="009B20A2" w:rsidR="00F66DE6">
        <w:t>om</w:t>
      </w:r>
      <w:r w:rsidR="00413C52">
        <w:t xml:space="preserve"> vooralsnog</w:t>
      </w:r>
      <w:r w:rsidRPr="009B20A2">
        <w:t xml:space="preserve"> de </w:t>
      </w:r>
      <w:r w:rsidRPr="009B20A2" w:rsidR="00236A9D">
        <w:t>actuariële</w:t>
      </w:r>
      <w:r w:rsidRPr="009B20A2">
        <w:t xml:space="preserve"> toetsing in stand.</w:t>
      </w:r>
      <w:r w:rsidRPr="00AF054B" w:rsidR="006B0221">
        <w:t xml:space="preserve"> </w:t>
      </w:r>
      <w:r w:rsidRPr="009B20A2" w:rsidR="006B0221">
        <w:t>Ook</w:t>
      </w:r>
      <w:r w:rsidR="005E531B">
        <w:t xml:space="preserve"> het </w:t>
      </w:r>
      <w:r w:rsidRPr="009B20A2" w:rsidR="006B0221">
        <w:t>behoud van een gelijk speelveld ten aanzien van de arbeidsvoorwaarde pensioen</w:t>
      </w:r>
      <w:r w:rsidR="0049050E">
        <w:t xml:space="preserve"> </w:t>
      </w:r>
      <w:r w:rsidR="005E531B">
        <w:t xml:space="preserve">is </w:t>
      </w:r>
      <w:r w:rsidRPr="009B20A2" w:rsidR="006B0221">
        <w:t xml:space="preserve">van belang bij deze keuze. </w:t>
      </w:r>
      <w:r w:rsidRPr="009B20A2">
        <w:t xml:space="preserve">Ten overvloede wordt opgemerkt dat in </w:t>
      </w:r>
      <w:r w:rsidRPr="009B20A2" w:rsidR="00F66DE6">
        <w:t xml:space="preserve">de toelichting bij </w:t>
      </w:r>
      <w:r w:rsidRPr="009B20A2">
        <w:t xml:space="preserve">het Besluit toekomst pensioenen ook </w:t>
      </w:r>
      <w:r w:rsidRPr="009B20A2" w:rsidR="0078462B">
        <w:t>is</w:t>
      </w:r>
      <w:r w:rsidRPr="009B20A2">
        <w:t xml:space="preserve"> aangekondigd dat, mocht uit toekomstige evaluatie blijken dat de actuariële toetsing geen toegevoegde waarde meer heeft, dit opnieuw kan worden bezien. </w:t>
      </w:r>
      <w:r w:rsidRPr="009B20A2" w:rsidR="006A7F7B">
        <w:t xml:space="preserve">In de </w:t>
      </w:r>
      <w:r w:rsidR="00511552">
        <w:t>r</w:t>
      </w:r>
      <w:r w:rsidRPr="009B20A2" w:rsidR="006A7F7B">
        <w:t>egeling is daarom een evaluatiebepaling opgenomen</w:t>
      </w:r>
      <w:r w:rsidRPr="009B20A2" w:rsidR="0030686C">
        <w:t xml:space="preserve">. Daarnaast zal </w:t>
      </w:r>
      <w:r w:rsidR="00194D05">
        <w:t>tezamen</w:t>
      </w:r>
      <w:r w:rsidRPr="009B20A2" w:rsidR="00194D05">
        <w:t xml:space="preserve"> </w:t>
      </w:r>
      <w:r w:rsidRPr="009B20A2" w:rsidR="0030686C">
        <w:t xml:space="preserve">met de sociale partners en pensioenuitvoerders </w:t>
      </w:r>
      <w:r w:rsidRPr="00B02DFC" w:rsidR="00194D05">
        <w:t xml:space="preserve">de effecten van deze </w:t>
      </w:r>
      <w:r w:rsidR="00511552">
        <w:t>r</w:t>
      </w:r>
      <w:r w:rsidRPr="00B02DFC" w:rsidR="00194D05">
        <w:t>egeling</w:t>
      </w:r>
      <w:r w:rsidRPr="00194D05" w:rsidR="00194D05">
        <w:t xml:space="preserve"> </w:t>
      </w:r>
      <w:r w:rsidR="00194D05">
        <w:t>worden</w:t>
      </w:r>
      <w:r w:rsidRPr="009B20A2" w:rsidR="00194D05">
        <w:t xml:space="preserve"> </w:t>
      </w:r>
      <w:r w:rsidR="00194D05">
        <w:t>gemonitord.</w:t>
      </w:r>
      <w:r w:rsidRPr="009B20A2" w:rsidR="00194D05">
        <w:t xml:space="preserve"> </w:t>
      </w:r>
    </w:p>
    <w:p w:rsidR="00F3402B" w:rsidP="00F3402B" w:rsidRDefault="00F3402B" w14:paraId="0E4C9889" w14:textId="77777777">
      <w:pPr>
        <w:ind w:left="360"/>
        <w:rPr>
          <w:i/>
          <w:iCs/>
        </w:rPr>
      </w:pPr>
    </w:p>
    <w:p w:rsidR="00F3402B" w:rsidP="00F3402B" w:rsidRDefault="00F3402B" w14:paraId="11AAFC0E" w14:textId="77777777">
      <w:pPr>
        <w:ind w:left="360"/>
      </w:pPr>
    </w:p>
    <w:p w:rsidR="00273FC4" w:rsidRDefault="00B04886" w14:paraId="11B2E801" w14:textId="046197DC">
      <w:pPr>
        <w:numPr>
          <w:ilvl w:val="0"/>
          <w:numId w:val="4"/>
        </w:numPr>
        <w:ind w:left="360"/>
      </w:pPr>
      <w:r>
        <w:t>Bent u het ermee eens dat de solidaire premieregeling en de flexibele premieregeling in beginsel gelijkwaardige regelingen zijn, die bewust anders zijn vormgegeven qua solidariteit en keuzevrijheid?</w:t>
      </w:r>
      <w:r>
        <w:br/>
      </w:r>
    </w:p>
    <w:p w:rsidRPr="009B20A2" w:rsidR="00120AD1" w:rsidP="00F3402B" w:rsidRDefault="001C6315" w14:paraId="7770E139" w14:textId="38639405">
      <w:pPr>
        <w:ind w:left="360"/>
      </w:pPr>
      <w:r w:rsidRPr="009B20A2">
        <w:t>Antwoord</w:t>
      </w:r>
      <w:r w:rsidR="00CC119B">
        <w:t xml:space="preserve"> 4</w:t>
      </w:r>
      <w:r w:rsidRPr="009B20A2">
        <w:t>:</w:t>
      </w:r>
      <w:r w:rsidR="00194D05">
        <w:t xml:space="preserve"> </w:t>
      </w:r>
      <w:r w:rsidRPr="009B20A2" w:rsidR="0078462B">
        <w:t>D</w:t>
      </w:r>
      <w:r w:rsidRPr="009B20A2" w:rsidR="00496E62">
        <w:t>e solidaire premieregeling en de flexibele premieregeling</w:t>
      </w:r>
      <w:r w:rsidRPr="009B20A2" w:rsidR="00724052">
        <w:t xml:space="preserve"> </w:t>
      </w:r>
      <w:r w:rsidRPr="009B20A2" w:rsidR="0078462B">
        <w:t xml:space="preserve">zijn </w:t>
      </w:r>
      <w:r w:rsidRPr="009B20A2" w:rsidR="00496E62">
        <w:t>in beginsel gelijkwaardige regelingen. Dat wil zeggen</w:t>
      </w:r>
      <w:r w:rsidR="0049050E">
        <w:t>: beide soorten regelingen hebben elk</w:t>
      </w:r>
      <w:r w:rsidRPr="009B20A2" w:rsidR="00496E62">
        <w:t xml:space="preserve"> specifieke kenmerken, maar er</w:t>
      </w:r>
      <w:r w:rsidR="0049050E">
        <w:t xml:space="preserve"> is</w:t>
      </w:r>
      <w:r w:rsidRPr="009B20A2" w:rsidR="00496E62">
        <w:t xml:space="preserve"> een gelijkwaardige invulling voor de deelnemer mogelijk.</w:t>
      </w:r>
      <w:r w:rsidRPr="009B20A2" w:rsidR="00120AD1">
        <w:t xml:space="preserve"> Beide typen </w:t>
      </w:r>
      <w:r w:rsidRPr="009B20A2" w:rsidR="0078462B">
        <w:t>premie</w:t>
      </w:r>
      <w:r w:rsidRPr="009B20A2" w:rsidR="00120AD1">
        <w:t>regelingen zijn een goede basis voor een pensioenregeling, waarbinnen op elementen keuze</w:t>
      </w:r>
      <w:r w:rsidRPr="009B20A2" w:rsidR="005E0CB1">
        <w:t>s</w:t>
      </w:r>
      <w:r w:rsidRPr="009B20A2" w:rsidR="00120AD1">
        <w:t xml:space="preserve"> kunnen worden gemaakt. </w:t>
      </w:r>
      <w:r w:rsidRPr="009B20A2" w:rsidR="005E0CB1">
        <w:t xml:space="preserve">Deze keuzes worden op collectief niveau gemaakt door de sociale partners. Bij de flexibele premieregeling heeft de deelnemer zelf </w:t>
      </w:r>
      <w:r w:rsidR="00164922">
        <w:t>meer mogelijkheden</w:t>
      </w:r>
      <w:r w:rsidRPr="009B20A2" w:rsidR="005E0CB1">
        <w:t xml:space="preserve"> om individuele keuzes te maken. </w:t>
      </w:r>
      <w:r w:rsidRPr="009B20A2" w:rsidR="00120AD1">
        <w:t xml:space="preserve">Deze keuzes kunnen </w:t>
      </w:r>
      <w:r w:rsidRPr="009B20A2" w:rsidR="005E0CB1">
        <w:t xml:space="preserve">er </w:t>
      </w:r>
      <w:r w:rsidRPr="009B20A2" w:rsidR="00120AD1">
        <w:t xml:space="preserve">uiteindelijk </w:t>
      </w:r>
      <w:r w:rsidRPr="009B20A2" w:rsidR="005E0CB1">
        <w:t>toe</w:t>
      </w:r>
      <w:r w:rsidRPr="009B20A2" w:rsidR="00120AD1">
        <w:t xml:space="preserve"> leiden dat een deelnemer uiteindelijk beter of minder goed af is, afhankelijk van zijn specifieke kenmerken en voorkeuren. Juist daarom is het belangrijk om blijvend te toetsen op de gelijkwaardigheid van de pensioenregelingen. </w:t>
      </w:r>
    </w:p>
    <w:p w:rsidRPr="009B20A2" w:rsidR="005E0CB1" w:rsidP="00F3402B" w:rsidRDefault="005E0CB1" w14:paraId="44BC840C" w14:textId="77777777">
      <w:pPr>
        <w:ind w:left="360"/>
      </w:pPr>
    </w:p>
    <w:p w:rsidRPr="009B20A2" w:rsidR="00F3402B" w:rsidP="00E43135" w:rsidRDefault="00496E62" w14:paraId="66BCF968" w14:textId="1E5DE3CC">
      <w:pPr>
        <w:ind w:left="360"/>
      </w:pPr>
      <w:r w:rsidRPr="009B20A2">
        <w:t>In de</w:t>
      </w:r>
      <w:r w:rsidRPr="009B20A2" w:rsidR="00120AD1">
        <w:t xml:space="preserve"> </w:t>
      </w:r>
      <w:r w:rsidR="0049050E">
        <w:t>w</w:t>
      </w:r>
      <w:r w:rsidRPr="009B20A2" w:rsidR="00120AD1">
        <w:t>ijziging</w:t>
      </w:r>
      <w:r w:rsidR="0049050E">
        <w:t xml:space="preserve"> van de</w:t>
      </w:r>
      <w:r w:rsidRPr="009B20A2" w:rsidR="00120AD1">
        <w:t xml:space="preserve"> Regeling </w:t>
      </w:r>
      <w:r w:rsidR="0049050E">
        <w:t>v</w:t>
      </w:r>
      <w:r w:rsidRPr="009B20A2" w:rsidR="00120AD1">
        <w:t xml:space="preserve">rijstellingen </w:t>
      </w:r>
      <w:r w:rsidR="0049050E">
        <w:t>W</w:t>
      </w:r>
      <w:r w:rsidRPr="009B20A2" w:rsidR="00120AD1">
        <w:t xml:space="preserve">et </w:t>
      </w:r>
      <w:r w:rsidR="0049050E">
        <w:t>B</w:t>
      </w:r>
      <w:r w:rsidRPr="009B20A2" w:rsidR="00120AD1">
        <w:t>pf 2000</w:t>
      </w:r>
      <w:r w:rsidRPr="009B20A2" w:rsidR="005E0CB1">
        <w:t xml:space="preserve"> </w:t>
      </w:r>
      <w:r w:rsidRPr="009B20A2">
        <w:t>is er</w:t>
      </w:r>
      <w:r w:rsidRPr="009B20A2" w:rsidR="009D701C">
        <w:t xml:space="preserve"> desalniettemin </w:t>
      </w:r>
      <w:r w:rsidRPr="009B20A2">
        <w:t xml:space="preserve">voor gekozen om </w:t>
      </w:r>
      <w:r w:rsidRPr="009B20A2" w:rsidR="008A73FF">
        <w:t>enkele</w:t>
      </w:r>
      <w:r w:rsidRPr="009B20A2">
        <w:t xml:space="preserve"> specifieke kenmerken die per type regeling verschillen (zoals een solidariteitsreserve, de keuzemogelijkheid voor een vaste uitkering, shoprecht), niet in de voorschriften voor actuariële toetsing op te nemen. </w:t>
      </w:r>
      <w:r w:rsidRPr="009B20A2" w:rsidR="005E0CB1">
        <w:t xml:space="preserve">Er is bewust gekozen om elementen in de toetsing te betrekken die goed waardeerbaar </w:t>
      </w:r>
      <w:r w:rsidR="00507957">
        <w:t>met</w:t>
      </w:r>
      <w:r w:rsidRPr="009B20A2" w:rsidR="005E0CB1">
        <w:t xml:space="preserve"> een</w:t>
      </w:r>
      <w:r w:rsidR="005E1271">
        <w:t xml:space="preserve"> relatief eenvoudige berekeningswijze</w:t>
      </w:r>
      <w:r w:rsidRPr="009B20A2" w:rsidR="005E0CB1">
        <w:t xml:space="preserve"> </w:t>
      </w:r>
      <w:r w:rsidR="005E1271">
        <w:t>(</w:t>
      </w:r>
      <w:r w:rsidR="0049050E">
        <w:t>de</w:t>
      </w:r>
      <w:r w:rsidR="005E1271">
        <w:t xml:space="preserve"> </w:t>
      </w:r>
      <w:r w:rsidRPr="009B20A2" w:rsidR="005E0CB1">
        <w:t>deterministische berekening</w:t>
      </w:r>
      <w:r w:rsidR="005E1271">
        <w:t>)</w:t>
      </w:r>
      <w:r w:rsidR="00511552">
        <w:t>. Daarnaast is gekozen voor een vormgeving die</w:t>
      </w:r>
      <w:r w:rsidRPr="009B20A2" w:rsidR="005E0CB1">
        <w:t xml:space="preserve"> </w:t>
      </w:r>
      <w:r w:rsidR="00511552">
        <w:t>z</w:t>
      </w:r>
      <w:r w:rsidRPr="009B20A2" w:rsidR="00E43135">
        <w:t xml:space="preserve">o goed mogelijk de realiteit van de pensioenregeling en de uitkomsten daarvan weerspiegelen. </w:t>
      </w:r>
      <w:r w:rsidRPr="009B20A2">
        <w:t>Hierbij is een balans gezocht tussen</w:t>
      </w:r>
      <w:r w:rsidR="005E1271">
        <w:t xml:space="preserve"> beperking van</w:t>
      </w:r>
      <w:r w:rsidRPr="009B20A2">
        <w:t xml:space="preserve"> uitvoeringscomplexiteit en </w:t>
      </w:r>
      <w:r w:rsidR="005E1271">
        <w:t>-</w:t>
      </w:r>
      <w:r w:rsidRPr="009B20A2">
        <w:t>kosten en het beschermen van de deelnemer.</w:t>
      </w:r>
      <w:r w:rsidR="005E1271">
        <w:t xml:space="preserve"> Een meer nauwkeurige, en daarmee ook meer complexe berekeningswijze is ook toegestaan, maar is niet de wettelijk voorgeschreven standaardoptie. </w:t>
      </w:r>
      <w:r w:rsidRPr="009B20A2">
        <w:t xml:space="preserve"> </w:t>
      </w:r>
    </w:p>
    <w:p w:rsidR="00F3402B" w:rsidP="0049050E" w:rsidRDefault="00F3402B" w14:paraId="3B63F2A5" w14:textId="77777777"/>
    <w:p w:rsidR="00496E62" w:rsidRDefault="00B04886" w14:paraId="608DB153" w14:textId="77777777">
      <w:pPr>
        <w:numPr>
          <w:ilvl w:val="0"/>
          <w:numId w:val="4"/>
        </w:numPr>
        <w:ind w:left="360"/>
      </w:pPr>
      <w:r>
        <w:t>Bent u het ermee eens dat bij een premieregeling het uiteindelijke pensioenresultaat op moment van pensionering niet voorspelbaar is, maar met name afhankelijk is van het rendement dat wordt gemaakt op de premie-inleg, en de rekenrente en levensverwachting op pensioendatum?</w:t>
      </w:r>
    </w:p>
    <w:p w:rsidR="00496E62" w:rsidP="00496E62" w:rsidRDefault="00496E62" w14:paraId="3083E4A9" w14:textId="77777777">
      <w:pPr>
        <w:ind w:left="360"/>
      </w:pPr>
    </w:p>
    <w:p w:rsidRPr="00AF054B" w:rsidR="00273FC4" w:rsidP="00496E62" w:rsidRDefault="001C6315" w14:paraId="177B3BEB" w14:textId="26E16E81">
      <w:pPr>
        <w:ind w:left="360"/>
      </w:pPr>
      <w:r w:rsidRPr="009B20A2">
        <w:t>Antwoord</w:t>
      </w:r>
      <w:r w:rsidR="00CC119B">
        <w:t xml:space="preserve"> 5</w:t>
      </w:r>
      <w:r w:rsidRPr="009B20A2">
        <w:t>:</w:t>
      </w:r>
      <w:r w:rsidR="00AF054B">
        <w:t xml:space="preserve"> </w:t>
      </w:r>
      <w:r w:rsidRPr="009B20A2" w:rsidR="0078462B">
        <w:t>H</w:t>
      </w:r>
      <w:r w:rsidRPr="009B20A2" w:rsidR="00496E62">
        <w:t xml:space="preserve">et uiteindelijke pensioenresultaat in elke </w:t>
      </w:r>
      <w:r w:rsidRPr="009B20A2" w:rsidR="001A16B3">
        <w:t xml:space="preserve">premieregeling </w:t>
      </w:r>
      <w:r w:rsidRPr="009B20A2" w:rsidR="0078462B">
        <w:t xml:space="preserve">is </w:t>
      </w:r>
      <w:r w:rsidRPr="009B20A2" w:rsidR="00496E62">
        <w:t xml:space="preserve">niet </w:t>
      </w:r>
      <w:r w:rsidRPr="009B20A2" w:rsidR="001E5708">
        <w:t xml:space="preserve">exact </w:t>
      </w:r>
      <w:r w:rsidRPr="009B20A2" w:rsidR="00496E62">
        <w:t xml:space="preserve">voorspelbaar en afhankelijk van </w:t>
      </w:r>
      <w:r w:rsidRPr="00194D05" w:rsidR="00194D05">
        <w:t>premie</w:t>
      </w:r>
      <w:r w:rsidR="00194D05">
        <w:t>-</w:t>
      </w:r>
      <w:r w:rsidRPr="00194D05" w:rsidR="00194D05">
        <w:t>inleg</w:t>
      </w:r>
      <w:r w:rsidRPr="009B20A2" w:rsidR="0078462B">
        <w:t xml:space="preserve">, </w:t>
      </w:r>
      <w:r w:rsidRPr="009B20A2" w:rsidR="00496E62">
        <w:t xml:space="preserve">rendement, </w:t>
      </w:r>
      <w:r w:rsidRPr="009B20A2" w:rsidR="0078462B">
        <w:t xml:space="preserve">beleggingsrisico, </w:t>
      </w:r>
      <w:r w:rsidRPr="009B20A2" w:rsidR="00496E62">
        <w:t>rente</w:t>
      </w:r>
      <w:r w:rsidRPr="009B20A2" w:rsidR="0078462B">
        <w:t>- en inflatieontwikkelingen</w:t>
      </w:r>
      <w:r w:rsidRPr="009B20A2" w:rsidR="00496E62">
        <w:t xml:space="preserve"> en levensverwachting. </w:t>
      </w:r>
      <w:r w:rsidRPr="009B20A2" w:rsidR="001E5708">
        <w:t xml:space="preserve">Het verwachte pensioenresultaat is een meest realistische schatting. </w:t>
      </w:r>
      <w:r w:rsidRPr="009B20A2" w:rsidR="00496E62">
        <w:t xml:space="preserve">De voorgeschreven toetsing in de </w:t>
      </w:r>
      <w:r w:rsidRPr="009B20A2" w:rsidR="0088767F">
        <w:t>gewijzigde R</w:t>
      </w:r>
      <w:r w:rsidRPr="009B20A2" w:rsidR="00496E62">
        <w:t xml:space="preserve">egeling </w:t>
      </w:r>
      <w:r w:rsidR="0049050E">
        <w:t>v</w:t>
      </w:r>
      <w:r w:rsidRPr="009B20A2" w:rsidR="00496E62">
        <w:t xml:space="preserve">rijstellingen </w:t>
      </w:r>
      <w:r w:rsidRPr="009B20A2" w:rsidR="0088767F">
        <w:t>W</w:t>
      </w:r>
      <w:r w:rsidRPr="009B20A2" w:rsidR="00496E62">
        <w:t xml:space="preserve">et </w:t>
      </w:r>
      <w:r w:rsidRPr="009B20A2" w:rsidR="0088767F">
        <w:t>B</w:t>
      </w:r>
      <w:r w:rsidRPr="009B20A2" w:rsidR="00496E62">
        <w:t>pf 2000 houdt hier rekening mee. Door het feitelijke beleggingsbeleid van beide partijen aan elkaar te toetsen</w:t>
      </w:r>
      <w:r w:rsidRPr="009B20A2" w:rsidR="00777702">
        <w:t xml:space="preserve"> en daarbij </w:t>
      </w:r>
      <w:r w:rsidRPr="009B20A2" w:rsidR="00496E62">
        <w:t xml:space="preserve">gebruik te maken van dezelfde uitgangspunten voor </w:t>
      </w:r>
      <w:r w:rsidRPr="009B20A2" w:rsidR="000676F8">
        <w:t xml:space="preserve">bijvoorbeeld </w:t>
      </w:r>
      <w:r w:rsidRPr="009B20A2" w:rsidR="00496E62">
        <w:t>rendement</w:t>
      </w:r>
      <w:r w:rsidRPr="009B20A2" w:rsidR="00D31C5D">
        <w:t>en per beleggingscategorie</w:t>
      </w:r>
      <w:r w:rsidR="0049050E">
        <w:t xml:space="preserve"> </w:t>
      </w:r>
      <w:r w:rsidRPr="009B20A2" w:rsidR="00496E62">
        <w:t>wordt een zo zuiver mogelijke vergelijking mogelijk gemaakt.</w:t>
      </w:r>
      <w:r w:rsidRPr="009B20A2" w:rsidR="001A16B3">
        <w:t xml:space="preserve"> </w:t>
      </w:r>
      <w:r w:rsidRPr="009B20A2" w:rsidR="00496E62">
        <w:t xml:space="preserve"> </w:t>
      </w:r>
      <w:r w:rsidRPr="00AF054B" w:rsidR="00496E62">
        <w:br/>
      </w:r>
    </w:p>
    <w:p w:rsidR="00496E62" w:rsidRDefault="00B04886" w14:paraId="32B981A8" w14:textId="77777777">
      <w:pPr>
        <w:numPr>
          <w:ilvl w:val="0"/>
          <w:numId w:val="4"/>
        </w:numPr>
        <w:ind w:left="360"/>
      </w:pPr>
      <w:r>
        <w:t>In welke situatie kan een actuariële toets, waarbij het uiteindelijke pensioenresultaat wordt doorgerekend, naar uw mening van toegevoegde waarde zijn in een vergelijking tussen twee premieregelingen?</w:t>
      </w:r>
    </w:p>
    <w:p w:rsidR="00496E62" w:rsidP="00496E62" w:rsidRDefault="00496E62" w14:paraId="2108533E" w14:textId="77777777">
      <w:pPr>
        <w:ind w:left="360"/>
      </w:pPr>
    </w:p>
    <w:p w:rsidRPr="009B20A2" w:rsidR="006A7F7B" w:rsidP="00496E62" w:rsidRDefault="001C6315" w14:paraId="4F7CD90A" w14:textId="3F5E530D">
      <w:pPr>
        <w:ind w:left="360"/>
      </w:pPr>
      <w:r w:rsidRPr="009B20A2">
        <w:t>Antwoord</w:t>
      </w:r>
      <w:r w:rsidR="00CC119B">
        <w:t xml:space="preserve"> 6</w:t>
      </w:r>
      <w:r w:rsidRPr="009B20A2">
        <w:t xml:space="preserve">: </w:t>
      </w:r>
      <w:r w:rsidRPr="009B20A2" w:rsidR="00496E62">
        <w:t>Zoals aangegeven in de</w:t>
      </w:r>
      <w:r w:rsidRPr="009B20A2" w:rsidR="00716F19">
        <w:t xml:space="preserve"> toelichting bij de gewijzigde </w:t>
      </w:r>
      <w:r w:rsidR="0049050E">
        <w:t>r</w:t>
      </w:r>
      <w:r w:rsidRPr="009B20A2" w:rsidR="00496E62">
        <w:t>egeling, ligt bij de vrijgestelde werkgever de verplichting om</w:t>
      </w:r>
      <w:r w:rsidR="00811EF2">
        <w:t xml:space="preserve"> een pensioenregeling aan</w:t>
      </w:r>
      <w:r w:rsidR="00511552">
        <w:t xml:space="preserve"> zijn werknemers aan</w:t>
      </w:r>
      <w:r w:rsidR="00811EF2">
        <w:t xml:space="preserve"> te bieden die</w:t>
      </w:r>
      <w:r w:rsidRPr="009B20A2" w:rsidR="00496E62">
        <w:t xml:space="preserve"> minstens financieel en actuarieel gelijkwaardig</w:t>
      </w:r>
      <w:r w:rsidR="00811EF2">
        <w:t xml:space="preserve"> is aan de verplichtgestelde pensioenregeling</w:t>
      </w:r>
      <w:r w:rsidRPr="009B20A2" w:rsidR="00496E62">
        <w:t>. Het bedrijfstakpensioenfonds toetst dit, vanuit zijn verantwoordelijkheid als bestuursorgaan in de zin van de Algemene wet bestuursrecht, en heeft de bevoegdheid om vrijstelling</w:t>
      </w:r>
      <w:r w:rsidRPr="009B20A2" w:rsidR="00716F19">
        <w:t>en</w:t>
      </w:r>
      <w:r w:rsidRPr="009B20A2" w:rsidR="00496E62">
        <w:t xml:space="preserve"> te verlenen, continueren of in te trekken. Een actuariële toets kan volgens de </w:t>
      </w:r>
      <w:r w:rsidRPr="009B20A2" w:rsidR="00716F19">
        <w:t xml:space="preserve">gewijzigde </w:t>
      </w:r>
      <w:r w:rsidR="0049050E">
        <w:t>r</w:t>
      </w:r>
      <w:r w:rsidRPr="009B20A2" w:rsidR="00496E62">
        <w:t>egeling ook kwalitatief plaatsvinden</w:t>
      </w:r>
      <w:r w:rsidRPr="009B20A2" w:rsidR="00716F19">
        <w:t>, als</w:t>
      </w:r>
      <w:r w:rsidR="00511552">
        <w:t xml:space="preserve"> de werkgever en het pensioenfonds</w:t>
      </w:r>
      <w:r w:rsidRPr="009B20A2" w:rsidR="00716F19">
        <w:t xml:space="preserve"> daarover overeenstemming bereiken</w:t>
      </w:r>
      <w:r w:rsidRPr="009B20A2" w:rsidR="00496E62">
        <w:t xml:space="preserve">. De kwantitatieve </w:t>
      </w:r>
      <w:r w:rsidRPr="009B20A2" w:rsidR="00721DB2">
        <w:t xml:space="preserve">actuariële </w:t>
      </w:r>
      <w:r w:rsidRPr="009B20A2" w:rsidR="00496E62">
        <w:t xml:space="preserve">toets is van toegevoegde waarde </w:t>
      </w:r>
      <w:r w:rsidRPr="009B20A2" w:rsidR="00721DB2">
        <w:t xml:space="preserve">omdat </w:t>
      </w:r>
      <w:r w:rsidRPr="009B20A2" w:rsidR="00496E62">
        <w:t xml:space="preserve">niet enkel </w:t>
      </w:r>
      <w:r w:rsidRPr="009B20A2" w:rsidR="00721DB2">
        <w:t>wordt gekeken</w:t>
      </w:r>
      <w:r w:rsidRPr="009B20A2" w:rsidR="00496E62">
        <w:t xml:space="preserve"> naar de premie-inleg, maar ook </w:t>
      </w:r>
      <w:r w:rsidRPr="009B20A2" w:rsidR="00C028F8">
        <w:t xml:space="preserve">naar </w:t>
      </w:r>
      <w:r w:rsidRPr="009B20A2" w:rsidR="00496E62">
        <w:t xml:space="preserve">andere elementen zoals het beleggingsbeleid. Daarmee geeft deze toets een zo goed mogelijk beeld van de </w:t>
      </w:r>
      <w:r w:rsidRPr="009B20A2" w:rsidR="00777702">
        <w:t xml:space="preserve">verwachte </w:t>
      </w:r>
      <w:r w:rsidRPr="009B20A2" w:rsidR="00496E62">
        <w:t>toekomstige uitkering van de deelnemer en</w:t>
      </w:r>
      <w:r w:rsidRPr="009B20A2" w:rsidR="00777702">
        <w:t>,</w:t>
      </w:r>
      <w:r w:rsidRPr="009B20A2" w:rsidR="00496E62">
        <w:t xml:space="preserve"> of deze </w:t>
      </w:r>
      <w:r w:rsidRPr="009B20A2" w:rsidR="00777702">
        <w:t xml:space="preserve">gelijkwaardig is aan </w:t>
      </w:r>
      <w:r w:rsidRPr="009B20A2" w:rsidR="00496E62">
        <w:t xml:space="preserve">de regeling van het verplichtgestelde bedrijfstakpensioenfonds. </w:t>
      </w:r>
      <w:r w:rsidRPr="009B20A2" w:rsidR="008A73FF">
        <w:t>Dit is ter bescherming van de deelnemer.</w:t>
      </w:r>
      <w:r w:rsidRPr="009B20A2" w:rsidR="008F192C">
        <w:t xml:space="preserve"> </w:t>
      </w:r>
    </w:p>
    <w:p w:rsidR="00273FC4" w:rsidP="00496E62" w:rsidRDefault="006A7F7B" w14:paraId="6DB659C5" w14:textId="2DDCBB90">
      <w:pPr>
        <w:ind w:left="360"/>
      </w:pPr>
      <w:r w:rsidDel="006A7F7B">
        <w:rPr>
          <w:rStyle w:val="Verwijzingopmerking"/>
        </w:rPr>
        <w:t xml:space="preserve"> </w:t>
      </w:r>
    </w:p>
    <w:p w:rsidR="009A3A20" w:rsidP="009A3A20" w:rsidRDefault="00B04886" w14:paraId="1B5D8690" w14:textId="54035467">
      <w:pPr>
        <w:numPr>
          <w:ilvl w:val="0"/>
          <w:numId w:val="4"/>
        </w:numPr>
        <w:ind w:left="360"/>
      </w:pPr>
      <w:r>
        <w:t xml:space="preserve">Bent u het eens met verschillende consultatiereacties, die stellen dat als er al redenen aanwezig zijn om de actuariële gelijkwaardigheid te berekenen, het effect van verschil in </w:t>
      </w:r>
      <w:r>
        <w:lastRenderedPageBreak/>
        <w:t>beleggingsbeleid daarin geëlimineerd zou moeten worden, omdat de in de basis voorgestelde actuariële toets het voeren van een meer offensief beleggingsbeleid beloont zonder dat de keerzijde, namelijk het risico op tegenvallende beleggingsresultaten, tot uiting komt? Zo niet, waarom niet</w:t>
      </w:r>
      <w:r w:rsidR="004A6B0D">
        <w:t>?</w:t>
      </w:r>
    </w:p>
    <w:p w:rsidR="006A7F7B" w:rsidP="006A7F7B" w:rsidRDefault="006A7F7B" w14:paraId="7438CF0B" w14:textId="77777777">
      <w:pPr>
        <w:pStyle w:val="Lijstalinea"/>
        <w:rPr>
          <w:i/>
          <w:iCs/>
        </w:rPr>
      </w:pPr>
    </w:p>
    <w:p w:rsidRPr="009B20A2" w:rsidR="006A7F7B" w:rsidP="009B20A2" w:rsidRDefault="001C6315" w14:paraId="0257BA87" w14:textId="741DA19A">
      <w:pPr>
        <w:ind w:left="360"/>
      </w:pPr>
      <w:r w:rsidRPr="009B20A2">
        <w:t>Antwoord</w:t>
      </w:r>
      <w:r w:rsidR="00CC119B">
        <w:t xml:space="preserve"> 7</w:t>
      </w:r>
      <w:r w:rsidRPr="009B20A2">
        <w:t xml:space="preserve">: </w:t>
      </w:r>
      <w:r w:rsidRPr="009B20A2" w:rsidR="006A7F7B">
        <w:t xml:space="preserve">In </w:t>
      </w:r>
      <w:r w:rsidR="00811EF2">
        <w:t xml:space="preserve">de eenvoudige </w:t>
      </w:r>
      <w:r w:rsidRPr="009B20A2" w:rsidR="006A7F7B">
        <w:t>berekening</w:t>
      </w:r>
      <w:r w:rsidR="00811EF2">
        <w:t>swijze</w:t>
      </w:r>
      <w:r w:rsidRPr="009B20A2" w:rsidR="006A7F7B">
        <w:t xml:space="preserve">, die als </w:t>
      </w:r>
      <w:r w:rsidR="00811EF2">
        <w:t>standaard</w:t>
      </w:r>
      <w:r w:rsidRPr="009B20A2" w:rsidR="006A7F7B">
        <w:t xml:space="preserve"> wordt voorgeschreven, is inderdaad de verwachting dat een offensief beleggingsbeleid een positieve uitwerking heeft. Het risico op tegenvallende resultaten kom</w:t>
      </w:r>
      <w:r w:rsidRPr="009B20A2" w:rsidR="000676F8">
        <w:t>t</w:t>
      </w:r>
      <w:r w:rsidRPr="009B20A2" w:rsidR="006A7F7B">
        <w:t xml:space="preserve"> beter naar voren in</w:t>
      </w:r>
      <w:r w:rsidR="00811EF2">
        <w:t xml:space="preserve"> de meer</w:t>
      </w:r>
      <w:r w:rsidRPr="009B20A2" w:rsidR="006A7F7B">
        <w:t xml:space="preserve"> complexe stochastische berekening. Het</w:t>
      </w:r>
      <w:r w:rsidR="00507957">
        <w:t xml:space="preserve"> verplicht</w:t>
      </w:r>
      <w:r w:rsidRPr="009B20A2" w:rsidR="006A7F7B">
        <w:t xml:space="preserve"> voorschrijven van dit soort duurdere berekeningen zou echter naar verwachting leiden tot een sterke daling van het aantal vrijgestelde werkgevers, vanwege dit kostenaspect</w:t>
      </w:r>
      <w:r w:rsidRPr="009B20A2" w:rsidR="00AC4739">
        <w:t>, terwijl de pensioenovereenkomst in de basis een goede, gelijkwaardige pensioenregeling kan zijn</w:t>
      </w:r>
      <w:r w:rsidRPr="009B20A2" w:rsidR="006A7F7B">
        <w:t xml:space="preserve">. </w:t>
      </w:r>
      <w:r w:rsidR="00194D05">
        <w:t>Dat is niet wenselijk</w:t>
      </w:r>
      <w:r w:rsidRPr="009B20A2" w:rsidR="006A7F7B">
        <w:t xml:space="preserve">. </w:t>
      </w:r>
      <w:r w:rsidR="002630E5">
        <w:t>D</w:t>
      </w:r>
      <w:r w:rsidRPr="009B20A2" w:rsidR="00AC4739">
        <w:t>aarom</w:t>
      </w:r>
      <w:r w:rsidR="002630E5">
        <w:t xml:space="preserve"> is</w:t>
      </w:r>
      <w:r w:rsidRPr="009B20A2" w:rsidR="00AC4739">
        <w:t xml:space="preserve"> gekozen voor een deterministische berekening</w:t>
      </w:r>
      <w:r w:rsidR="00194D05">
        <w:t xml:space="preserve"> als </w:t>
      </w:r>
      <w:r w:rsidR="00507957">
        <w:t>standaard</w:t>
      </w:r>
      <w:r w:rsidR="00194D05">
        <w:t xml:space="preserve"> voor te schrijven</w:t>
      </w:r>
      <w:r w:rsidRPr="009B20A2" w:rsidR="00AC4739">
        <w:t xml:space="preserve">. </w:t>
      </w:r>
      <w:r w:rsidR="00507957">
        <w:t>Het staat partijen vrij om, wanneer dat voor de specifieke situatie meer van toepassing is om risico’s te wegen, een stochastische berekening te maken.</w:t>
      </w:r>
    </w:p>
    <w:p w:rsidR="006A7F7B" w:rsidP="006A7F7B" w:rsidRDefault="006A7F7B" w14:paraId="75B70ECF" w14:textId="77777777">
      <w:pPr>
        <w:ind w:left="-360"/>
      </w:pPr>
    </w:p>
    <w:p w:rsidR="004A6B0D" w:rsidP="004A6B0D" w:rsidRDefault="004A6B0D" w14:paraId="797B30F5" w14:textId="77777777">
      <w:pPr>
        <w:numPr>
          <w:ilvl w:val="0"/>
          <w:numId w:val="4"/>
        </w:numPr>
        <w:ind w:left="360"/>
      </w:pPr>
      <w:r>
        <w:t>Bent u het eens met de verschillende consultatiereacties, dat de voorgestelde actuariële toets ook voorbij gaat aan het feit dat een meer defensief beleggingsbeleid en keuzevrijheid meer passend kan zijn voor deelnemers? Zo niet, waarom niet?</w:t>
      </w:r>
    </w:p>
    <w:p w:rsidR="004A6B0D" w:rsidP="004A6B0D" w:rsidRDefault="004A6B0D" w14:paraId="23D0D671" w14:textId="00469866">
      <w:pPr>
        <w:numPr>
          <w:ilvl w:val="0"/>
          <w:numId w:val="4"/>
        </w:numPr>
        <w:ind w:left="360"/>
      </w:pPr>
      <w:r>
        <w:t>Kunt u uitleggen waarom u van mening bent dat de voorgestelde vormgeving van de actuariële gelijkwaardigheidstoets past bij het uitgangspunt van de Wet toekomst pensioenen dat het risicoprofiel van de regeling zodanig wordt vastgesteld dat het aansluit bij de preferenties van de deelnemers?</w:t>
      </w:r>
    </w:p>
    <w:p w:rsidR="009A3A20" w:rsidP="009A3A20" w:rsidRDefault="009A3A20" w14:paraId="1298B49F" w14:textId="77777777">
      <w:pPr>
        <w:ind w:left="360"/>
      </w:pPr>
    </w:p>
    <w:p w:rsidRPr="009B20A2" w:rsidR="00B508A8" w:rsidP="009B20A2" w:rsidRDefault="001C6315" w14:paraId="7885CCE6" w14:textId="62044C8B">
      <w:pPr>
        <w:ind w:left="360"/>
      </w:pPr>
      <w:r w:rsidRPr="009B20A2">
        <w:t>Antwoord</w:t>
      </w:r>
      <w:r w:rsidR="00CC119B">
        <w:t xml:space="preserve"> 8 en 9</w:t>
      </w:r>
      <w:r w:rsidRPr="009B20A2">
        <w:t>:</w:t>
      </w:r>
      <w:r w:rsidR="00AF054B">
        <w:t xml:space="preserve"> </w:t>
      </w:r>
      <w:r w:rsidRPr="009B20A2" w:rsidR="009B1346">
        <w:t>Een pensioenuitvoerder stelt</w:t>
      </w:r>
      <w:r w:rsidR="00373DF0">
        <w:t>,</w:t>
      </w:r>
      <w:r w:rsidRPr="009B20A2" w:rsidR="009B1346">
        <w:t xml:space="preserve"> op basis van de vereisten uit</w:t>
      </w:r>
      <w:r w:rsidR="00373DF0">
        <w:t xml:space="preserve"> de Pensioenwet</w:t>
      </w:r>
      <w:r w:rsidRPr="009B20A2" w:rsidR="009B1346">
        <w:t>, de risicohouding voor deelnemers per leeftijdscohort vast. Dit gebeurt op basis van risicopreferentie</w:t>
      </w:r>
      <w:r w:rsidR="002630E5">
        <w:t>s van deelnemers</w:t>
      </w:r>
      <w:r w:rsidRPr="009B20A2" w:rsidR="009B1346">
        <w:t xml:space="preserve">, wetenschappelijke inzichten en deelnemerskenmerken. Als een werkgever vrijstelling wil aanvragen of continueren, </w:t>
      </w:r>
      <w:r w:rsidRPr="009B20A2">
        <w:t xml:space="preserve">wordt </w:t>
      </w:r>
      <w:r w:rsidRPr="009B20A2" w:rsidR="001A596A">
        <w:t>voor de bepaling van het beleggingsprofiel</w:t>
      </w:r>
      <w:r w:rsidRPr="00AF054B" w:rsidR="001A596A">
        <w:t xml:space="preserve"> uitgegaan van een beleggingsprofiel dat in de verzekerde regeling wordt aangeboden en waarbij redelijkerwijs kan worden verondersteld dat een aanzienlijk deel van de werknemers hiervoor kan kiezen. Dit kan bijvoorbeeld de gekozen default betreffen of </w:t>
      </w:r>
      <w:r w:rsidRPr="00AF054B">
        <w:t xml:space="preserve">een beleggingsprofiel dat </w:t>
      </w:r>
      <w:r w:rsidRPr="00AF054B" w:rsidR="001A596A">
        <w:t xml:space="preserve">aansluit bij de </w:t>
      </w:r>
      <w:r w:rsidRPr="00A36A60" w:rsidR="001A596A">
        <w:rPr>
          <w:i/>
          <w:iCs/>
        </w:rPr>
        <w:t>life cycle</w:t>
      </w:r>
      <w:r w:rsidRPr="00AF054B" w:rsidR="001A596A">
        <w:t xml:space="preserve"> van een pensioenfonds waarbij de gedispenseerde werkgever aannemelijk maakt dat een aanzienlijk deel werknemers hiervoor kan kiezen. </w:t>
      </w:r>
      <w:r w:rsidRPr="009B20A2" w:rsidR="00ED3C7C">
        <w:t>Het is voorstelbaar dat a</w:t>
      </w:r>
      <w:r w:rsidRPr="009B20A2" w:rsidR="009B1346">
        <w:t>ls de</w:t>
      </w:r>
      <w:r w:rsidRPr="009B20A2" w:rsidR="00ED3C7C">
        <w:t xml:space="preserve"> </w:t>
      </w:r>
      <w:r w:rsidRPr="009B20A2" w:rsidR="009B1346">
        <w:t>risicohouding bij het verplichtgestelde bedrijfstakpensioenfonds relatief offensief wordt vastgesteld</w:t>
      </w:r>
      <w:r w:rsidRPr="009B20A2" w:rsidR="00ED3C7C">
        <w:t xml:space="preserve">, in veel gevallen </w:t>
      </w:r>
      <w:r w:rsidRPr="009B20A2" w:rsidR="009B1346">
        <w:t>de vrijgestelde werkgever voor een vergelijkbare deelnemer een even offensieve risicohouding vast kan stellen. De deelnemer had immers anders altijd onder de risicohouding van het bedrijfstakpensioenfonds gevallen. Bij vergelijkbare deelnemerskenmerken zal ook vaak de risicopreferentie van deze groep deelnemers</w:t>
      </w:r>
      <w:r w:rsidRPr="009B20A2" w:rsidR="0059257E">
        <w:t xml:space="preserve"> </w:t>
      </w:r>
      <w:r w:rsidRPr="009B20A2" w:rsidR="009B1346">
        <w:t xml:space="preserve">overeenkomen. Het bedrijfstakpensioenfonds heeft voor deze groep ook al een risicopreferentieonderzoek uitgevoerd en een risicohouding vastgesteld. </w:t>
      </w:r>
      <w:r w:rsidRPr="009B20A2" w:rsidR="006B0221">
        <w:t>Het is niet mogelijk</w:t>
      </w:r>
      <w:r w:rsidRPr="009B20A2" w:rsidR="00267422">
        <w:t xml:space="preserve"> </w:t>
      </w:r>
      <w:r w:rsidRPr="009B20A2" w:rsidR="009A3A20">
        <w:t>dat de vrijgestelde werkgever voor zijn deelnemers een niet gepast risico</w:t>
      </w:r>
      <w:r w:rsidRPr="009B20A2" w:rsidR="004A6B0D">
        <w:t xml:space="preserve"> </w:t>
      </w:r>
      <w:r w:rsidRPr="009B20A2" w:rsidR="00267422">
        <w:t>(bij</w:t>
      </w:r>
      <w:r w:rsidR="00373DF0">
        <w:t>voorbeeld</w:t>
      </w:r>
      <w:r w:rsidRPr="009B20A2" w:rsidR="00267422">
        <w:t xml:space="preserve"> te offensief)</w:t>
      </w:r>
      <w:r w:rsidRPr="009B20A2" w:rsidR="009A3A20">
        <w:t xml:space="preserve"> neemt,</w:t>
      </w:r>
      <w:r w:rsidRPr="009B20A2" w:rsidR="00267422">
        <w:t xml:space="preserve"> omdat dit</w:t>
      </w:r>
      <w:r w:rsidRPr="009B20A2" w:rsidR="009A3A20">
        <w:t xml:space="preserve"> reeds </w:t>
      </w:r>
      <w:r w:rsidRPr="009B20A2" w:rsidR="00267422">
        <w:t xml:space="preserve">is </w:t>
      </w:r>
      <w:r w:rsidRPr="009B20A2" w:rsidR="009A3A20">
        <w:t xml:space="preserve">ingeperkt door vereisten </w:t>
      </w:r>
      <w:r w:rsidRPr="009B20A2" w:rsidR="00CF47E8">
        <w:t xml:space="preserve">van de </w:t>
      </w:r>
      <w:r w:rsidRPr="009B20A2" w:rsidR="009A3A20">
        <w:t xml:space="preserve">Pensioenwet. </w:t>
      </w:r>
      <w:r w:rsidRPr="009B20A2" w:rsidR="006B0221">
        <w:t xml:space="preserve">Uiteindelijk zal altijd moeten worden aangesloten bij het risico dat </w:t>
      </w:r>
      <w:r w:rsidR="002630E5">
        <w:t>een</w:t>
      </w:r>
      <w:r w:rsidRPr="009B20A2" w:rsidR="006B0221">
        <w:t xml:space="preserve"> deelnemer</w:t>
      </w:r>
      <w:r w:rsidRPr="009B20A2" w:rsidR="00BB6B45">
        <w:t xml:space="preserve"> (per leeftijdscohort) kan en wil nemen. </w:t>
      </w:r>
    </w:p>
    <w:p w:rsidR="009A3A20" w:rsidP="009A3A20" w:rsidRDefault="009A3A20" w14:paraId="258FF4A3" w14:textId="77777777">
      <w:pPr>
        <w:ind w:left="360"/>
        <w:rPr>
          <w:i/>
          <w:iCs/>
        </w:rPr>
      </w:pPr>
    </w:p>
    <w:p w:rsidR="009A3A20" w:rsidP="009A3A20" w:rsidRDefault="009A3A20" w14:paraId="4F825E73" w14:textId="77777777">
      <w:pPr>
        <w:ind w:left="360"/>
      </w:pPr>
    </w:p>
    <w:p w:rsidR="004A6B0D" w:rsidRDefault="00B04886" w14:paraId="2808B378" w14:textId="77777777">
      <w:pPr>
        <w:numPr>
          <w:ilvl w:val="0"/>
          <w:numId w:val="4"/>
        </w:numPr>
        <w:ind w:left="360"/>
      </w:pPr>
      <w:r>
        <w:lastRenderedPageBreak/>
        <w:t>Bent u bereid gehoor te geven aan de brede oproep om het effect van het verschil in beleggingsbeleid te elimineren uit een actuariële gelijkwaardigheidstoets?</w:t>
      </w:r>
    </w:p>
    <w:p w:rsidR="004A6B0D" w:rsidP="004A6B0D" w:rsidRDefault="004A6B0D" w14:paraId="435FA7C3" w14:textId="77777777">
      <w:pPr>
        <w:ind w:left="360"/>
      </w:pPr>
    </w:p>
    <w:p w:rsidRPr="009B20A2" w:rsidR="004A6B0D" w:rsidP="009B20A2" w:rsidRDefault="001C6315" w14:paraId="6D77E7B2" w14:textId="264AFF9B">
      <w:pPr>
        <w:ind w:left="360"/>
      </w:pPr>
      <w:r w:rsidRPr="009B20A2">
        <w:t>Antwoord</w:t>
      </w:r>
      <w:r w:rsidR="00CC119B">
        <w:t xml:space="preserve"> 10</w:t>
      </w:r>
      <w:r w:rsidRPr="009B20A2">
        <w:t xml:space="preserve">: </w:t>
      </w:r>
      <w:r w:rsidRPr="009B20A2" w:rsidR="002873F5">
        <w:t>Vanuit</w:t>
      </w:r>
      <w:r w:rsidRPr="009B20A2" w:rsidR="004A6B0D">
        <w:t xml:space="preserve"> het oogpunt van het beschermen van deelnemers is het beleggingsbeleid </w:t>
      </w:r>
      <w:r w:rsidRPr="009B20A2">
        <w:t>belangrijk voor</w:t>
      </w:r>
      <w:r w:rsidRPr="009B20A2" w:rsidR="004A6B0D">
        <w:t xml:space="preserve"> de uiteindelijke pensioenuitkeringen van de deelnemers. </w:t>
      </w:r>
      <w:r w:rsidRPr="009B20A2">
        <w:t>Daarom wordt voor de bepaling van het beleggingsprofiel</w:t>
      </w:r>
      <w:r w:rsidRPr="00AF054B">
        <w:t xml:space="preserve"> uitgegaan van een beleggingsprofiel dat in de verzekerde regeling wordt aangeboden en waarbij redelijkerwijs kan worden verondersteld dat een aanzienlijk deel van de werknemers hiervoor kan kiezen. Dit kan bijvoorbeeld de gekozen default betreffen of een beleggingsprofiel dat aansluit bij de </w:t>
      </w:r>
      <w:r w:rsidRPr="00A36A60">
        <w:rPr>
          <w:i/>
          <w:iCs/>
        </w:rPr>
        <w:t>life cycle</w:t>
      </w:r>
      <w:r w:rsidRPr="00AF054B">
        <w:t xml:space="preserve"> van een pensioenfonds waarbij de gedispenseerde werkgever aannemelijk maakt dat een aanzienlijk deel</w:t>
      </w:r>
      <w:r w:rsidR="00373DF0">
        <w:t xml:space="preserve"> van de</w:t>
      </w:r>
      <w:r w:rsidRPr="00AF054B">
        <w:t xml:space="preserve"> werknemers hiervoor kan kiezen. </w:t>
      </w:r>
      <w:r w:rsidRPr="009B20A2" w:rsidR="004A6B0D">
        <w:t>Juist in een stelsel met premieregelingen zijn de ingelegde premie</w:t>
      </w:r>
      <w:r w:rsidRPr="009B20A2" w:rsidR="002873F5">
        <w:t>s</w:t>
      </w:r>
      <w:r w:rsidRPr="009B20A2" w:rsidR="004A6B0D">
        <w:t xml:space="preserve"> in combinatie met het gevoerde beleggingsbeleid de belangrijkste factoren die </w:t>
      </w:r>
      <w:r w:rsidRPr="009B20A2" w:rsidR="002873F5">
        <w:t>leiden tot de</w:t>
      </w:r>
      <w:r w:rsidRPr="009B20A2" w:rsidR="004A6B0D">
        <w:t xml:space="preserve"> uiteindelijke uitkering voor de deelnemer. Bij het niet meenemen van het beleggingsbeleid in de actuariële toetsing is deze toetsing niet zuiver</w:t>
      </w:r>
      <w:r w:rsidRPr="009B20A2" w:rsidR="002873F5">
        <w:t xml:space="preserve"> en daarmee overbodig</w:t>
      </w:r>
      <w:r w:rsidRPr="009B20A2" w:rsidR="004A6B0D">
        <w:t xml:space="preserve">. </w:t>
      </w:r>
    </w:p>
    <w:p w:rsidR="00273FC4" w:rsidP="004A6B0D" w:rsidRDefault="00273FC4" w14:paraId="779F8A60" w14:textId="3E41F4CD">
      <w:pPr>
        <w:ind w:left="360"/>
      </w:pPr>
    </w:p>
    <w:p w:rsidR="00D25AC9" w:rsidRDefault="00B04886" w14:paraId="0FFCA620" w14:textId="77777777">
      <w:pPr>
        <w:numPr>
          <w:ilvl w:val="0"/>
          <w:numId w:val="4"/>
        </w:numPr>
        <w:ind w:left="360"/>
      </w:pPr>
      <w:r>
        <w:t>De voorgestelde wijzigingen zijn impactvol voor de systematiek van vrijstellingen, waarom is er gekozen voor een ministeriële regeling? Bent u bereid dat anders te doen zodat er ruimte is voor advies?</w:t>
      </w:r>
    </w:p>
    <w:p w:rsidR="006D5D6A" w:rsidP="006D5D6A" w:rsidRDefault="006D5D6A" w14:paraId="52AEDA1C" w14:textId="77777777">
      <w:pPr>
        <w:numPr>
          <w:ilvl w:val="0"/>
          <w:numId w:val="4"/>
        </w:numPr>
        <w:ind w:left="360"/>
      </w:pPr>
      <w:r>
        <w:t>Als u toch voornemens bent de actuariële gelijkwaardigheidstoets te handhaven, deelt u dan de mening dat het gezien de potentiële impact en het controversiële karakter hiervan, passend zou zijn hierover met de Kamer te overleggen?</w:t>
      </w:r>
    </w:p>
    <w:p w:rsidR="004A6B0D" w:rsidP="004A6B0D" w:rsidRDefault="004A6B0D" w14:paraId="70392BEF" w14:textId="77777777">
      <w:pPr>
        <w:ind w:left="360"/>
      </w:pPr>
    </w:p>
    <w:p w:rsidR="00273FC4" w:rsidP="00373DF0" w:rsidRDefault="001C6315" w14:paraId="3E8C8C32" w14:textId="7AECC23E">
      <w:pPr>
        <w:ind w:left="360"/>
      </w:pPr>
      <w:r w:rsidRPr="009B20A2">
        <w:t>Antwoord</w:t>
      </w:r>
      <w:r w:rsidR="00CC119B">
        <w:t xml:space="preserve"> 11 en 12</w:t>
      </w:r>
      <w:r w:rsidRPr="009B20A2">
        <w:t xml:space="preserve">: </w:t>
      </w:r>
      <w:r w:rsidR="004A5BEB">
        <w:t>B</w:t>
      </w:r>
      <w:r w:rsidRPr="009B20A2" w:rsidR="004A6B0D">
        <w:t xml:space="preserve">ij de behandeling van de Wet toekomst pensioenen en het onderliggende Besluit toekomst pensioenen is </w:t>
      </w:r>
      <w:r w:rsidR="004A5BEB">
        <w:t xml:space="preserve">aan </w:t>
      </w:r>
      <w:r w:rsidR="002630E5">
        <w:t>de Tweede Kamer</w:t>
      </w:r>
      <w:r w:rsidR="004A5BEB">
        <w:t xml:space="preserve"> voorgelegd</w:t>
      </w:r>
      <w:r w:rsidRPr="009B20A2" w:rsidR="004A5BEB">
        <w:t xml:space="preserve"> </w:t>
      </w:r>
      <w:r w:rsidR="004A5BEB">
        <w:t xml:space="preserve">dat de technische grondslagen voor </w:t>
      </w:r>
      <w:r w:rsidRPr="009B20A2" w:rsidR="004A6B0D">
        <w:t xml:space="preserve">de berekeningen van </w:t>
      </w:r>
      <w:r w:rsidRPr="009B20A2" w:rsidR="008F192C">
        <w:t>actuariële</w:t>
      </w:r>
      <w:r w:rsidRPr="009B20A2" w:rsidR="004A6B0D">
        <w:t xml:space="preserve"> en </w:t>
      </w:r>
      <w:r w:rsidRPr="009B20A2" w:rsidR="008F192C">
        <w:t>financiële</w:t>
      </w:r>
      <w:r w:rsidRPr="009B20A2" w:rsidR="004A6B0D">
        <w:t xml:space="preserve"> gelijkwaardigheid zouden worden verplaatst van de bijlages van het Vrijstellings- en boetebesluit naar de (nieuwe) Regeling vrijstellingen Wet </w:t>
      </w:r>
      <w:r w:rsidR="00373DF0">
        <w:t>B</w:t>
      </w:r>
      <w:r w:rsidRPr="009B20A2" w:rsidR="004A6B0D">
        <w:t>pf 2000</w:t>
      </w:r>
      <w:r w:rsidRPr="009B20A2" w:rsidR="008F192C">
        <w:rPr>
          <w:rStyle w:val="Voetnootmarkering"/>
        </w:rPr>
        <w:footnoteReference w:id="3"/>
      </w:r>
      <w:r w:rsidR="00373DF0">
        <w:t xml:space="preserve"> </w:t>
      </w:r>
      <w:r w:rsidRPr="009B20A2" w:rsidR="008F192C">
        <w:rPr>
          <w:rStyle w:val="Voetnootmarkering"/>
        </w:rPr>
        <w:footnoteReference w:id="4"/>
      </w:r>
      <w:r w:rsidRPr="009B20A2" w:rsidR="008F192C">
        <w:t>.</w:t>
      </w:r>
      <w:r w:rsidRPr="009B20A2" w:rsidR="006D5D6A">
        <w:t xml:space="preserve"> </w:t>
      </w:r>
      <w:r w:rsidRPr="009B20A2" w:rsidR="00677C43">
        <w:t>D</w:t>
      </w:r>
      <w:r w:rsidRPr="009B20A2" w:rsidR="006D5D6A">
        <w:t>eze berekeningen</w:t>
      </w:r>
      <w:r w:rsidRPr="009B20A2" w:rsidR="00677C43">
        <w:t xml:space="preserve"> zijn</w:t>
      </w:r>
      <w:r w:rsidRPr="009B20A2" w:rsidR="006D5D6A">
        <w:t xml:space="preserve"> naar het niveau van </w:t>
      </w:r>
      <w:r w:rsidRPr="009B20A2" w:rsidR="008A1135">
        <w:t xml:space="preserve">ministeriële </w:t>
      </w:r>
      <w:r w:rsidRPr="009B20A2" w:rsidR="00677C43">
        <w:t>r</w:t>
      </w:r>
      <w:r w:rsidRPr="009B20A2" w:rsidR="006D5D6A">
        <w:t xml:space="preserve">egeling verplaatst, </w:t>
      </w:r>
      <w:r w:rsidRPr="009B20A2" w:rsidR="00677C43">
        <w:t>omdat</w:t>
      </w:r>
      <w:r w:rsidRPr="009B20A2" w:rsidR="006D5D6A">
        <w:t xml:space="preserve"> op deze manier toekomstige wijzigingen in de rekenregels eenvoudiger kunnen worden doorgevoerd</w:t>
      </w:r>
      <w:r w:rsidRPr="009B20A2" w:rsidR="007A7C05">
        <w:t>, waardoor</w:t>
      </w:r>
      <w:r w:rsidRPr="009B20A2" w:rsidR="008A1135">
        <w:t xml:space="preserve"> berekeningen beter aan</w:t>
      </w:r>
      <w:r w:rsidRPr="009B20A2" w:rsidR="007A7C05">
        <w:t xml:space="preserve">sluiten </w:t>
      </w:r>
      <w:r w:rsidRPr="009B20A2" w:rsidR="008A1135">
        <w:t>bij</w:t>
      </w:r>
      <w:r w:rsidRPr="009B20A2" w:rsidR="006D5D6A">
        <w:t xml:space="preserve"> de geldende markt- en economische omstandigheden. Ook kunnen </w:t>
      </w:r>
      <w:r w:rsidRPr="009B20A2" w:rsidR="00F05686">
        <w:t>reken</w:t>
      </w:r>
      <w:r w:rsidRPr="009B20A2" w:rsidR="006D5D6A">
        <w:t xml:space="preserve">regels </w:t>
      </w:r>
      <w:r w:rsidRPr="009B20A2" w:rsidR="001643B7">
        <w:t>die niet meer worden gebruikt</w:t>
      </w:r>
      <w:r w:rsidRPr="009B20A2" w:rsidR="007A7C05">
        <w:t xml:space="preserve"> of niet meer actueel zijn,</w:t>
      </w:r>
      <w:r w:rsidRPr="009B20A2" w:rsidR="006D5D6A">
        <w:t xml:space="preserve"> worden aangepast.</w:t>
      </w:r>
      <w:r w:rsidR="004A5BEB">
        <w:t xml:space="preserve"> Het is voor</w:t>
      </w:r>
      <w:r w:rsidRPr="009B20A2" w:rsidR="006D5D6A">
        <w:t xml:space="preserve"> dit type</w:t>
      </w:r>
      <w:r w:rsidR="004A5BEB">
        <w:t xml:space="preserve"> technische grondslagen</w:t>
      </w:r>
      <w:r w:rsidRPr="009B20A2" w:rsidR="006D5D6A">
        <w:t xml:space="preserve"> gebruikelijk dat zij op het niveau van de ministeri</w:t>
      </w:r>
      <w:r w:rsidRPr="009B20A2" w:rsidR="0030686C">
        <w:t>ë</w:t>
      </w:r>
      <w:r w:rsidRPr="009B20A2" w:rsidR="006D5D6A">
        <w:t>le regeling worden vastgesteld</w:t>
      </w:r>
      <w:r w:rsidR="004A5BEB">
        <w:t>. Bij uitwerking van de ministeriele regeling zijn sectorpartijen betrokken geweest voor advies en is breed consultatie opgehaald waar diverse experts en instanties inbreng hebben geleverd.</w:t>
      </w:r>
    </w:p>
    <w:p w:rsidR="00273FC4" w:rsidP="006D5D6A" w:rsidRDefault="00273FC4" w14:paraId="30EB35CD" w14:textId="18F24C53">
      <w:pPr>
        <w:ind w:left="360"/>
      </w:pPr>
    </w:p>
    <w:p w:rsidR="006D5D6A" w:rsidP="006D5D6A" w:rsidRDefault="00B04886" w14:paraId="7D520A0A" w14:textId="77777777">
      <w:pPr>
        <w:numPr>
          <w:ilvl w:val="0"/>
          <w:numId w:val="4"/>
        </w:numPr>
        <w:ind w:left="360"/>
      </w:pPr>
      <w:r>
        <w:t>Bent u, gezien de breed geuite zorgen, bereid om advies te vragen aan het Actuarieel Genootschap, toezichthouders en de Raad van State, alvorens de Regeling te publiceren?</w:t>
      </w:r>
    </w:p>
    <w:p w:rsidR="006D5D6A" w:rsidP="006D5D6A" w:rsidRDefault="006D5D6A" w14:paraId="02B524E4" w14:textId="77777777">
      <w:pPr>
        <w:ind w:left="360"/>
      </w:pPr>
    </w:p>
    <w:p w:rsidRPr="009B20A2" w:rsidR="00346A95" w:rsidP="006D5D6A" w:rsidRDefault="00AF054B" w14:paraId="089C5CE5" w14:textId="6BC51437">
      <w:pPr>
        <w:ind w:left="360"/>
      </w:pPr>
      <w:r w:rsidRPr="009B20A2">
        <w:t>Antwoord</w:t>
      </w:r>
      <w:r w:rsidR="00CC119B">
        <w:t xml:space="preserve"> 13</w:t>
      </w:r>
      <w:r w:rsidRPr="009B20A2">
        <w:t xml:space="preserve">: </w:t>
      </w:r>
      <w:r w:rsidRPr="009B20A2" w:rsidR="009B7699">
        <w:t>Het is ongebruikelijk dat d</w:t>
      </w:r>
      <w:r w:rsidRPr="009B20A2" w:rsidR="006D5D6A">
        <w:t>e</w:t>
      </w:r>
      <w:r w:rsidRPr="009B20A2" w:rsidR="00F838BF">
        <w:t xml:space="preserve"> Afdeling advisering van de</w:t>
      </w:r>
      <w:r w:rsidRPr="009B20A2" w:rsidR="006D5D6A">
        <w:t xml:space="preserve"> Raad van State </w:t>
      </w:r>
      <w:r w:rsidRPr="009B20A2" w:rsidR="009B7699">
        <w:t>een oordeel geeft</w:t>
      </w:r>
      <w:r w:rsidRPr="009B20A2" w:rsidR="006D5D6A">
        <w:t xml:space="preserve"> over ministeri</w:t>
      </w:r>
      <w:r w:rsidRPr="009B20A2" w:rsidR="0030686C">
        <w:t>ë</w:t>
      </w:r>
      <w:r w:rsidRPr="009B20A2" w:rsidR="006D5D6A">
        <w:t>le regelingen.</w:t>
      </w:r>
      <w:r w:rsidRPr="009B20A2" w:rsidR="00F838BF">
        <w:t xml:space="preserve"> </w:t>
      </w:r>
      <w:r w:rsidR="000B3409">
        <w:t>Er is geen</w:t>
      </w:r>
      <w:r w:rsidRPr="009B20A2" w:rsidR="00F838BF">
        <w:t xml:space="preserve"> reden om dat in dit geval wel te vragen.</w:t>
      </w:r>
      <w:r w:rsidRPr="009B20A2" w:rsidR="00346A95">
        <w:t xml:space="preserve"> </w:t>
      </w:r>
      <w:r w:rsidR="000B3409">
        <w:t>D</w:t>
      </w:r>
      <w:r w:rsidRPr="009B20A2" w:rsidR="00E822DD">
        <w:t>e Raad van State</w:t>
      </w:r>
      <w:r w:rsidR="000B3409">
        <w:t xml:space="preserve"> heeft</w:t>
      </w:r>
      <w:r w:rsidRPr="009B20A2" w:rsidR="00E822DD">
        <w:t xml:space="preserve"> </w:t>
      </w:r>
      <w:r w:rsidR="00373DF0">
        <w:t>reeds</w:t>
      </w:r>
      <w:r w:rsidRPr="009B20A2" w:rsidR="00E822DD">
        <w:t xml:space="preserve"> een advies gegeven met een dictum A op zowel </w:t>
      </w:r>
      <w:r w:rsidRPr="009B20A2" w:rsidR="006D5D6A">
        <w:t xml:space="preserve">het Besluit toekomst pensioenen als </w:t>
      </w:r>
      <w:r w:rsidRPr="009B20A2" w:rsidR="000C4FDB">
        <w:t xml:space="preserve">op </w:t>
      </w:r>
      <w:r w:rsidRPr="009B20A2" w:rsidR="006D5D6A">
        <w:t xml:space="preserve">de </w:t>
      </w:r>
      <w:r w:rsidRPr="009B20A2" w:rsidR="000C4FDB">
        <w:t>w</w:t>
      </w:r>
      <w:r w:rsidRPr="009B20A2" w:rsidR="006D5D6A">
        <w:t xml:space="preserve">ijziging </w:t>
      </w:r>
      <w:r w:rsidRPr="009B20A2" w:rsidR="000C4FDB">
        <w:t>van het V</w:t>
      </w:r>
      <w:r w:rsidRPr="009B20A2" w:rsidR="006D5D6A">
        <w:t xml:space="preserve">rijstellings- en boetebesluit Wet </w:t>
      </w:r>
      <w:r w:rsidR="00373DF0">
        <w:t>B</w:t>
      </w:r>
      <w:r w:rsidRPr="009B20A2" w:rsidR="006D5D6A">
        <w:t xml:space="preserve">pf 2000, </w:t>
      </w:r>
      <w:r w:rsidRPr="009B20A2" w:rsidR="006D5D6A">
        <w:lastRenderedPageBreak/>
        <w:t xml:space="preserve">waarin ook wordt </w:t>
      </w:r>
      <w:r w:rsidRPr="009B20A2" w:rsidR="00E822DD">
        <w:t>vermeld</w:t>
      </w:r>
      <w:r w:rsidRPr="009B20A2" w:rsidR="006D5D6A">
        <w:t xml:space="preserve"> dat er actuarieel getoetst blijft worden en wordt verwezen naar de Regeling vrijstellingen </w:t>
      </w:r>
      <w:r w:rsidR="00373DF0">
        <w:t>W</w:t>
      </w:r>
      <w:r w:rsidRPr="009B20A2" w:rsidR="006D5D6A">
        <w:t>et Bpf 2000</w:t>
      </w:r>
      <w:r w:rsidRPr="009B20A2" w:rsidR="00E822DD">
        <w:t xml:space="preserve">. </w:t>
      </w:r>
    </w:p>
    <w:p w:rsidRPr="009B20A2" w:rsidR="007A7C05" w:rsidP="006D5D6A" w:rsidRDefault="007A7C05" w14:paraId="6C4E7DD1" w14:textId="77777777">
      <w:pPr>
        <w:ind w:left="360"/>
      </w:pPr>
    </w:p>
    <w:p w:rsidRPr="009B20A2" w:rsidR="00273FC4" w:rsidP="006D5D6A" w:rsidRDefault="002630E5" w14:paraId="4A7BD8EE" w14:textId="7B691A4F">
      <w:pPr>
        <w:ind w:left="360"/>
      </w:pPr>
      <w:r>
        <w:t>T</w:t>
      </w:r>
      <w:r w:rsidRPr="009B20A2" w:rsidR="00E822DD">
        <w:t>oezichthouders</w:t>
      </w:r>
      <w:r>
        <w:t xml:space="preserve"> AFM en DNB</w:t>
      </w:r>
      <w:r w:rsidRPr="009B20A2" w:rsidR="00E822DD">
        <w:t xml:space="preserve"> hebben voor deze </w:t>
      </w:r>
      <w:r w:rsidRPr="009B20A2" w:rsidR="000C4FDB">
        <w:t>w</w:t>
      </w:r>
      <w:r w:rsidRPr="009B20A2" w:rsidR="00E822DD">
        <w:t>ijzigingsregeling geen formele taak of verplichting</w:t>
      </w:r>
      <w:r w:rsidR="00373DF0">
        <w:t>. Het ligt daarom niet in de rede om aan deze partijen een toezichttoets te vragen.</w:t>
      </w:r>
      <w:r w:rsidRPr="009B20A2" w:rsidR="00E822DD">
        <w:t xml:space="preserve"> </w:t>
      </w:r>
      <w:r w:rsidRPr="009B20A2" w:rsidR="00CB077A">
        <w:t>Ook h</w:t>
      </w:r>
      <w:r w:rsidRPr="009B20A2" w:rsidR="00E822DD">
        <w:t xml:space="preserve">et Actuarieel Genootschap heeft in dezen geen formele rol, maar stond het vrij om te reageren </w:t>
      </w:r>
      <w:r w:rsidRPr="009B20A2" w:rsidR="00CB077A">
        <w:t xml:space="preserve">op </w:t>
      </w:r>
      <w:r w:rsidRPr="009B20A2" w:rsidR="00E822DD">
        <w:t xml:space="preserve">de internetconsultatie. </w:t>
      </w:r>
      <w:r w:rsidR="00A36A60">
        <w:t>Diverse actuariële experts hebben dat ook gedaan.</w:t>
      </w:r>
      <w:r w:rsidR="00373DF0">
        <w:t xml:space="preserve"> Deze reacties zijn gewogen en betrokken bij de wijzingsvoorstellen.</w:t>
      </w:r>
    </w:p>
    <w:p w:rsidRPr="009B20A2" w:rsidR="00E822DD" w:rsidP="006D5D6A" w:rsidRDefault="00E822DD" w14:paraId="75580FC6" w14:textId="77777777">
      <w:pPr>
        <w:ind w:left="360"/>
      </w:pPr>
    </w:p>
    <w:p w:rsidR="00E822DD" w:rsidP="006D5D6A" w:rsidRDefault="00E822DD" w14:paraId="17635CB4" w14:textId="77777777">
      <w:pPr>
        <w:ind w:left="360"/>
      </w:pPr>
    </w:p>
    <w:p w:rsidR="00273FC4" w:rsidRDefault="00B04886" w14:paraId="0C3E0C0A" w14:textId="77777777">
      <w:pPr>
        <w:numPr>
          <w:ilvl w:val="0"/>
          <w:numId w:val="4"/>
        </w:numPr>
        <w:ind w:left="360"/>
      </w:pPr>
      <w:r>
        <w:t>Kunt u deze vragen 1 voor 1 en binnen 2 weken beantwoorden, in ieder geval voordat u de gewijzigde Regeling publiceert?</w:t>
      </w:r>
      <w:r>
        <w:br/>
      </w:r>
    </w:p>
    <w:p w:rsidRPr="00AF054B" w:rsidR="00273FC4" w:rsidRDefault="00AF054B" w14:paraId="43608C7C" w14:textId="31381904">
      <w:r w:rsidRPr="00AF054B">
        <w:t>Antwoord</w:t>
      </w:r>
      <w:r w:rsidR="00CC3112">
        <w:t xml:space="preserve"> 14</w:t>
      </w:r>
      <w:r w:rsidRPr="00AF054B">
        <w:t xml:space="preserve">: </w:t>
      </w:r>
      <w:r w:rsidRPr="009B20A2" w:rsidR="0030686C">
        <w:t xml:space="preserve">Deze beantwoording wordt voor de publicatie van de gewijzigde Regeling gepubliceerd. </w:t>
      </w:r>
      <w:r w:rsidR="004A5BEB">
        <w:t>Naar verwachting zal de Regeling begin oktober worden gepubliceerd.</w:t>
      </w:r>
      <w:r w:rsidRPr="00AF054B" w:rsidR="00B04886">
        <w:br/>
      </w:r>
    </w:p>
    <w:p w:rsidR="00273FC4" w:rsidRDefault="00B04886" w14:paraId="69FA5B5E" w14:textId="77777777">
      <w:r>
        <w:t> </w:t>
      </w:r>
      <w:r>
        <w:br/>
      </w:r>
    </w:p>
    <w:p w:rsidR="00273FC4" w:rsidRDefault="00B04886" w14:paraId="44901BAF" w14:textId="77777777">
      <w:r>
        <w:t>1) Ondernemen.nl, 11 augustus 2025, 'Vrijstelling om aan te sluiten bij een verplicht bedrijfstakpensioenfonds: laat de actuariële gelijkwaardigheidstoets los' (https://www.ondernemen.nl/artikelen/vrijstelling-om-aan-te-sluiten-bij-een-verplicht-bedrijfstakpensioenfonds-laat-de-actuariele-gelijkwaardigheidstoets-los).</w:t>
      </w:r>
      <w:r>
        <w:br/>
      </w:r>
    </w:p>
    <w:p w:rsidR="00273FC4" w:rsidRDefault="00B04886" w14:paraId="6782F00C" w14:textId="77777777">
      <w:r>
        <w:t>2) PensioenPro, 7 augustus 2025, 'Brede kritiek op uitwerking vrijstellingsregels voor verplichtgesteld bpf' (https://pensioenpro.nl/brede-kritiek-op-uitwerking-vrijstellingsregels-voor-verplichtgesteld-bpf/).</w:t>
      </w:r>
      <w:r>
        <w:br/>
      </w:r>
    </w:p>
    <w:p w:rsidR="00273FC4" w:rsidRDefault="00B04886" w14:paraId="253FF6A5" w14:textId="77777777">
      <w:r>
        <w:t>3) Internetconsultatie Regeling van de Minister van Sociale Zaken en Werkgelegenheid houdende wijziging van de Regeling vrijstellingen Wet Bpf 2000 in verband met aanpassingen financiële en actuariële gelijkwaardigheid (https://www.internetconsultatie.nl/wijzigingvanderegelingvrijstellingenwetbpf/b1).</w:t>
      </w:r>
      <w:r>
        <w:br/>
      </w:r>
    </w:p>
    <w:sectPr w:rsidR="00273FC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4F5E2" w14:textId="77777777" w:rsidR="00E90BD3" w:rsidRDefault="00E90BD3" w:rsidP="0086405D">
      <w:r>
        <w:separator/>
      </w:r>
    </w:p>
  </w:endnote>
  <w:endnote w:type="continuationSeparator" w:id="0">
    <w:p w14:paraId="54A88D0F" w14:textId="77777777" w:rsidR="00E90BD3" w:rsidRDefault="00E90BD3" w:rsidP="0086405D">
      <w:r>
        <w:continuationSeparator/>
      </w:r>
    </w:p>
  </w:endnote>
  <w:endnote w:type="continuationNotice" w:id="1">
    <w:p w14:paraId="48B3F2D0" w14:textId="77777777" w:rsidR="00E90BD3" w:rsidRDefault="00E90B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7A28D" w14:textId="77777777" w:rsidR="00EA42C2" w:rsidRDefault="00EA42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361544"/>
      <w:docPartObj>
        <w:docPartGallery w:val="Page Numbers (Bottom of Page)"/>
        <w:docPartUnique/>
      </w:docPartObj>
    </w:sdtPr>
    <w:sdtEndPr/>
    <w:sdtContent>
      <w:p w14:paraId="101E3584" w14:textId="32365FA6" w:rsidR="00CC119B" w:rsidRDefault="00CC119B">
        <w:pPr>
          <w:pStyle w:val="Voettekst"/>
          <w:jc w:val="right"/>
        </w:pPr>
        <w:r>
          <w:fldChar w:fldCharType="begin"/>
        </w:r>
        <w:r>
          <w:instrText>PAGE   \* MERGEFORMAT</w:instrText>
        </w:r>
        <w:r>
          <w:fldChar w:fldCharType="separate"/>
        </w:r>
        <w:r>
          <w:t>2</w:t>
        </w:r>
        <w:r>
          <w:fldChar w:fldCharType="end"/>
        </w:r>
      </w:p>
    </w:sdtContent>
  </w:sdt>
  <w:p w14:paraId="3E3ADF41" w14:textId="77777777" w:rsidR="00B805B9" w:rsidRDefault="00B805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8F9E3" w14:textId="77777777" w:rsidR="00EA42C2" w:rsidRDefault="00EA42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E98B7" w14:textId="77777777" w:rsidR="00E90BD3" w:rsidRDefault="00E90BD3" w:rsidP="0086405D">
      <w:r>
        <w:separator/>
      </w:r>
    </w:p>
  </w:footnote>
  <w:footnote w:type="continuationSeparator" w:id="0">
    <w:p w14:paraId="35AF1234" w14:textId="77777777" w:rsidR="00E90BD3" w:rsidRDefault="00E90BD3" w:rsidP="0086405D">
      <w:r>
        <w:continuationSeparator/>
      </w:r>
    </w:p>
  </w:footnote>
  <w:footnote w:type="continuationNotice" w:id="1">
    <w:p w14:paraId="52CBBB21" w14:textId="77777777" w:rsidR="00E90BD3" w:rsidRDefault="00E90BD3"/>
  </w:footnote>
  <w:footnote w:id="2">
    <w:p w14:paraId="6FF3465B" w14:textId="77777777" w:rsidR="008B789E" w:rsidRDefault="008B789E" w:rsidP="008B789E">
      <w:pPr>
        <w:pStyle w:val="Voetnoottekst"/>
      </w:pPr>
      <w:r>
        <w:rPr>
          <w:rStyle w:val="Voetnootmarkering"/>
        </w:rPr>
        <w:footnoteRef/>
      </w:r>
      <w:r>
        <w:t xml:space="preserve"> </w:t>
      </w:r>
      <w:hyperlink r:id="rId1" w:history="1">
        <w:r w:rsidRPr="00820522">
          <w:rPr>
            <w:rStyle w:val="Hyperlink"/>
          </w:rPr>
          <w:t>Nota naar aanleiding van het verslag Wet toekomst pensioenen | Kamerstuk | Rijksoverheid.nl</w:t>
        </w:r>
      </w:hyperlink>
      <w:r>
        <w:t>, p. 136</w:t>
      </w:r>
    </w:p>
    <w:p w14:paraId="62DEFB3B" w14:textId="77777777" w:rsidR="008B789E" w:rsidRDefault="008B789E" w:rsidP="008B789E">
      <w:pPr>
        <w:pStyle w:val="Voetnoottekst"/>
      </w:pPr>
    </w:p>
  </w:footnote>
  <w:footnote w:id="3">
    <w:p w14:paraId="2F1FAC12" w14:textId="5A3635B2" w:rsidR="008F192C" w:rsidRDefault="008F192C">
      <w:pPr>
        <w:pStyle w:val="Voetnoottekst"/>
      </w:pPr>
      <w:r>
        <w:rPr>
          <w:rStyle w:val="Voetnootmarkering"/>
        </w:rPr>
        <w:footnoteRef/>
      </w:r>
      <w:r>
        <w:t xml:space="preserve"> </w:t>
      </w:r>
      <w:hyperlink r:id="rId2" w:history="1">
        <w:r w:rsidRPr="008F192C">
          <w:rPr>
            <w:rStyle w:val="Hyperlink"/>
          </w:rPr>
          <w:t>Kamerbrief conceptbesluiten wetsvoorstel toekomst pensioenen | Kamerstuk | Rijksoverheid.nl</w:t>
        </w:r>
      </w:hyperlink>
    </w:p>
  </w:footnote>
  <w:footnote w:id="4">
    <w:p w14:paraId="60EEA0A6" w14:textId="0B2D01F0" w:rsidR="008F192C" w:rsidRDefault="008F192C">
      <w:pPr>
        <w:pStyle w:val="Voetnoottekst"/>
      </w:pPr>
      <w:r>
        <w:rPr>
          <w:rStyle w:val="Voetnootmarkering"/>
        </w:rPr>
        <w:footnoteRef/>
      </w:r>
      <w:r>
        <w:t xml:space="preserve"> </w:t>
      </w:r>
      <w:hyperlink r:id="rId3" w:history="1">
        <w:r w:rsidRPr="008F192C">
          <w:rPr>
            <w:rStyle w:val="Hyperlink"/>
          </w:rPr>
          <w:t>Aanbiedingsbrief bij conceptregelingen Wetsvoorstel toekomst pensioenen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8AF1A" w14:textId="77777777" w:rsidR="00EA42C2" w:rsidRDefault="00EA42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6EC78" w14:textId="77777777" w:rsidR="00EA42C2" w:rsidRDefault="00EA42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A0855" w14:textId="77777777" w:rsidR="00EA42C2" w:rsidRDefault="00EA42C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0AF2"/>
    <w:multiLevelType w:val="multilevel"/>
    <w:tmpl w:val="522244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38F7F62"/>
    <w:multiLevelType w:val="hybridMultilevel"/>
    <w:tmpl w:val="31DC306E"/>
    <w:lvl w:ilvl="0" w:tplc="5A70F8F2">
      <w:start w:val="1"/>
      <w:numFmt w:val="bullet"/>
      <w:lvlText w:val=""/>
      <w:lvlJc w:val="left"/>
      <w:pPr>
        <w:ind w:left="720" w:hanging="360"/>
      </w:pPr>
      <w:rPr>
        <w:rFonts w:ascii="Symbol" w:hAnsi="Symbol" w:hint="default"/>
      </w:rPr>
    </w:lvl>
    <w:lvl w:ilvl="1" w:tplc="F83A60A8">
      <w:start w:val="1"/>
      <w:numFmt w:val="bullet"/>
      <w:lvlText w:val="o"/>
      <w:lvlJc w:val="left"/>
      <w:pPr>
        <w:ind w:left="1440" w:hanging="360"/>
      </w:pPr>
      <w:rPr>
        <w:rFonts w:ascii="Courier New" w:hAnsi="Courier New" w:hint="default"/>
      </w:rPr>
    </w:lvl>
    <w:lvl w:ilvl="2" w:tplc="9760AD64">
      <w:start w:val="1"/>
      <w:numFmt w:val="bullet"/>
      <w:lvlText w:val=""/>
      <w:lvlJc w:val="left"/>
      <w:pPr>
        <w:ind w:left="2160" w:hanging="360"/>
      </w:pPr>
      <w:rPr>
        <w:rFonts w:ascii="Wingdings" w:hAnsi="Wingdings" w:hint="default"/>
      </w:rPr>
    </w:lvl>
    <w:lvl w:ilvl="3" w:tplc="77E298BC">
      <w:start w:val="1"/>
      <w:numFmt w:val="bullet"/>
      <w:lvlText w:val=""/>
      <w:lvlJc w:val="left"/>
      <w:pPr>
        <w:ind w:left="2880" w:hanging="360"/>
      </w:pPr>
      <w:rPr>
        <w:rFonts w:ascii="Symbol" w:hAnsi="Symbol" w:hint="default"/>
      </w:rPr>
    </w:lvl>
    <w:lvl w:ilvl="4" w:tplc="E2A220A6">
      <w:start w:val="1"/>
      <w:numFmt w:val="bullet"/>
      <w:lvlText w:val="o"/>
      <w:lvlJc w:val="left"/>
      <w:pPr>
        <w:ind w:left="3600" w:hanging="360"/>
      </w:pPr>
      <w:rPr>
        <w:rFonts w:ascii="Courier New" w:hAnsi="Courier New" w:hint="default"/>
      </w:rPr>
    </w:lvl>
    <w:lvl w:ilvl="5" w:tplc="00401326">
      <w:start w:val="1"/>
      <w:numFmt w:val="bullet"/>
      <w:lvlText w:val=""/>
      <w:lvlJc w:val="left"/>
      <w:pPr>
        <w:ind w:left="4320" w:hanging="360"/>
      </w:pPr>
      <w:rPr>
        <w:rFonts w:ascii="Wingdings" w:hAnsi="Wingdings" w:hint="default"/>
      </w:rPr>
    </w:lvl>
    <w:lvl w:ilvl="6" w:tplc="F0462C08">
      <w:start w:val="1"/>
      <w:numFmt w:val="bullet"/>
      <w:lvlText w:val=""/>
      <w:lvlJc w:val="left"/>
      <w:pPr>
        <w:ind w:left="5040" w:hanging="360"/>
      </w:pPr>
      <w:rPr>
        <w:rFonts w:ascii="Symbol" w:hAnsi="Symbol" w:hint="default"/>
      </w:rPr>
    </w:lvl>
    <w:lvl w:ilvl="7" w:tplc="9020987C">
      <w:start w:val="1"/>
      <w:numFmt w:val="bullet"/>
      <w:lvlText w:val="o"/>
      <w:lvlJc w:val="left"/>
      <w:pPr>
        <w:ind w:left="5760" w:hanging="360"/>
      </w:pPr>
      <w:rPr>
        <w:rFonts w:ascii="Courier New" w:hAnsi="Courier New" w:hint="default"/>
      </w:rPr>
    </w:lvl>
    <w:lvl w:ilvl="8" w:tplc="76725410">
      <w:start w:val="1"/>
      <w:numFmt w:val="bullet"/>
      <w:lvlText w:val=""/>
      <w:lvlJc w:val="left"/>
      <w:pPr>
        <w:ind w:left="6480" w:hanging="360"/>
      </w:pPr>
      <w:rPr>
        <w:rFonts w:ascii="Wingdings" w:hAnsi="Wingdings" w:hint="default"/>
      </w:rPr>
    </w:lvl>
  </w:abstractNum>
  <w:abstractNum w:abstractNumId="2" w15:restartNumberingAfterBreak="0">
    <w:nsid w:val="203138F3"/>
    <w:multiLevelType w:val="hybridMultilevel"/>
    <w:tmpl w:val="28A23EFE"/>
    <w:lvl w:ilvl="0" w:tplc="E6EC9C4C">
      <w:start w:val="1"/>
      <w:numFmt w:val="decimal"/>
      <w:lvlText w:val="%1."/>
      <w:lvlJc w:val="left"/>
      <w:pPr>
        <w:ind w:left="720" w:hanging="360"/>
      </w:pPr>
    </w:lvl>
    <w:lvl w:ilvl="1" w:tplc="BCAE1884">
      <w:start w:val="1"/>
      <w:numFmt w:val="lowerLetter"/>
      <w:lvlText w:val="%2."/>
      <w:lvlJc w:val="left"/>
      <w:pPr>
        <w:ind w:left="1440" w:hanging="360"/>
      </w:pPr>
    </w:lvl>
    <w:lvl w:ilvl="2" w:tplc="D8EEBF32">
      <w:start w:val="1"/>
      <w:numFmt w:val="lowerRoman"/>
      <w:lvlText w:val="%3."/>
      <w:lvlJc w:val="right"/>
      <w:pPr>
        <w:ind w:left="2160" w:hanging="180"/>
      </w:pPr>
    </w:lvl>
    <w:lvl w:ilvl="3" w:tplc="8756895C">
      <w:start w:val="1"/>
      <w:numFmt w:val="decimal"/>
      <w:lvlText w:val="%4."/>
      <w:lvlJc w:val="left"/>
      <w:pPr>
        <w:ind w:left="2880" w:hanging="360"/>
      </w:pPr>
    </w:lvl>
    <w:lvl w:ilvl="4" w:tplc="32CE9634">
      <w:start w:val="1"/>
      <w:numFmt w:val="lowerLetter"/>
      <w:lvlText w:val="%5."/>
      <w:lvlJc w:val="left"/>
      <w:pPr>
        <w:ind w:left="3600" w:hanging="360"/>
      </w:pPr>
    </w:lvl>
    <w:lvl w:ilvl="5" w:tplc="B884156E">
      <w:start w:val="1"/>
      <w:numFmt w:val="lowerRoman"/>
      <w:lvlText w:val="%6."/>
      <w:lvlJc w:val="right"/>
      <w:pPr>
        <w:ind w:left="4320" w:hanging="180"/>
      </w:pPr>
    </w:lvl>
    <w:lvl w:ilvl="6" w:tplc="8782F878">
      <w:start w:val="1"/>
      <w:numFmt w:val="decimal"/>
      <w:lvlText w:val="%7."/>
      <w:lvlJc w:val="left"/>
      <w:pPr>
        <w:ind w:left="5040" w:hanging="360"/>
      </w:pPr>
    </w:lvl>
    <w:lvl w:ilvl="7" w:tplc="B55AB550">
      <w:start w:val="1"/>
      <w:numFmt w:val="lowerLetter"/>
      <w:lvlText w:val="%8."/>
      <w:lvlJc w:val="left"/>
      <w:pPr>
        <w:ind w:left="5760" w:hanging="360"/>
      </w:pPr>
    </w:lvl>
    <w:lvl w:ilvl="8" w:tplc="6164B8FE">
      <w:start w:val="1"/>
      <w:numFmt w:val="lowerRoman"/>
      <w:lvlText w:val="%9."/>
      <w:lvlJc w:val="right"/>
      <w:pPr>
        <w:ind w:left="6480" w:hanging="180"/>
      </w:pPr>
    </w:lvl>
  </w:abstractNum>
  <w:abstractNum w:abstractNumId="3" w15:restartNumberingAfterBreak="0">
    <w:nsid w:val="36842F6C"/>
    <w:multiLevelType w:val="hybridMultilevel"/>
    <w:tmpl w:val="0A42FAD0"/>
    <w:lvl w:ilvl="0" w:tplc="B41C045A">
      <w:start w:val="1"/>
      <w:numFmt w:val="decimal"/>
      <w:lvlText w:val="%1."/>
      <w:lvlJc w:val="left"/>
      <w:pPr>
        <w:ind w:left="1020" w:hanging="360"/>
      </w:pPr>
    </w:lvl>
    <w:lvl w:ilvl="1" w:tplc="57B06FD6">
      <w:start w:val="1"/>
      <w:numFmt w:val="decimal"/>
      <w:lvlText w:val="%2."/>
      <w:lvlJc w:val="left"/>
      <w:pPr>
        <w:ind w:left="1020" w:hanging="360"/>
      </w:pPr>
    </w:lvl>
    <w:lvl w:ilvl="2" w:tplc="EB1E8E7A">
      <w:start w:val="1"/>
      <w:numFmt w:val="decimal"/>
      <w:lvlText w:val="%3."/>
      <w:lvlJc w:val="left"/>
      <w:pPr>
        <w:ind w:left="1020" w:hanging="360"/>
      </w:pPr>
    </w:lvl>
    <w:lvl w:ilvl="3" w:tplc="4E66224E">
      <w:start w:val="1"/>
      <w:numFmt w:val="decimal"/>
      <w:lvlText w:val="%4."/>
      <w:lvlJc w:val="left"/>
      <w:pPr>
        <w:ind w:left="1020" w:hanging="360"/>
      </w:pPr>
    </w:lvl>
    <w:lvl w:ilvl="4" w:tplc="54DA9164">
      <w:start w:val="1"/>
      <w:numFmt w:val="decimal"/>
      <w:lvlText w:val="%5."/>
      <w:lvlJc w:val="left"/>
      <w:pPr>
        <w:ind w:left="1020" w:hanging="360"/>
      </w:pPr>
    </w:lvl>
    <w:lvl w:ilvl="5" w:tplc="469EA9A4">
      <w:start w:val="1"/>
      <w:numFmt w:val="decimal"/>
      <w:lvlText w:val="%6."/>
      <w:lvlJc w:val="left"/>
      <w:pPr>
        <w:ind w:left="1020" w:hanging="360"/>
      </w:pPr>
    </w:lvl>
    <w:lvl w:ilvl="6" w:tplc="89807782">
      <w:start w:val="1"/>
      <w:numFmt w:val="decimal"/>
      <w:lvlText w:val="%7."/>
      <w:lvlJc w:val="left"/>
      <w:pPr>
        <w:ind w:left="1020" w:hanging="360"/>
      </w:pPr>
    </w:lvl>
    <w:lvl w:ilvl="7" w:tplc="58DC4654">
      <w:start w:val="1"/>
      <w:numFmt w:val="decimal"/>
      <w:lvlText w:val="%8."/>
      <w:lvlJc w:val="left"/>
      <w:pPr>
        <w:ind w:left="1020" w:hanging="360"/>
      </w:pPr>
    </w:lvl>
    <w:lvl w:ilvl="8" w:tplc="562C3C36">
      <w:start w:val="1"/>
      <w:numFmt w:val="decimal"/>
      <w:lvlText w:val="%9."/>
      <w:lvlJc w:val="left"/>
      <w:pPr>
        <w:ind w:left="1020" w:hanging="360"/>
      </w:pPr>
    </w:lvl>
  </w:abstractNum>
  <w:abstractNum w:abstractNumId="4" w15:restartNumberingAfterBreak="0">
    <w:nsid w:val="641010D4"/>
    <w:multiLevelType w:val="hybridMultilevel"/>
    <w:tmpl w:val="727EADA8"/>
    <w:lvl w:ilvl="0" w:tplc="78A82CE4">
      <w:start w:val="1"/>
      <w:numFmt w:val="decimal"/>
      <w:lvlText w:val="%1."/>
      <w:lvlJc w:val="left"/>
      <w:pPr>
        <w:ind w:left="720" w:hanging="360"/>
      </w:pPr>
    </w:lvl>
    <w:lvl w:ilvl="1" w:tplc="6CDE04A0">
      <w:start w:val="1"/>
      <w:numFmt w:val="lowerLetter"/>
      <w:lvlText w:val="%2."/>
      <w:lvlJc w:val="left"/>
      <w:pPr>
        <w:ind w:left="1440" w:hanging="360"/>
      </w:pPr>
    </w:lvl>
    <w:lvl w:ilvl="2" w:tplc="D0C2399A">
      <w:start w:val="1"/>
      <w:numFmt w:val="lowerRoman"/>
      <w:lvlText w:val="%3."/>
      <w:lvlJc w:val="right"/>
      <w:pPr>
        <w:ind w:left="2160" w:hanging="180"/>
      </w:pPr>
    </w:lvl>
    <w:lvl w:ilvl="3" w:tplc="391E8792">
      <w:start w:val="1"/>
      <w:numFmt w:val="decimal"/>
      <w:lvlText w:val="%4."/>
      <w:lvlJc w:val="left"/>
      <w:pPr>
        <w:ind w:left="2880" w:hanging="360"/>
      </w:pPr>
    </w:lvl>
    <w:lvl w:ilvl="4" w:tplc="952AF946">
      <w:start w:val="1"/>
      <w:numFmt w:val="lowerLetter"/>
      <w:lvlText w:val="%5."/>
      <w:lvlJc w:val="left"/>
      <w:pPr>
        <w:ind w:left="3600" w:hanging="360"/>
      </w:pPr>
    </w:lvl>
    <w:lvl w:ilvl="5" w:tplc="980A4674">
      <w:start w:val="1"/>
      <w:numFmt w:val="lowerRoman"/>
      <w:lvlText w:val="%6."/>
      <w:lvlJc w:val="right"/>
      <w:pPr>
        <w:ind w:left="4320" w:hanging="180"/>
      </w:pPr>
    </w:lvl>
    <w:lvl w:ilvl="6" w:tplc="48488630">
      <w:start w:val="1"/>
      <w:numFmt w:val="decimal"/>
      <w:lvlText w:val="%7."/>
      <w:lvlJc w:val="left"/>
      <w:pPr>
        <w:ind w:left="5040" w:hanging="360"/>
      </w:pPr>
    </w:lvl>
    <w:lvl w:ilvl="7" w:tplc="51DE2A08">
      <w:start w:val="1"/>
      <w:numFmt w:val="lowerLetter"/>
      <w:lvlText w:val="%8."/>
      <w:lvlJc w:val="left"/>
      <w:pPr>
        <w:ind w:left="5760" w:hanging="360"/>
      </w:pPr>
    </w:lvl>
    <w:lvl w:ilvl="8" w:tplc="ED0CA43C">
      <w:start w:val="1"/>
      <w:numFmt w:val="lowerRoman"/>
      <w:lvlText w:val="%9."/>
      <w:lvlJc w:val="right"/>
      <w:pPr>
        <w:ind w:left="6480" w:hanging="180"/>
      </w:pPr>
    </w:lvl>
  </w:abstractNum>
  <w:num w:numId="1" w16cid:durableId="2073308239">
    <w:abstractNumId w:val="4"/>
  </w:num>
  <w:num w:numId="2" w16cid:durableId="2029135541">
    <w:abstractNumId w:val="2"/>
  </w:num>
  <w:num w:numId="3" w16cid:durableId="369888628">
    <w:abstractNumId w:val="1"/>
  </w:num>
  <w:num w:numId="4" w16cid:durableId="204488725">
    <w:abstractNumId w:val="0"/>
  </w:num>
  <w:num w:numId="5" w16cid:durableId="662854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014598"/>
    <w:rsid w:val="00031EA7"/>
    <w:rsid w:val="000676F8"/>
    <w:rsid w:val="000B3409"/>
    <w:rsid w:val="000C4FDB"/>
    <w:rsid w:val="00120AD1"/>
    <w:rsid w:val="00137BF9"/>
    <w:rsid w:val="001643B7"/>
    <w:rsid w:val="00164922"/>
    <w:rsid w:val="00194D05"/>
    <w:rsid w:val="001A16B3"/>
    <w:rsid w:val="001A596A"/>
    <w:rsid w:val="001B143D"/>
    <w:rsid w:val="001C6315"/>
    <w:rsid w:val="001E1484"/>
    <w:rsid w:val="001E5708"/>
    <w:rsid w:val="00236A9D"/>
    <w:rsid w:val="002630E5"/>
    <w:rsid w:val="002664E2"/>
    <w:rsid w:val="00267422"/>
    <w:rsid w:val="00273FC4"/>
    <w:rsid w:val="00281769"/>
    <w:rsid w:val="00286638"/>
    <w:rsid w:val="0028678F"/>
    <w:rsid w:val="002873F5"/>
    <w:rsid w:val="00297222"/>
    <w:rsid w:val="002978F3"/>
    <w:rsid w:val="002E7C51"/>
    <w:rsid w:val="0030686C"/>
    <w:rsid w:val="0033120B"/>
    <w:rsid w:val="00342221"/>
    <w:rsid w:val="00346A95"/>
    <w:rsid w:val="00373DF0"/>
    <w:rsid w:val="00383A95"/>
    <w:rsid w:val="003A0E19"/>
    <w:rsid w:val="003A3BCB"/>
    <w:rsid w:val="003D7A06"/>
    <w:rsid w:val="00413B31"/>
    <w:rsid w:val="00413C52"/>
    <w:rsid w:val="00444778"/>
    <w:rsid w:val="0049050E"/>
    <w:rsid w:val="00496E62"/>
    <w:rsid w:val="004A5BEB"/>
    <w:rsid w:val="004A6B0D"/>
    <w:rsid w:val="00507957"/>
    <w:rsid w:val="00511552"/>
    <w:rsid w:val="00564197"/>
    <w:rsid w:val="0059257E"/>
    <w:rsid w:val="005E0CB1"/>
    <w:rsid w:val="005E1271"/>
    <w:rsid w:val="005E531B"/>
    <w:rsid w:val="0060632A"/>
    <w:rsid w:val="00621F24"/>
    <w:rsid w:val="00623D88"/>
    <w:rsid w:val="00677C43"/>
    <w:rsid w:val="0069414C"/>
    <w:rsid w:val="006A7F7B"/>
    <w:rsid w:val="006B0221"/>
    <w:rsid w:val="006D5D6A"/>
    <w:rsid w:val="00716F19"/>
    <w:rsid w:val="00721DB2"/>
    <w:rsid w:val="00723B99"/>
    <w:rsid w:val="00724052"/>
    <w:rsid w:val="0074197F"/>
    <w:rsid w:val="00777702"/>
    <w:rsid w:val="0078462B"/>
    <w:rsid w:val="007A7C05"/>
    <w:rsid w:val="00811EF2"/>
    <w:rsid w:val="00820522"/>
    <w:rsid w:val="0086405D"/>
    <w:rsid w:val="0088767F"/>
    <w:rsid w:val="008A1135"/>
    <w:rsid w:val="008A73FF"/>
    <w:rsid w:val="008B57F7"/>
    <w:rsid w:val="008B789E"/>
    <w:rsid w:val="008C01A6"/>
    <w:rsid w:val="008D2824"/>
    <w:rsid w:val="008E7762"/>
    <w:rsid w:val="008F192C"/>
    <w:rsid w:val="008F361B"/>
    <w:rsid w:val="009516D1"/>
    <w:rsid w:val="00951829"/>
    <w:rsid w:val="00953D63"/>
    <w:rsid w:val="00984E93"/>
    <w:rsid w:val="009A3A20"/>
    <w:rsid w:val="009B1346"/>
    <w:rsid w:val="009B20A2"/>
    <w:rsid w:val="009B7699"/>
    <w:rsid w:val="009D701C"/>
    <w:rsid w:val="009F3132"/>
    <w:rsid w:val="00A1608C"/>
    <w:rsid w:val="00A36A60"/>
    <w:rsid w:val="00A43910"/>
    <w:rsid w:val="00A57AF0"/>
    <w:rsid w:val="00A63192"/>
    <w:rsid w:val="00AC4739"/>
    <w:rsid w:val="00AC5A14"/>
    <w:rsid w:val="00AD0920"/>
    <w:rsid w:val="00AD1812"/>
    <w:rsid w:val="00AF054B"/>
    <w:rsid w:val="00AF117E"/>
    <w:rsid w:val="00B04886"/>
    <w:rsid w:val="00B13C74"/>
    <w:rsid w:val="00B459B0"/>
    <w:rsid w:val="00B508A8"/>
    <w:rsid w:val="00B53367"/>
    <w:rsid w:val="00B805B9"/>
    <w:rsid w:val="00BA3E26"/>
    <w:rsid w:val="00BB6B45"/>
    <w:rsid w:val="00BC0B53"/>
    <w:rsid w:val="00BF014A"/>
    <w:rsid w:val="00C028F8"/>
    <w:rsid w:val="00CA4F27"/>
    <w:rsid w:val="00CB077A"/>
    <w:rsid w:val="00CC119B"/>
    <w:rsid w:val="00CC3112"/>
    <w:rsid w:val="00CD15BF"/>
    <w:rsid w:val="00CD53EA"/>
    <w:rsid w:val="00CF47E8"/>
    <w:rsid w:val="00D01F70"/>
    <w:rsid w:val="00D25AC9"/>
    <w:rsid w:val="00D31C5D"/>
    <w:rsid w:val="00D3277B"/>
    <w:rsid w:val="00D34BD4"/>
    <w:rsid w:val="00D36083"/>
    <w:rsid w:val="00D47FED"/>
    <w:rsid w:val="00D71BF1"/>
    <w:rsid w:val="00E43135"/>
    <w:rsid w:val="00E71A80"/>
    <w:rsid w:val="00E822DD"/>
    <w:rsid w:val="00E83DD0"/>
    <w:rsid w:val="00E90BD3"/>
    <w:rsid w:val="00EA2C71"/>
    <w:rsid w:val="00EA42C2"/>
    <w:rsid w:val="00ED3C7C"/>
    <w:rsid w:val="00F05686"/>
    <w:rsid w:val="00F30DBE"/>
    <w:rsid w:val="00F3402B"/>
    <w:rsid w:val="00F3786B"/>
    <w:rsid w:val="00F523F5"/>
    <w:rsid w:val="00F66DE6"/>
    <w:rsid w:val="00F8274A"/>
    <w:rsid w:val="00F838BF"/>
    <w:rsid w:val="00FC1BA3"/>
    <w:rsid w:val="00FE2FA7"/>
    <w:rsid w:val="00FF23C3"/>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E0EA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pPr>
      <w:spacing w:before="100" w:beforeAutospacing="1" w:after="100" w:afterAutospacing="1"/>
    </w:pPr>
  </w:style>
  <w:style w:type="character" w:styleId="Nadruk">
    <w:name w:val="Emphasis"/>
    <w:uiPriority w:val="20"/>
    <w:qFormat/>
    <w:rPr>
      <w:i/>
      <w:iCs/>
    </w:rPr>
  </w:style>
  <w:style w:type="paragraph" w:styleId="Voetnoottekst">
    <w:name w:val="footnote text"/>
    <w:basedOn w:val="Standaard"/>
    <w:link w:val="VoetnoottekstChar"/>
    <w:uiPriority w:val="99"/>
    <w:semiHidden/>
    <w:unhideWhenUsed/>
    <w:rsid w:val="0086405D"/>
    <w:rPr>
      <w:sz w:val="20"/>
      <w:szCs w:val="20"/>
    </w:rPr>
  </w:style>
  <w:style w:type="character" w:customStyle="1" w:styleId="VoetnoottekstChar">
    <w:name w:val="Voetnoottekst Char"/>
    <w:basedOn w:val="Standaardalinea-lettertype"/>
    <w:link w:val="Voetnoottekst"/>
    <w:uiPriority w:val="99"/>
    <w:semiHidden/>
    <w:rsid w:val="0086405D"/>
    <w:rPr>
      <w:lang w:eastAsia="nl-NL"/>
    </w:rPr>
  </w:style>
  <w:style w:type="character" w:styleId="Voetnootmarkering">
    <w:name w:val="footnote reference"/>
    <w:basedOn w:val="Standaardalinea-lettertype"/>
    <w:uiPriority w:val="99"/>
    <w:semiHidden/>
    <w:unhideWhenUsed/>
    <w:rsid w:val="0086405D"/>
    <w:rPr>
      <w:vertAlign w:val="superscript"/>
    </w:rPr>
  </w:style>
  <w:style w:type="character" w:styleId="Hyperlink">
    <w:name w:val="Hyperlink"/>
    <w:basedOn w:val="Standaardalinea-lettertype"/>
    <w:uiPriority w:val="99"/>
    <w:unhideWhenUsed/>
    <w:rsid w:val="008F192C"/>
    <w:rPr>
      <w:color w:val="0563C1" w:themeColor="hyperlink"/>
      <w:u w:val="single"/>
    </w:rPr>
  </w:style>
  <w:style w:type="character" w:styleId="Onopgelostemelding">
    <w:name w:val="Unresolved Mention"/>
    <w:basedOn w:val="Standaardalinea-lettertype"/>
    <w:uiPriority w:val="99"/>
    <w:semiHidden/>
    <w:unhideWhenUsed/>
    <w:rsid w:val="008F192C"/>
    <w:rPr>
      <w:color w:val="605E5C"/>
      <w:shd w:val="clear" w:color="auto" w:fill="E1DFDD"/>
    </w:rPr>
  </w:style>
  <w:style w:type="paragraph" w:styleId="Revisie">
    <w:name w:val="Revision"/>
    <w:hidden/>
    <w:uiPriority w:val="99"/>
    <w:semiHidden/>
    <w:rsid w:val="00444778"/>
    <w:rPr>
      <w:sz w:val="24"/>
      <w:szCs w:val="24"/>
      <w:lang w:eastAsia="nl-NL"/>
    </w:rPr>
  </w:style>
  <w:style w:type="character" w:styleId="Verwijzingopmerking">
    <w:name w:val="annotation reference"/>
    <w:basedOn w:val="Standaardalinea-lettertype"/>
    <w:uiPriority w:val="99"/>
    <w:semiHidden/>
    <w:unhideWhenUsed/>
    <w:rsid w:val="00444778"/>
    <w:rPr>
      <w:sz w:val="16"/>
      <w:szCs w:val="16"/>
    </w:rPr>
  </w:style>
  <w:style w:type="paragraph" w:styleId="Tekstopmerking">
    <w:name w:val="annotation text"/>
    <w:basedOn w:val="Standaard"/>
    <w:link w:val="TekstopmerkingChar"/>
    <w:uiPriority w:val="99"/>
    <w:unhideWhenUsed/>
    <w:rsid w:val="00444778"/>
    <w:rPr>
      <w:sz w:val="20"/>
      <w:szCs w:val="20"/>
    </w:rPr>
  </w:style>
  <w:style w:type="character" w:customStyle="1" w:styleId="TekstopmerkingChar">
    <w:name w:val="Tekst opmerking Char"/>
    <w:basedOn w:val="Standaardalinea-lettertype"/>
    <w:link w:val="Tekstopmerking"/>
    <w:uiPriority w:val="99"/>
    <w:rsid w:val="00444778"/>
    <w:rPr>
      <w:lang w:eastAsia="nl-NL"/>
    </w:rPr>
  </w:style>
  <w:style w:type="paragraph" w:styleId="Onderwerpvanopmerking">
    <w:name w:val="annotation subject"/>
    <w:basedOn w:val="Tekstopmerking"/>
    <w:next w:val="Tekstopmerking"/>
    <w:link w:val="OnderwerpvanopmerkingChar"/>
    <w:uiPriority w:val="99"/>
    <w:semiHidden/>
    <w:unhideWhenUsed/>
    <w:rsid w:val="00444778"/>
    <w:rPr>
      <w:b/>
      <w:bCs/>
    </w:rPr>
  </w:style>
  <w:style w:type="character" w:customStyle="1" w:styleId="OnderwerpvanopmerkingChar">
    <w:name w:val="Onderwerp van opmerking Char"/>
    <w:basedOn w:val="TekstopmerkingChar"/>
    <w:link w:val="Onderwerpvanopmerking"/>
    <w:uiPriority w:val="99"/>
    <w:semiHidden/>
    <w:rsid w:val="00444778"/>
    <w:rPr>
      <w:b/>
      <w:bCs/>
      <w:lang w:eastAsia="nl-NL"/>
    </w:rPr>
  </w:style>
  <w:style w:type="paragraph" w:styleId="Koptekst">
    <w:name w:val="header"/>
    <w:basedOn w:val="Standaard"/>
    <w:link w:val="KoptekstChar"/>
    <w:uiPriority w:val="99"/>
    <w:unhideWhenUsed/>
    <w:rsid w:val="00B805B9"/>
    <w:pPr>
      <w:tabs>
        <w:tab w:val="center" w:pos="4536"/>
        <w:tab w:val="right" w:pos="9072"/>
      </w:tabs>
    </w:pPr>
  </w:style>
  <w:style w:type="character" w:customStyle="1" w:styleId="KoptekstChar">
    <w:name w:val="Koptekst Char"/>
    <w:basedOn w:val="Standaardalinea-lettertype"/>
    <w:link w:val="Koptekst"/>
    <w:uiPriority w:val="99"/>
    <w:rsid w:val="00B805B9"/>
    <w:rPr>
      <w:sz w:val="24"/>
      <w:szCs w:val="24"/>
      <w:lang w:eastAsia="nl-NL"/>
    </w:rPr>
  </w:style>
  <w:style w:type="paragraph" w:styleId="Voettekst">
    <w:name w:val="footer"/>
    <w:basedOn w:val="Standaard"/>
    <w:link w:val="VoettekstChar"/>
    <w:uiPriority w:val="99"/>
    <w:unhideWhenUsed/>
    <w:rsid w:val="00B805B9"/>
    <w:pPr>
      <w:tabs>
        <w:tab w:val="center" w:pos="4536"/>
        <w:tab w:val="right" w:pos="9072"/>
      </w:tabs>
    </w:pPr>
  </w:style>
  <w:style w:type="character" w:customStyle="1" w:styleId="VoettekstChar">
    <w:name w:val="Voettekst Char"/>
    <w:basedOn w:val="Standaardalinea-lettertype"/>
    <w:link w:val="Voettekst"/>
    <w:uiPriority w:val="99"/>
    <w:rsid w:val="00B805B9"/>
    <w:rPr>
      <w:sz w:val="24"/>
      <w:szCs w:val="24"/>
      <w:lang w:eastAsia="nl-NL"/>
    </w:rPr>
  </w:style>
  <w:style w:type="paragraph" w:styleId="Lijstalinea">
    <w:name w:val="List Paragraph"/>
    <w:basedOn w:val="Standaard"/>
    <w:uiPriority w:val="34"/>
    <w:qFormat/>
    <w:rsid w:val="006A7F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3/04/20/kamerbrief-conceptregelingen-wetsvoorstel-toekomst-pensioenen" TargetMode="External"/><Relationship Id="rId2" Type="http://schemas.openxmlformats.org/officeDocument/2006/relationships/hyperlink" Target="https://www.rijksoverheid.nl/documenten/kamerstukken/2023/03/23/kamerbrief-conceptbesluiten-wetsvoorstel-toekomst-pensioenen" TargetMode="External"/><Relationship Id="rId1" Type="http://schemas.openxmlformats.org/officeDocument/2006/relationships/hyperlink" Target="https://www.rijksoverheid.nl/documenten/kamerstukken/2023/05/17/nota-naar-aanleiding-van-het-verslag-wet-toekomst-pensioen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2375</ap:Words>
  <ap:Characters>14901</ap:Characters>
  <ap:DocSecurity>0</ap:DocSecurity>
  <ap:Lines>124</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17242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2025-09-29T10:52:00.0000000Z</dcterms:created>
  <dcterms:modified xsi:type="dcterms:W3CDTF">2025-09-29T10:52:00.0000000Z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