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061" w:rsidR="00F00812" w:rsidP="00F75495" w:rsidRDefault="00F00812" w14:paraId="309D204D" w14:textId="77777777">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Geannoteerde agenda van de bijeenkomst</w:t>
      </w:r>
    </w:p>
    <w:p w:rsidRPr="00764061" w:rsidR="00F00812" w:rsidP="00F75495" w:rsidRDefault="00F00812" w14:paraId="16ECF401" w14:textId="77777777">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van de Raad Justitie en Binnenlandse Zaken,</w:t>
      </w:r>
    </w:p>
    <w:p w:rsidRPr="00764061" w:rsidR="00F00812" w:rsidP="00F75495" w:rsidRDefault="00F00812" w14:paraId="1B598F86" w14:textId="28ABFAC1">
      <w:pPr>
        <w:spacing w:after="0" w:line="259" w:lineRule="auto"/>
        <w:rPr>
          <w:rFonts w:ascii="Calibri" w:hAnsi="Calibri" w:eastAsia="Calibri" w:cs="Times New Roman"/>
          <w:kern w:val="0"/>
          <w:sz w:val="22"/>
          <w:szCs w:val="22"/>
          <w14:ligatures w14:val="none"/>
        </w:rPr>
      </w:pPr>
      <w:r w:rsidRPr="00764061">
        <w:rPr>
          <w:rFonts w:ascii="Verdana" w:hAnsi="Verdana" w:eastAsia="Verdana" w:cs="Verdana"/>
          <w:b/>
          <w:bCs/>
          <w:kern w:val="0"/>
          <w14:ligatures w14:val="none"/>
        </w:rPr>
        <w:t>13 en 14 oktober 2025</w:t>
      </w:r>
    </w:p>
    <w:p w:rsidRPr="00764061" w:rsidR="00F00812" w:rsidP="00F75495" w:rsidRDefault="00F00812" w14:paraId="55E3D441" w14:textId="77777777">
      <w:pPr>
        <w:spacing w:after="0" w:line="259" w:lineRule="auto"/>
        <w:rPr>
          <w:rFonts w:ascii="Verdana" w:hAnsi="Verdana" w:eastAsia="Verdana" w:cs="Verdana"/>
          <w:b/>
          <w:bCs/>
        </w:rPr>
      </w:pPr>
    </w:p>
    <w:p w:rsidRPr="00764061" w:rsidR="00F00812" w:rsidP="00F75495" w:rsidRDefault="00F00812" w14:paraId="250DBE0F" w14:textId="3B4E5269">
      <w:pPr>
        <w:numPr>
          <w:ilvl w:val="0"/>
          <w:numId w:val="11"/>
        </w:numPr>
        <w:spacing w:after="0" w:line="259" w:lineRule="auto"/>
        <w:contextualSpacing/>
        <w:rPr>
          <w:rFonts w:ascii="Calibri" w:hAnsi="Calibri" w:eastAsia="Calibri" w:cs="Times New Roman"/>
          <w:sz w:val="22"/>
          <w:szCs w:val="22"/>
        </w:rPr>
      </w:pPr>
      <w:r w:rsidRPr="00764061">
        <w:rPr>
          <w:rFonts w:ascii="Verdana" w:hAnsi="Verdana" w:eastAsia="Verdana" w:cs="Verdana"/>
          <w:b/>
          <w:bCs/>
          <w:kern w:val="0"/>
          <w14:ligatures w14:val="none"/>
        </w:rPr>
        <w:t>Justitie</w:t>
      </w:r>
      <w:r w:rsidRPr="00764061">
        <w:br/>
      </w:r>
    </w:p>
    <w:p w:rsidRPr="00764061" w:rsidR="00151D93" w:rsidP="00F75495" w:rsidRDefault="65DCAC31" w14:paraId="2DAA8EE8" w14:textId="0192156E">
      <w:pPr>
        <w:pStyle w:val="Lijstalinea"/>
        <w:numPr>
          <w:ilvl w:val="3"/>
          <w:numId w:val="11"/>
        </w:numPr>
        <w:spacing w:after="0" w:line="276" w:lineRule="auto"/>
        <w:rPr>
          <w:rFonts w:ascii="Verdana" w:hAnsi="Verdana" w:eastAsia="Verdana" w:cs="Verdana"/>
          <w:b/>
          <w:bCs/>
          <w:i/>
          <w:iCs/>
          <w:sz w:val="18"/>
          <w:szCs w:val="18"/>
        </w:rPr>
      </w:pPr>
      <w:r w:rsidRPr="00764061">
        <w:rPr>
          <w:rFonts w:ascii="Verdana" w:hAnsi="Verdana" w:eastAsia="Verdana" w:cs="Verdana"/>
          <w:b/>
          <w:bCs/>
          <w:sz w:val="18"/>
          <w:szCs w:val="18"/>
        </w:rPr>
        <w:t xml:space="preserve">Ontwikkelingen op het gebied van de rechtsstaat in de justitiële sector </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151D93" w:rsidP="00F75495" w:rsidRDefault="00151D93" w14:paraId="3FDCF11F" w14:textId="77777777">
      <w:pPr>
        <w:pStyle w:val="Lijstalinea"/>
        <w:spacing w:after="0" w:line="276" w:lineRule="auto"/>
        <w:ind w:left="360"/>
        <w:rPr>
          <w:rFonts w:ascii="Verdana" w:hAnsi="Verdana" w:eastAsia="Verdana" w:cs="Verdana"/>
          <w:b/>
          <w:bCs/>
          <w:sz w:val="18"/>
          <w:szCs w:val="18"/>
        </w:rPr>
      </w:pPr>
    </w:p>
    <w:p w:rsidRPr="00764061" w:rsidR="00590114" w:rsidP="00F75495" w:rsidRDefault="0092466F" w14:paraId="3A43519D" w14:textId="7ACD46CC">
      <w:pPr>
        <w:pStyle w:val="Lijstalinea"/>
        <w:spacing w:after="0" w:line="276" w:lineRule="auto"/>
        <w:ind w:left="360"/>
        <w:rPr>
          <w:rFonts w:ascii="Verdana" w:hAnsi="Verdana"/>
          <w:sz w:val="18"/>
          <w:szCs w:val="18"/>
        </w:rPr>
      </w:pPr>
      <w:bookmarkStart w:name="_Hlk209605931" w:id="0"/>
      <w:r w:rsidRPr="00764061">
        <w:rPr>
          <w:rFonts w:ascii="Verdana" w:hAnsi="Verdana"/>
          <w:sz w:val="18"/>
          <w:szCs w:val="18"/>
        </w:rPr>
        <w:t xml:space="preserve">Op dit moment zijn er nog geen </w:t>
      </w:r>
      <w:r w:rsidRPr="00764061" w:rsidR="006547B6">
        <w:rPr>
          <w:rFonts w:ascii="Verdana" w:hAnsi="Verdana"/>
          <w:sz w:val="18"/>
          <w:szCs w:val="18"/>
        </w:rPr>
        <w:t>achtergrond</w:t>
      </w:r>
      <w:r w:rsidRPr="00764061">
        <w:rPr>
          <w:rFonts w:ascii="Verdana" w:hAnsi="Verdana"/>
          <w:sz w:val="18"/>
          <w:szCs w:val="18"/>
        </w:rPr>
        <w:t>stukken beschikbaar</w:t>
      </w:r>
      <w:r w:rsidRPr="00764061" w:rsidR="00CD36A7">
        <w:rPr>
          <w:rFonts w:ascii="Verdana" w:hAnsi="Verdana"/>
          <w:sz w:val="18"/>
          <w:szCs w:val="18"/>
        </w:rPr>
        <w:t xml:space="preserve">. Het kabinet </w:t>
      </w:r>
      <w:r w:rsidRPr="00764061" w:rsidR="00522259">
        <w:rPr>
          <w:rFonts w:ascii="Verdana" w:hAnsi="Verdana"/>
          <w:sz w:val="18"/>
          <w:szCs w:val="18"/>
        </w:rPr>
        <w:t xml:space="preserve">benadrukt </w:t>
      </w:r>
      <w:r w:rsidRPr="00764061" w:rsidR="00CD36A7">
        <w:rPr>
          <w:rFonts w:ascii="Verdana" w:hAnsi="Verdana"/>
          <w:sz w:val="18"/>
          <w:szCs w:val="18"/>
        </w:rPr>
        <w:t xml:space="preserve">dat respect voor de rechtsstaat en fundamentele waarden door lidstaten essentieel is voor een goed functionerende Europese Unie en voor het wederzijdse vertrouwen tussen de lidstaten. </w:t>
      </w:r>
      <w:r w:rsidRPr="00764061" w:rsidR="00D23DAD">
        <w:rPr>
          <w:rFonts w:ascii="Verdana" w:hAnsi="Verdana"/>
          <w:sz w:val="18"/>
          <w:szCs w:val="18"/>
        </w:rPr>
        <w:t xml:space="preserve"> Daarom hecht het</w:t>
      </w:r>
      <w:r w:rsidRPr="00764061">
        <w:rPr>
          <w:rFonts w:ascii="Verdana" w:hAnsi="Verdana"/>
          <w:sz w:val="18"/>
          <w:szCs w:val="18"/>
        </w:rPr>
        <w:t xml:space="preserve"> kabinet eraan dat de Europese Commissie</w:t>
      </w:r>
      <w:r w:rsidRPr="00764061" w:rsidR="0000595E">
        <w:rPr>
          <w:rFonts w:ascii="Verdana" w:hAnsi="Verdana"/>
          <w:sz w:val="18"/>
          <w:szCs w:val="18"/>
        </w:rPr>
        <w:t xml:space="preserve"> (hierna: Commissie)</w:t>
      </w:r>
      <w:r w:rsidRPr="00764061">
        <w:rPr>
          <w:rFonts w:ascii="Verdana" w:hAnsi="Verdana"/>
          <w:sz w:val="18"/>
          <w:szCs w:val="18"/>
        </w:rPr>
        <w:t>, als hoedster van de Verdragen, snel en doelgericht optreedt om terugval te voorkomen en waar nodig corrigerend op te treden, met volledig gebruik van het beschikbare rechtsstaatinstrumentarium. Tegelijkertijd ondersteunt het kabinet verdere versterking van het EU-rechtsstaatinstrumentarium, inclusief het koppelen van d</w:t>
      </w:r>
      <w:r w:rsidRPr="00764061" w:rsidR="00FE1573">
        <w:rPr>
          <w:rFonts w:ascii="Verdana" w:hAnsi="Verdana"/>
          <w:sz w:val="18"/>
          <w:szCs w:val="18"/>
        </w:rPr>
        <w:t>e ontvangst</w:t>
      </w:r>
      <w:r w:rsidRPr="00764061" w:rsidR="00522259">
        <w:rPr>
          <w:rFonts w:ascii="Verdana" w:hAnsi="Verdana"/>
          <w:sz w:val="18"/>
          <w:szCs w:val="18"/>
        </w:rPr>
        <w:t xml:space="preserve"> </w:t>
      </w:r>
      <w:r w:rsidRPr="00764061" w:rsidR="00FE1573">
        <w:rPr>
          <w:rFonts w:ascii="Verdana" w:hAnsi="Verdana"/>
          <w:sz w:val="18"/>
          <w:szCs w:val="18"/>
        </w:rPr>
        <w:t xml:space="preserve">van </w:t>
      </w:r>
      <w:r w:rsidRPr="00764061">
        <w:rPr>
          <w:rFonts w:ascii="Verdana" w:hAnsi="Verdana"/>
          <w:sz w:val="18"/>
          <w:szCs w:val="18"/>
        </w:rPr>
        <w:t>EU-middelen aan de naleving van rechtsstatelijke beginselen en het Handvest van de grondrechten.</w:t>
      </w:r>
      <w:r w:rsidRPr="00764061" w:rsidR="00805B2D">
        <w:rPr>
          <w:rFonts w:ascii="Verdana" w:hAnsi="Verdana"/>
          <w:sz w:val="18"/>
          <w:szCs w:val="18"/>
        </w:rPr>
        <w:t xml:space="preserve"> Ook zet het kabinet in op e</w:t>
      </w:r>
      <w:r w:rsidRPr="00764061" w:rsidR="0045667E">
        <w:rPr>
          <w:rFonts w:ascii="Verdana" w:hAnsi="Verdana"/>
          <w:sz w:val="18"/>
          <w:szCs w:val="18"/>
        </w:rPr>
        <w:t>e</w:t>
      </w:r>
      <w:r w:rsidRPr="00764061" w:rsidR="00805B2D">
        <w:rPr>
          <w:rFonts w:ascii="Verdana" w:hAnsi="Verdana"/>
          <w:sz w:val="18"/>
          <w:szCs w:val="18"/>
        </w:rPr>
        <w:t xml:space="preserve">n structurele rol voor de JBZ-Raad bij de bespreking van het </w:t>
      </w:r>
      <w:r w:rsidRPr="00764061" w:rsidR="0045667E">
        <w:rPr>
          <w:rFonts w:ascii="Verdana" w:hAnsi="Verdana"/>
          <w:sz w:val="18"/>
          <w:szCs w:val="18"/>
        </w:rPr>
        <w:t xml:space="preserve">EU </w:t>
      </w:r>
      <w:r w:rsidRPr="00764061" w:rsidR="00805B2D">
        <w:rPr>
          <w:rFonts w:ascii="Verdana" w:hAnsi="Verdana"/>
          <w:sz w:val="18"/>
          <w:szCs w:val="18"/>
        </w:rPr>
        <w:t>rechtsstaatrapport.</w:t>
      </w:r>
      <w:r w:rsidRPr="00764061" w:rsidR="00522259">
        <w:rPr>
          <w:rFonts w:ascii="Verdana" w:hAnsi="Verdana"/>
          <w:sz w:val="18"/>
          <w:szCs w:val="18"/>
        </w:rPr>
        <w:t xml:space="preserve"> Nederland blijft zich inzetten voor het uitdragen van de EU als waardengemeenschap, met kernwaarden zoals menselijke waardigheid, vrijheid, democratie, gelijkheid, rechtsstaat, mensenrechten en grondrechten.</w:t>
      </w:r>
    </w:p>
    <w:bookmarkEnd w:id="0"/>
    <w:p w:rsidRPr="00764061" w:rsidR="00151D93" w:rsidP="00F75495" w:rsidRDefault="00151D93" w14:paraId="46916F6A" w14:textId="2A61034E">
      <w:pPr>
        <w:spacing w:after="0" w:line="276" w:lineRule="auto"/>
        <w:rPr>
          <w:rFonts w:ascii="Verdana" w:hAnsi="Verdana"/>
          <w:sz w:val="18"/>
          <w:szCs w:val="18"/>
        </w:rPr>
      </w:pPr>
    </w:p>
    <w:p w:rsidRPr="00764061" w:rsidR="00151D93" w:rsidP="00F75495" w:rsidRDefault="65DCAC31" w14:paraId="231DD744" w14:textId="771FE191">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De Russische agressieoorlog tegen Oekraïne: strijd tegen straffeloosheid</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151D93" w:rsidP="00F75495" w:rsidRDefault="00151D93" w14:paraId="5D4283EA" w14:textId="77777777">
      <w:pPr>
        <w:pStyle w:val="Lijstalinea"/>
        <w:spacing w:after="0" w:line="276" w:lineRule="auto"/>
        <w:ind w:left="360"/>
        <w:rPr>
          <w:rFonts w:ascii="Verdana" w:hAnsi="Verdana"/>
          <w:sz w:val="18"/>
          <w:szCs w:val="18"/>
        </w:rPr>
      </w:pPr>
    </w:p>
    <w:p w:rsidRPr="00764061" w:rsidR="00ED4DA8" w:rsidP="00F75495" w:rsidRDefault="002E305C" w14:paraId="50898C84" w14:textId="77777777">
      <w:pPr>
        <w:spacing w:line="276" w:lineRule="auto"/>
        <w:ind w:left="360"/>
        <w:rPr>
          <w:rFonts w:ascii="Verdana" w:hAnsi="Verdana"/>
          <w:sz w:val="18"/>
          <w:szCs w:val="18"/>
        </w:rPr>
      </w:pPr>
      <w:r w:rsidRPr="00764061">
        <w:rPr>
          <w:rFonts w:ascii="Verdana" w:hAnsi="Verdana"/>
          <w:sz w:val="18"/>
          <w:szCs w:val="18"/>
        </w:rPr>
        <w:t xml:space="preserve">Onder dit agendapunt licht het Voorzitterschap de ontwikkelingen toe </w:t>
      </w:r>
      <w:r w:rsidRPr="00764061" w:rsidR="00F01ECD">
        <w:rPr>
          <w:rFonts w:ascii="Verdana" w:hAnsi="Verdana"/>
          <w:sz w:val="18"/>
          <w:szCs w:val="18"/>
        </w:rPr>
        <w:t xml:space="preserve">betreffende het tegengaan van </w:t>
      </w:r>
      <w:r w:rsidRPr="00764061">
        <w:rPr>
          <w:rFonts w:ascii="Verdana" w:hAnsi="Verdana"/>
          <w:sz w:val="18"/>
          <w:szCs w:val="18"/>
        </w:rPr>
        <w:t xml:space="preserve">straffeloosheid voor internationale misdrijven in Oekraïne en </w:t>
      </w:r>
      <w:r w:rsidRPr="00764061" w:rsidR="00F01ECD">
        <w:rPr>
          <w:rFonts w:ascii="Verdana" w:hAnsi="Verdana"/>
          <w:sz w:val="18"/>
          <w:szCs w:val="18"/>
        </w:rPr>
        <w:t xml:space="preserve">de </w:t>
      </w:r>
      <w:r w:rsidRPr="00764061">
        <w:rPr>
          <w:rFonts w:ascii="Verdana" w:hAnsi="Verdana"/>
          <w:sz w:val="18"/>
          <w:szCs w:val="18"/>
        </w:rPr>
        <w:t>compensatie van geleden schade</w:t>
      </w:r>
      <w:r w:rsidRPr="00764061" w:rsidR="007B17F5">
        <w:rPr>
          <w:rFonts w:ascii="Verdana" w:hAnsi="Verdana"/>
          <w:sz w:val="18"/>
          <w:szCs w:val="18"/>
        </w:rPr>
        <w:t xml:space="preserve">. </w:t>
      </w:r>
      <w:r w:rsidRPr="00764061" w:rsidR="00ED4DA8">
        <w:rPr>
          <w:rFonts w:ascii="Verdana" w:hAnsi="Verdana"/>
          <w:sz w:val="18"/>
          <w:szCs w:val="18"/>
        </w:rPr>
        <w:t xml:space="preserve">Op dit moment zijn er nog geen achtergrondstukken beschikbaar. </w:t>
      </w:r>
    </w:p>
    <w:p w:rsidRPr="00764061" w:rsidR="002E305C" w:rsidP="00F75495" w:rsidRDefault="002E305C" w14:paraId="7CA75A9C" w14:textId="2F9A07B1">
      <w:pPr>
        <w:spacing w:line="276" w:lineRule="auto"/>
        <w:ind w:left="360"/>
        <w:rPr>
          <w:rFonts w:ascii="Verdana" w:hAnsi="Verdana"/>
          <w:sz w:val="18"/>
          <w:szCs w:val="18"/>
        </w:rPr>
      </w:pPr>
      <w:r w:rsidRPr="00764061">
        <w:rPr>
          <w:rFonts w:ascii="Verdana" w:hAnsi="Verdana"/>
          <w:sz w:val="18"/>
          <w:szCs w:val="18"/>
        </w:rPr>
        <w:t>Het kabinet hecht groot belang aan de opsporing, vervolging, uiteindelijk berechting van internationale misdrijven begaan in Oekraïne en compensatie van geleden schade</w:t>
      </w:r>
      <w:r w:rsidRPr="00764061" w:rsidR="007A69CF">
        <w:rPr>
          <w:rFonts w:ascii="Verdana" w:hAnsi="Verdana"/>
          <w:sz w:val="18"/>
          <w:szCs w:val="18"/>
        </w:rPr>
        <w:t>,</w:t>
      </w:r>
      <w:r w:rsidRPr="00764061">
        <w:rPr>
          <w:rFonts w:ascii="Verdana" w:hAnsi="Verdana"/>
          <w:sz w:val="18"/>
          <w:szCs w:val="18"/>
        </w:rPr>
        <w:t xml:space="preserve"> en zet hier in Europees en internationaal verband actief op in. </w:t>
      </w:r>
    </w:p>
    <w:p w:rsidRPr="00764061" w:rsidR="00376752" w:rsidP="00F75495" w:rsidRDefault="002E305C" w14:paraId="10BCCD65" w14:textId="4BB80084">
      <w:pPr>
        <w:spacing w:line="276" w:lineRule="auto"/>
        <w:ind w:left="360"/>
        <w:rPr>
          <w:rFonts w:ascii="Verdana" w:hAnsi="Verdana"/>
          <w:sz w:val="18"/>
          <w:szCs w:val="18"/>
        </w:rPr>
      </w:pPr>
      <w:r w:rsidRPr="00764061">
        <w:rPr>
          <w:rFonts w:ascii="Verdana" w:hAnsi="Verdana"/>
          <w:sz w:val="18"/>
          <w:szCs w:val="18"/>
        </w:rPr>
        <w:t xml:space="preserve">Het kabinet blijft zich inzetten om te komen tot de oprichting van een tribunaal voor de vervolging van het misdrijf van agressie en voor de oprichting van de Claimscommissie. </w:t>
      </w:r>
      <w:r w:rsidRPr="00764061" w:rsidR="00376752">
        <w:rPr>
          <w:rFonts w:ascii="Verdana" w:hAnsi="Verdana"/>
          <w:sz w:val="18"/>
          <w:szCs w:val="18"/>
        </w:rPr>
        <w:t>Besluitvorming over het gastlandschap van het tribunaal zal op korte termijn aan de Ministerraad worden voorgelegd.</w:t>
      </w:r>
    </w:p>
    <w:p w:rsidRPr="00764061" w:rsidR="002E305C" w:rsidP="00F75495" w:rsidRDefault="00A23539" w14:paraId="705A6EAC" w14:textId="41E9E823">
      <w:pPr>
        <w:spacing w:line="276" w:lineRule="auto"/>
        <w:ind w:left="360"/>
        <w:rPr>
          <w:rFonts w:ascii="Verdana" w:hAnsi="Verdana"/>
          <w:sz w:val="18"/>
          <w:szCs w:val="18"/>
        </w:rPr>
      </w:pPr>
      <w:r w:rsidRPr="00764061">
        <w:rPr>
          <w:rFonts w:ascii="Verdana" w:hAnsi="Verdana"/>
          <w:sz w:val="18"/>
          <w:szCs w:val="18"/>
        </w:rPr>
        <w:t>D</w:t>
      </w:r>
      <w:r w:rsidRPr="00764061" w:rsidR="1B0046C9">
        <w:rPr>
          <w:rFonts w:ascii="Verdana" w:hAnsi="Verdana"/>
          <w:sz w:val="18"/>
          <w:szCs w:val="18"/>
        </w:rPr>
        <w:t>e oprichting van een Claimscommissie voor Oekraïne</w:t>
      </w:r>
      <w:r w:rsidRPr="00764061">
        <w:rPr>
          <w:rFonts w:ascii="Verdana" w:hAnsi="Verdana"/>
          <w:sz w:val="18"/>
          <w:szCs w:val="18"/>
        </w:rPr>
        <w:t xml:space="preserve"> betreft</w:t>
      </w:r>
      <w:r w:rsidRPr="00764061" w:rsidR="49B3F950">
        <w:rPr>
          <w:rFonts w:ascii="Verdana" w:hAnsi="Verdana"/>
          <w:sz w:val="18"/>
          <w:szCs w:val="18"/>
        </w:rPr>
        <w:t xml:space="preserve"> de tweede stap naar een volwaardig Compensatiemechanisme</w:t>
      </w:r>
      <w:r w:rsidRPr="00764061" w:rsidR="2A2275CA">
        <w:rPr>
          <w:rFonts w:ascii="Verdana" w:hAnsi="Verdana"/>
          <w:sz w:val="18"/>
          <w:szCs w:val="18"/>
        </w:rPr>
        <w:t xml:space="preserve">. Tijdens de </w:t>
      </w:r>
      <w:r w:rsidRPr="00764061" w:rsidR="2A2275CA">
        <w:rPr>
          <w:rFonts w:ascii="Verdana" w:hAnsi="Verdana"/>
          <w:i/>
          <w:iCs/>
          <w:sz w:val="18"/>
          <w:szCs w:val="18"/>
        </w:rPr>
        <w:t>Ad-hoc Committee on the Establishment</w:t>
      </w:r>
      <w:r w:rsidRPr="00764061" w:rsidR="641D08DD">
        <w:rPr>
          <w:rFonts w:ascii="Verdana" w:hAnsi="Verdana"/>
          <w:i/>
          <w:iCs/>
          <w:sz w:val="18"/>
          <w:szCs w:val="18"/>
        </w:rPr>
        <w:t xml:space="preserve"> of an International Commission</w:t>
      </w:r>
      <w:r w:rsidRPr="00764061" w:rsidR="641D08DD">
        <w:rPr>
          <w:rFonts w:ascii="Verdana" w:hAnsi="Verdana"/>
          <w:sz w:val="18"/>
          <w:szCs w:val="18"/>
        </w:rPr>
        <w:t xml:space="preserve"> is op 12 september jl. e</w:t>
      </w:r>
      <w:r w:rsidRPr="00764061" w:rsidR="00A54AE5">
        <w:rPr>
          <w:rFonts w:ascii="Verdana" w:hAnsi="Verdana"/>
          <w:sz w:val="18"/>
          <w:szCs w:val="18"/>
        </w:rPr>
        <w:t>e</w:t>
      </w:r>
      <w:r w:rsidRPr="00764061" w:rsidR="641D08DD">
        <w:rPr>
          <w:rFonts w:ascii="Verdana" w:hAnsi="Verdana"/>
          <w:sz w:val="18"/>
          <w:szCs w:val="18"/>
        </w:rPr>
        <w:t xml:space="preserve">n </w:t>
      </w:r>
      <w:r w:rsidRPr="00764061" w:rsidR="007A69CF">
        <w:rPr>
          <w:rFonts w:ascii="Verdana" w:hAnsi="Verdana"/>
          <w:sz w:val="18"/>
          <w:szCs w:val="18"/>
        </w:rPr>
        <w:t>V</w:t>
      </w:r>
      <w:r w:rsidRPr="00764061" w:rsidR="641D08DD">
        <w:rPr>
          <w:rFonts w:ascii="Verdana" w:hAnsi="Verdana"/>
          <w:sz w:val="18"/>
          <w:szCs w:val="18"/>
        </w:rPr>
        <w:t>erdrag tot oprichting van de Claimscommis</w:t>
      </w:r>
      <w:r w:rsidRPr="00764061" w:rsidR="00A54AE5">
        <w:rPr>
          <w:rFonts w:ascii="Verdana" w:hAnsi="Verdana"/>
          <w:sz w:val="18"/>
          <w:szCs w:val="18"/>
        </w:rPr>
        <w:t xml:space="preserve">sie aangenomen. </w:t>
      </w:r>
      <w:r w:rsidRPr="00764061" w:rsidR="0751FB74">
        <w:rPr>
          <w:rFonts w:ascii="Verdana" w:hAnsi="Verdana"/>
          <w:sz w:val="18"/>
          <w:szCs w:val="18"/>
        </w:rPr>
        <w:t>Op 17 s</w:t>
      </w:r>
      <w:r w:rsidRPr="00764061" w:rsidR="61A31211">
        <w:rPr>
          <w:rFonts w:ascii="Verdana" w:hAnsi="Verdana"/>
          <w:sz w:val="18"/>
          <w:szCs w:val="18"/>
        </w:rPr>
        <w:t xml:space="preserve">eptember jl. </w:t>
      </w:r>
      <w:r w:rsidRPr="00764061" w:rsidR="4031C35A">
        <w:rPr>
          <w:rFonts w:ascii="Verdana" w:hAnsi="Verdana"/>
          <w:sz w:val="18"/>
          <w:szCs w:val="18"/>
        </w:rPr>
        <w:t>h</w:t>
      </w:r>
      <w:r w:rsidRPr="00764061" w:rsidR="61A31211">
        <w:rPr>
          <w:rFonts w:ascii="Verdana" w:hAnsi="Verdana"/>
          <w:sz w:val="18"/>
          <w:szCs w:val="18"/>
        </w:rPr>
        <w:t xml:space="preserve">eeft het Comité van Ministers van de Raad van Europa ingestemd met </w:t>
      </w:r>
      <w:r w:rsidRPr="00764061" w:rsidR="49B3F950">
        <w:rPr>
          <w:rFonts w:ascii="Verdana" w:hAnsi="Verdana"/>
          <w:sz w:val="18"/>
          <w:szCs w:val="18"/>
        </w:rPr>
        <w:t xml:space="preserve">de </w:t>
      </w:r>
      <w:r w:rsidRPr="00764061" w:rsidR="61A31211">
        <w:rPr>
          <w:rFonts w:ascii="Verdana" w:hAnsi="Verdana"/>
          <w:sz w:val="18"/>
          <w:szCs w:val="18"/>
        </w:rPr>
        <w:t>verdrag</w:t>
      </w:r>
      <w:r w:rsidRPr="00764061" w:rsidR="49B3F950">
        <w:rPr>
          <w:rFonts w:ascii="Verdana" w:hAnsi="Verdana"/>
          <w:sz w:val="18"/>
          <w:szCs w:val="18"/>
        </w:rPr>
        <w:t>stek</w:t>
      </w:r>
      <w:r w:rsidRPr="00764061" w:rsidR="70681DE5">
        <w:rPr>
          <w:rFonts w:ascii="Verdana" w:hAnsi="Verdana"/>
          <w:sz w:val="18"/>
          <w:szCs w:val="18"/>
        </w:rPr>
        <w:t>st</w:t>
      </w:r>
      <w:r w:rsidRPr="00764061" w:rsidR="61A31211">
        <w:rPr>
          <w:rFonts w:ascii="Verdana" w:hAnsi="Verdana"/>
          <w:sz w:val="18"/>
          <w:szCs w:val="18"/>
        </w:rPr>
        <w:t xml:space="preserve"> e</w:t>
      </w:r>
      <w:r w:rsidRPr="00764061" w:rsidR="4031C35A">
        <w:rPr>
          <w:rFonts w:ascii="Verdana" w:hAnsi="Verdana"/>
          <w:sz w:val="18"/>
          <w:szCs w:val="18"/>
        </w:rPr>
        <w:t>n het doorgezonden naar de Parlementaire Assemblee van de Raad van Europa (PACE)</w:t>
      </w:r>
      <w:r w:rsidRPr="00764061" w:rsidR="741B333A">
        <w:rPr>
          <w:rFonts w:ascii="Verdana" w:hAnsi="Verdana"/>
          <w:sz w:val="18"/>
          <w:szCs w:val="18"/>
        </w:rPr>
        <w:t xml:space="preserve">. </w:t>
      </w:r>
      <w:r w:rsidRPr="00764061" w:rsidR="3C2C6CBB">
        <w:rPr>
          <w:rFonts w:ascii="Verdana" w:hAnsi="Verdana"/>
          <w:sz w:val="18"/>
          <w:szCs w:val="18"/>
        </w:rPr>
        <w:t xml:space="preserve">Na een tweede bespreking in het Comité van Ministers zal </w:t>
      </w:r>
      <w:r w:rsidRPr="00764061" w:rsidR="344AF3C1">
        <w:rPr>
          <w:rFonts w:ascii="Verdana" w:hAnsi="Verdana"/>
          <w:sz w:val="18"/>
          <w:szCs w:val="18"/>
        </w:rPr>
        <w:t xml:space="preserve">eind 2025 </w:t>
      </w:r>
      <w:r w:rsidRPr="00764061" w:rsidR="3C2C6CBB">
        <w:rPr>
          <w:rFonts w:ascii="Verdana" w:hAnsi="Verdana"/>
          <w:sz w:val="18"/>
          <w:szCs w:val="18"/>
        </w:rPr>
        <w:t xml:space="preserve">een diplomatieke conferentie plaatsvinden </w:t>
      </w:r>
      <w:r w:rsidRPr="00764061" w:rsidR="344AF3C1">
        <w:rPr>
          <w:rFonts w:ascii="Verdana" w:hAnsi="Verdana"/>
          <w:sz w:val="18"/>
          <w:szCs w:val="18"/>
        </w:rPr>
        <w:t xml:space="preserve">waarbij de betrokken landen de verdragstekst kunnen ondertekenen. </w:t>
      </w:r>
    </w:p>
    <w:p w:rsidRPr="00764061" w:rsidR="002E305C" w:rsidP="00F75495" w:rsidRDefault="00F41E84" w14:paraId="5854A7EE" w14:textId="1DC9606D">
      <w:pPr>
        <w:spacing w:after="0" w:line="276" w:lineRule="auto"/>
        <w:ind w:left="360"/>
        <w:rPr>
          <w:rFonts w:ascii="Verdana" w:hAnsi="Verdana"/>
          <w:sz w:val="18"/>
          <w:szCs w:val="18"/>
        </w:rPr>
      </w:pPr>
      <w:r w:rsidRPr="00764061">
        <w:rPr>
          <w:rFonts w:ascii="Verdana" w:hAnsi="Verdana"/>
          <w:sz w:val="18"/>
          <w:szCs w:val="18"/>
        </w:rPr>
        <w:t>Nederland</w:t>
      </w:r>
      <w:r w:rsidRPr="00764061" w:rsidR="00925075">
        <w:rPr>
          <w:rFonts w:ascii="Verdana" w:hAnsi="Verdana"/>
          <w:sz w:val="18"/>
          <w:szCs w:val="18"/>
        </w:rPr>
        <w:t xml:space="preserve"> zal de informatievoorziening van het Voorzitterschap aanhoren.</w:t>
      </w:r>
    </w:p>
    <w:p w:rsidRPr="00764061" w:rsidR="001251D2" w:rsidP="00F75495" w:rsidRDefault="001251D2" w14:paraId="1380D38A" w14:textId="77777777">
      <w:pPr>
        <w:spacing w:after="0" w:line="276" w:lineRule="auto"/>
        <w:rPr>
          <w:rFonts w:ascii="Verdana" w:hAnsi="Verdana"/>
          <w:b/>
          <w:bCs/>
          <w:sz w:val="18"/>
          <w:szCs w:val="18"/>
        </w:rPr>
      </w:pPr>
    </w:p>
    <w:p w:rsidRPr="00764061" w:rsidR="00151D93" w:rsidP="00F75495" w:rsidRDefault="65DCAC31" w14:paraId="3D2B08FD" w14:textId="1BA708BD">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De toekomst van Eurojust</w:t>
      </w:r>
      <w:r w:rsidRPr="00764061" w:rsidR="00F00812">
        <w:rPr>
          <w:rFonts w:ascii="Verdana" w:hAnsi="Verdana"/>
          <w:sz w:val="18"/>
          <w:szCs w:val="18"/>
        </w:rPr>
        <w:br/>
      </w:r>
      <w:r w:rsidRPr="00764061">
        <w:rPr>
          <w:rFonts w:ascii="Verdana" w:hAnsi="Verdana" w:eastAsia="Verdana" w:cs="Verdana"/>
          <w:i/>
          <w:iCs/>
          <w:sz w:val="18"/>
          <w:szCs w:val="18"/>
        </w:rPr>
        <w:t>Gedachtewisseling</w:t>
      </w:r>
      <w:r w:rsidRPr="00764061" w:rsidR="00F00812">
        <w:rPr>
          <w:rFonts w:ascii="Verdana" w:hAnsi="Verdana"/>
          <w:i/>
          <w:iCs/>
          <w:sz w:val="18"/>
          <w:szCs w:val="18"/>
        </w:rPr>
        <w:br/>
      </w:r>
    </w:p>
    <w:p w:rsidRPr="00764061" w:rsidR="001332C6" w:rsidP="00F75495" w:rsidRDefault="006547B6" w14:paraId="00BE161E" w14:textId="64D84092">
      <w:pPr>
        <w:pStyle w:val="Lijstalinea"/>
        <w:spacing w:after="0" w:line="276" w:lineRule="auto"/>
        <w:ind w:left="360"/>
        <w:rPr>
          <w:rFonts w:ascii="Verdana" w:hAnsi="Verdana"/>
          <w:sz w:val="18"/>
          <w:szCs w:val="18"/>
        </w:rPr>
      </w:pPr>
      <w:r w:rsidRPr="00764061">
        <w:rPr>
          <w:rFonts w:ascii="Verdana" w:hAnsi="Verdana"/>
          <w:sz w:val="18"/>
          <w:szCs w:val="18"/>
        </w:rPr>
        <w:t>Op dit moment zijn er nog geen achtergrondstukken beschikbaar</w:t>
      </w:r>
      <w:r w:rsidRPr="00764061" w:rsidR="001332C6">
        <w:rPr>
          <w:rFonts w:ascii="Verdana" w:hAnsi="Verdana"/>
          <w:sz w:val="18"/>
          <w:szCs w:val="18"/>
        </w:rPr>
        <w:t xml:space="preserve">. </w:t>
      </w:r>
      <w:r w:rsidRPr="00764061" w:rsidR="00E70270">
        <w:rPr>
          <w:rFonts w:ascii="Verdana" w:hAnsi="Verdana"/>
          <w:sz w:val="18"/>
          <w:szCs w:val="18"/>
        </w:rPr>
        <w:t>Naar verwachting zal het agendapunt in het teken staan van de evaluatie van de Eurojust-</w:t>
      </w:r>
      <w:r w:rsidRPr="00764061" w:rsidR="00F01ECD">
        <w:rPr>
          <w:rFonts w:ascii="Verdana" w:hAnsi="Verdana"/>
          <w:sz w:val="18"/>
          <w:szCs w:val="18"/>
        </w:rPr>
        <w:t>V</w:t>
      </w:r>
      <w:r w:rsidRPr="00764061" w:rsidR="00E70270">
        <w:rPr>
          <w:rFonts w:ascii="Verdana" w:hAnsi="Verdana"/>
          <w:sz w:val="18"/>
          <w:szCs w:val="18"/>
        </w:rPr>
        <w:t>erordening</w:t>
      </w:r>
      <w:r w:rsidRPr="00764061">
        <w:rPr>
          <w:rFonts w:ascii="Verdana" w:hAnsi="Verdana"/>
          <w:sz w:val="18"/>
          <w:szCs w:val="18"/>
        </w:rPr>
        <w:t xml:space="preserve"> die de Commissie </w:t>
      </w:r>
      <w:r w:rsidRPr="00764061">
        <w:rPr>
          <w:rFonts w:ascii="Verdana" w:hAnsi="Verdana"/>
          <w:sz w:val="18"/>
          <w:szCs w:val="18"/>
        </w:rPr>
        <w:lastRenderedPageBreak/>
        <w:t>in juli jl. heeft gepresenteerd</w:t>
      </w:r>
      <w:r w:rsidRPr="00764061" w:rsidR="00E70270">
        <w:rPr>
          <w:rFonts w:ascii="Verdana" w:hAnsi="Verdana"/>
          <w:sz w:val="18"/>
          <w:szCs w:val="18"/>
        </w:rPr>
        <w:t>. In de evaluatie worden zowel de toegevoegde waarde van Eurojust als een aantal aandachtspunten voor de verdere ontwikkeling van het agentschap benadrukt</w:t>
      </w:r>
      <w:r w:rsidRPr="00764061">
        <w:rPr>
          <w:rFonts w:ascii="Verdana" w:hAnsi="Verdana"/>
          <w:sz w:val="18"/>
          <w:szCs w:val="18"/>
        </w:rPr>
        <w:t>.</w:t>
      </w:r>
      <w:r w:rsidRPr="00764061" w:rsidR="00E70270">
        <w:rPr>
          <w:rFonts w:ascii="Verdana" w:hAnsi="Verdana"/>
          <w:sz w:val="18"/>
          <w:szCs w:val="18"/>
        </w:rPr>
        <w:t xml:space="preserve"> </w:t>
      </w:r>
      <w:r w:rsidRPr="00764061">
        <w:rPr>
          <w:rFonts w:ascii="Verdana" w:hAnsi="Verdana"/>
          <w:sz w:val="18"/>
          <w:szCs w:val="18"/>
        </w:rPr>
        <w:t>Hierbij worden onder andere genoemd</w:t>
      </w:r>
      <w:r w:rsidRPr="00764061" w:rsidR="00E70270">
        <w:rPr>
          <w:rFonts w:ascii="Verdana" w:hAnsi="Verdana"/>
          <w:sz w:val="18"/>
          <w:szCs w:val="18"/>
        </w:rPr>
        <w:t xml:space="preserve"> de noodzaak van versterkte digitalisering en modernisering van het </w:t>
      </w:r>
      <w:r w:rsidRPr="00764061" w:rsidR="00E70270">
        <w:rPr>
          <w:rFonts w:ascii="Verdana" w:hAnsi="Verdana"/>
          <w:i/>
          <w:iCs/>
          <w:sz w:val="18"/>
          <w:szCs w:val="18"/>
        </w:rPr>
        <w:t>Case Management System</w:t>
      </w:r>
      <w:r w:rsidRPr="00764061" w:rsidR="00E70270">
        <w:rPr>
          <w:rFonts w:ascii="Verdana" w:hAnsi="Verdana"/>
          <w:sz w:val="18"/>
          <w:szCs w:val="18"/>
        </w:rPr>
        <w:t xml:space="preserve">, verduidelijking van besluitvormingsstructuren en </w:t>
      </w:r>
      <w:r w:rsidRPr="00764061" w:rsidR="00E70270">
        <w:rPr>
          <w:rFonts w:ascii="Verdana" w:hAnsi="Verdana"/>
          <w:i/>
          <w:iCs/>
          <w:sz w:val="18"/>
          <w:szCs w:val="18"/>
        </w:rPr>
        <w:t>governance</w:t>
      </w:r>
      <w:r w:rsidRPr="00764061" w:rsidR="00E70270">
        <w:rPr>
          <w:rFonts w:ascii="Verdana" w:hAnsi="Verdana"/>
          <w:sz w:val="18"/>
          <w:szCs w:val="18"/>
        </w:rPr>
        <w:t xml:space="preserve">, en een efficiëntere inzet van middelen. Naar verwachting zal de Commissie in </w:t>
      </w:r>
      <w:r w:rsidRPr="00764061">
        <w:rPr>
          <w:rFonts w:ascii="Verdana" w:hAnsi="Verdana"/>
          <w:sz w:val="18"/>
          <w:szCs w:val="18"/>
        </w:rPr>
        <w:t xml:space="preserve">de </w:t>
      </w:r>
      <w:r w:rsidRPr="00764061" w:rsidR="00E70270">
        <w:rPr>
          <w:rFonts w:ascii="Verdana" w:hAnsi="Verdana"/>
          <w:sz w:val="18"/>
          <w:szCs w:val="18"/>
        </w:rPr>
        <w:t xml:space="preserve">zomer </w:t>
      </w:r>
      <w:r w:rsidRPr="00764061">
        <w:rPr>
          <w:rFonts w:ascii="Verdana" w:hAnsi="Verdana"/>
          <w:sz w:val="18"/>
          <w:szCs w:val="18"/>
        </w:rPr>
        <w:t xml:space="preserve">van </w:t>
      </w:r>
      <w:r w:rsidRPr="00764061" w:rsidR="00E70270">
        <w:rPr>
          <w:rFonts w:ascii="Verdana" w:hAnsi="Verdana"/>
          <w:sz w:val="18"/>
          <w:szCs w:val="18"/>
        </w:rPr>
        <w:t>2026 een herziening</w:t>
      </w:r>
      <w:r w:rsidRPr="00764061">
        <w:rPr>
          <w:rFonts w:ascii="Verdana" w:hAnsi="Verdana"/>
          <w:sz w:val="18"/>
          <w:szCs w:val="18"/>
        </w:rPr>
        <w:t>svoorstel</w:t>
      </w:r>
      <w:r w:rsidRPr="00764061" w:rsidR="00E70270">
        <w:rPr>
          <w:rFonts w:ascii="Verdana" w:hAnsi="Verdana"/>
          <w:sz w:val="18"/>
          <w:szCs w:val="18"/>
        </w:rPr>
        <w:t xml:space="preserve"> van de Eurojust-</w:t>
      </w:r>
      <w:r w:rsidRPr="00764061" w:rsidR="00F01ECD">
        <w:rPr>
          <w:rFonts w:ascii="Verdana" w:hAnsi="Verdana"/>
          <w:sz w:val="18"/>
          <w:szCs w:val="18"/>
        </w:rPr>
        <w:t>V</w:t>
      </w:r>
      <w:r w:rsidRPr="00764061" w:rsidR="00E70270">
        <w:rPr>
          <w:rFonts w:ascii="Verdana" w:hAnsi="Verdana"/>
          <w:sz w:val="18"/>
          <w:szCs w:val="18"/>
        </w:rPr>
        <w:t xml:space="preserve">erordening met </w:t>
      </w:r>
      <w:r w:rsidRPr="00764061">
        <w:rPr>
          <w:rFonts w:ascii="Verdana" w:hAnsi="Verdana"/>
          <w:sz w:val="18"/>
          <w:szCs w:val="18"/>
        </w:rPr>
        <w:t xml:space="preserve">een </w:t>
      </w:r>
      <w:r w:rsidRPr="00764061" w:rsidR="00E70270">
        <w:rPr>
          <w:rFonts w:ascii="Verdana" w:hAnsi="Verdana"/>
          <w:sz w:val="18"/>
          <w:szCs w:val="18"/>
        </w:rPr>
        <w:t xml:space="preserve">aangepast mandaat </w:t>
      </w:r>
      <w:r w:rsidRPr="00764061" w:rsidR="00F01ECD">
        <w:rPr>
          <w:rFonts w:ascii="Verdana" w:hAnsi="Verdana"/>
          <w:sz w:val="18"/>
          <w:szCs w:val="18"/>
        </w:rPr>
        <w:t xml:space="preserve">voor Eurojust </w:t>
      </w:r>
      <w:r w:rsidRPr="00764061" w:rsidR="00E70270">
        <w:rPr>
          <w:rFonts w:ascii="Verdana" w:hAnsi="Verdana"/>
          <w:sz w:val="18"/>
          <w:szCs w:val="18"/>
        </w:rPr>
        <w:t xml:space="preserve">publiceren. </w:t>
      </w:r>
    </w:p>
    <w:p w:rsidRPr="00764061" w:rsidR="00E70270" w:rsidP="00F75495" w:rsidRDefault="00E70270" w14:paraId="52ED4E74" w14:textId="77777777">
      <w:pPr>
        <w:pStyle w:val="Lijstalinea"/>
        <w:spacing w:after="0" w:line="276" w:lineRule="auto"/>
        <w:ind w:left="360"/>
        <w:rPr>
          <w:rFonts w:ascii="Verdana" w:hAnsi="Verdana"/>
          <w:sz w:val="18"/>
          <w:szCs w:val="18"/>
        </w:rPr>
      </w:pPr>
    </w:p>
    <w:p w:rsidRPr="00764061" w:rsidR="39BB234B" w:rsidP="00F75495" w:rsidRDefault="00E70270" w14:paraId="446F45BE" w14:textId="69173D4C">
      <w:pPr>
        <w:pStyle w:val="Lijstalinea"/>
        <w:spacing w:after="0" w:line="276" w:lineRule="auto"/>
        <w:ind w:left="360"/>
        <w:rPr>
          <w:rFonts w:ascii="Verdana" w:hAnsi="Verdana"/>
          <w:sz w:val="18"/>
          <w:szCs w:val="18"/>
        </w:rPr>
      </w:pPr>
      <w:r w:rsidRPr="00764061">
        <w:rPr>
          <w:rFonts w:ascii="Verdana" w:hAnsi="Verdana"/>
          <w:sz w:val="18"/>
          <w:szCs w:val="18"/>
        </w:rPr>
        <w:t xml:space="preserve">Nederland verwelkomt de evaluatie en onderschrijft het belang van een sterk en toekomstbestendig Eurojust. </w:t>
      </w:r>
      <w:r w:rsidRPr="00764061" w:rsidR="248932D8">
        <w:rPr>
          <w:rFonts w:ascii="Verdana" w:hAnsi="Verdana"/>
          <w:sz w:val="18"/>
          <w:szCs w:val="18"/>
        </w:rPr>
        <w:t>Nederland meent d</w:t>
      </w:r>
      <w:r w:rsidRPr="00764061" w:rsidR="229C5AB5">
        <w:rPr>
          <w:rFonts w:ascii="Verdana" w:hAnsi="Verdana"/>
          <w:sz w:val="18"/>
          <w:szCs w:val="18"/>
        </w:rPr>
        <w:t>a</w:t>
      </w:r>
      <w:r w:rsidRPr="00764061" w:rsidR="248932D8">
        <w:rPr>
          <w:rFonts w:ascii="Verdana" w:hAnsi="Verdana"/>
          <w:sz w:val="18"/>
          <w:szCs w:val="18"/>
        </w:rPr>
        <w:t>t met name de governance</w:t>
      </w:r>
      <w:r w:rsidRPr="00764061" w:rsidR="006547B6">
        <w:rPr>
          <w:rFonts w:ascii="Verdana" w:hAnsi="Verdana"/>
          <w:sz w:val="18"/>
          <w:szCs w:val="18"/>
        </w:rPr>
        <w:t>-</w:t>
      </w:r>
      <w:r w:rsidRPr="00764061" w:rsidR="248932D8">
        <w:rPr>
          <w:rFonts w:ascii="Verdana" w:hAnsi="Verdana"/>
          <w:sz w:val="18"/>
          <w:szCs w:val="18"/>
        </w:rPr>
        <w:t>structuur van</w:t>
      </w:r>
      <w:r w:rsidRPr="00764061" w:rsidR="229C5AB5">
        <w:rPr>
          <w:rFonts w:ascii="Verdana" w:hAnsi="Verdana"/>
          <w:sz w:val="18"/>
          <w:szCs w:val="18"/>
        </w:rPr>
        <w:t xml:space="preserve"> Eurojust versterking behoeft en heeft de </w:t>
      </w:r>
      <w:r w:rsidRPr="00764061" w:rsidR="48A83473">
        <w:rPr>
          <w:rFonts w:ascii="Verdana" w:hAnsi="Verdana"/>
          <w:sz w:val="18"/>
          <w:szCs w:val="18"/>
        </w:rPr>
        <w:t>Co</w:t>
      </w:r>
      <w:r w:rsidRPr="00764061" w:rsidR="229C5AB5">
        <w:rPr>
          <w:rFonts w:ascii="Verdana" w:hAnsi="Verdana"/>
          <w:sz w:val="18"/>
          <w:szCs w:val="18"/>
        </w:rPr>
        <w:t>mmissie</w:t>
      </w:r>
      <w:r w:rsidRPr="00764061" w:rsidR="48A83473">
        <w:rPr>
          <w:rFonts w:ascii="Verdana" w:hAnsi="Verdana"/>
          <w:sz w:val="18"/>
          <w:szCs w:val="18"/>
        </w:rPr>
        <w:t xml:space="preserve"> opgeroepen</w:t>
      </w:r>
      <w:r w:rsidRPr="00764061" w:rsidR="006547B6">
        <w:rPr>
          <w:rFonts w:ascii="Verdana" w:hAnsi="Verdana"/>
          <w:sz w:val="18"/>
          <w:szCs w:val="18"/>
        </w:rPr>
        <w:t xml:space="preserve"> </w:t>
      </w:r>
      <w:r w:rsidRPr="00764061" w:rsidR="39BB234B">
        <w:rPr>
          <w:rFonts w:ascii="Verdana" w:hAnsi="Verdana"/>
          <w:sz w:val="18"/>
          <w:szCs w:val="18"/>
        </w:rPr>
        <w:t>de voor- en nadelen van de verschillende opties om dat doel te bereiken in kaart te brengen</w:t>
      </w:r>
      <w:r w:rsidRPr="00764061" w:rsidR="006547B6">
        <w:rPr>
          <w:rFonts w:ascii="Verdana" w:hAnsi="Verdana"/>
          <w:sz w:val="18"/>
          <w:szCs w:val="18"/>
        </w:rPr>
        <w:t>, voorafgaand aan de publicatie van een voorstel tot wijziging van de Eurojust-Verordening</w:t>
      </w:r>
      <w:r w:rsidRPr="00764061" w:rsidR="39BB234B">
        <w:rPr>
          <w:rFonts w:ascii="Verdana" w:hAnsi="Verdana"/>
          <w:sz w:val="18"/>
          <w:szCs w:val="18"/>
        </w:rPr>
        <w:t xml:space="preserve">. </w:t>
      </w:r>
      <w:r w:rsidRPr="00764061" w:rsidR="006547B6">
        <w:rPr>
          <w:rFonts w:ascii="Verdana" w:hAnsi="Verdana"/>
          <w:sz w:val="18"/>
          <w:szCs w:val="18"/>
        </w:rPr>
        <w:t xml:space="preserve">De </w:t>
      </w:r>
      <w:r w:rsidRPr="00764061" w:rsidR="696FE225">
        <w:rPr>
          <w:rFonts w:ascii="Verdana" w:hAnsi="Verdana"/>
          <w:sz w:val="18"/>
          <w:szCs w:val="18"/>
        </w:rPr>
        <w:t>onafhankelijkheid</w:t>
      </w:r>
      <w:r w:rsidRPr="00764061" w:rsidR="006547B6">
        <w:rPr>
          <w:rFonts w:ascii="Verdana" w:hAnsi="Verdana"/>
          <w:sz w:val="18"/>
          <w:szCs w:val="18"/>
        </w:rPr>
        <w:t xml:space="preserve"> van Eurojust</w:t>
      </w:r>
      <w:r w:rsidRPr="00764061" w:rsidR="696FE225">
        <w:rPr>
          <w:rFonts w:ascii="Verdana" w:hAnsi="Verdana"/>
          <w:sz w:val="18"/>
          <w:szCs w:val="18"/>
        </w:rPr>
        <w:t xml:space="preserve"> in relatie tot in</w:t>
      </w:r>
      <w:r w:rsidRPr="00764061" w:rsidR="1A7D73AB">
        <w:rPr>
          <w:rFonts w:ascii="Verdana" w:hAnsi="Verdana"/>
          <w:sz w:val="18"/>
          <w:szCs w:val="18"/>
        </w:rPr>
        <w:t>dividue</w:t>
      </w:r>
      <w:r w:rsidRPr="00764061" w:rsidR="5DD3CBF2">
        <w:rPr>
          <w:rFonts w:ascii="Verdana" w:hAnsi="Verdana"/>
          <w:sz w:val="18"/>
          <w:szCs w:val="18"/>
        </w:rPr>
        <w:t>l</w:t>
      </w:r>
      <w:r w:rsidRPr="00764061" w:rsidR="1A7D73AB">
        <w:rPr>
          <w:rFonts w:ascii="Verdana" w:hAnsi="Verdana"/>
          <w:sz w:val="18"/>
          <w:szCs w:val="18"/>
        </w:rPr>
        <w:t>e strafzaken moet daarbij uiteraard gewaarborgd blijven.</w:t>
      </w:r>
    </w:p>
    <w:p w:rsidRPr="00764061" w:rsidR="0DAFF8A9" w:rsidP="00F75495" w:rsidRDefault="0DAFF8A9" w14:paraId="1631A062" w14:textId="77777777">
      <w:pPr>
        <w:pStyle w:val="Lijstalinea"/>
        <w:spacing w:after="0" w:line="276" w:lineRule="auto"/>
        <w:ind w:left="360"/>
        <w:rPr>
          <w:rFonts w:ascii="Verdana" w:hAnsi="Verdana"/>
          <w:sz w:val="18"/>
          <w:szCs w:val="18"/>
        </w:rPr>
      </w:pPr>
    </w:p>
    <w:p w:rsidRPr="00764061" w:rsidR="00151D93" w:rsidP="00F75495" w:rsidRDefault="65DCAC31" w14:paraId="60EDF670" w14:textId="600B1E96">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Toegang tot gegevens voor effectieve strafrechtelijke onderzoeken</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151D93" w:rsidP="00F75495" w:rsidRDefault="00151D93" w14:paraId="2E39EEA8" w14:textId="77777777">
      <w:pPr>
        <w:pStyle w:val="Lijstalinea"/>
        <w:spacing w:after="0" w:line="276" w:lineRule="auto"/>
        <w:ind w:left="360"/>
        <w:rPr>
          <w:rFonts w:ascii="Verdana" w:hAnsi="Verdana" w:eastAsia="Verdana" w:cs="Verdana"/>
          <w:i/>
          <w:iCs/>
          <w:sz w:val="18"/>
          <w:szCs w:val="18"/>
        </w:rPr>
      </w:pPr>
    </w:p>
    <w:p w:rsidRPr="00764061" w:rsidR="00396078" w:rsidP="00F75495" w:rsidRDefault="005A7E53" w14:paraId="245324E4" w14:textId="2A212DEC">
      <w:pPr>
        <w:pStyle w:val="Lijstalinea"/>
        <w:spacing w:after="0" w:line="276" w:lineRule="auto"/>
        <w:ind w:left="360"/>
        <w:rPr>
          <w:rFonts w:ascii="Verdana" w:hAnsi="Verdana"/>
          <w:sz w:val="18"/>
          <w:szCs w:val="18"/>
        </w:rPr>
      </w:pPr>
      <w:bookmarkStart w:name="_Hlk209097369" w:id="1"/>
      <w:r w:rsidRPr="00764061">
        <w:rPr>
          <w:rFonts w:ascii="Verdana" w:hAnsi="Verdana"/>
          <w:sz w:val="18"/>
          <w:szCs w:val="18"/>
          <w:lang w:val="en-US"/>
        </w:rPr>
        <w:t xml:space="preserve">Op 24 juni jl. </w:t>
      </w:r>
      <w:r w:rsidRPr="00764061" w:rsidR="007D7B6F">
        <w:rPr>
          <w:rFonts w:ascii="Verdana" w:hAnsi="Verdana"/>
          <w:sz w:val="18"/>
          <w:szCs w:val="18"/>
          <w:lang w:val="en-US"/>
        </w:rPr>
        <w:t>heeft</w:t>
      </w:r>
      <w:r w:rsidRPr="00764061">
        <w:rPr>
          <w:rFonts w:ascii="Verdana" w:hAnsi="Verdana"/>
          <w:sz w:val="18"/>
          <w:szCs w:val="18"/>
          <w:lang w:val="en-US"/>
        </w:rPr>
        <w:t xml:space="preserve"> de Commissie de mededeling </w:t>
      </w:r>
      <w:r w:rsidRPr="00764061">
        <w:rPr>
          <w:rFonts w:ascii="Verdana" w:hAnsi="Verdana"/>
          <w:i/>
          <w:iCs/>
          <w:sz w:val="18"/>
          <w:szCs w:val="18"/>
          <w:lang w:val="en-US"/>
        </w:rPr>
        <w:t>‘Roadmap for lawful and effective access to data for law enforcement’</w:t>
      </w:r>
      <w:r w:rsidRPr="00764061">
        <w:rPr>
          <w:rFonts w:ascii="Verdana" w:hAnsi="Verdana"/>
          <w:sz w:val="18"/>
          <w:szCs w:val="18"/>
          <w:lang w:val="en-US"/>
        </w:rPr>
        <w:t xml:space="preserve"> gepubliceerd. </w:t>
      </w:r>
      <w:r w:rsidRPr="00764061">
        <w:rPr>
          <w:rFonts w:ascii="Verdana" w:hAnsi="Verdana"/>
          <w:sz w:val="18"/>
          <w:szCs w:val="18"/>
        </w:rPr>
        <w:t xml:space="preserve">Uw Kamer is hierover middels een BNC-fiche </w:t>
      </w:r>
      <w:r w:rsidRPr="00764061" w:rsidR="0000595E">
        <w:rPr>
          <w:rFonts w:ascii="Verdana" w:hAnsi="Verdana"/>
          <w:sz w:val="18"/>
          <w:szCs w:val="18"/>
        </w:rPr>
        <w:t>geïnformeerd</w:t>
      </w:r>
      <w:r w:rsidRPr="00764061">
        <w:rPr>
          <w:rFonts w:ascii="Verdana" w:hAnsi="Verdana"/>
          <w:sz w:val="18"/>
          <w:szCs w:val="18"/>
        </w:rPr>
        <w:t>.</w:t>
      </w:r>
      <w:r w:rsidRPr="00764061">
        <w:rPr>
          <w:rStyle w:val="Voetnootmarkering"/>
          <w:rFonts w:ascii="Verdana" w:hAnsi="Verdana"/>
          <w:sz w:val="18"/>
          <w:szCs w:val="18"/>
        </w:rPr>
        <w:footnoteReference w:id="2"/>
      </w:r>
      <w:r w:rsidRPr="00764061">
        <w:rPr>
          <w:rFonts w:ascii="Verdana" w:hAnsi="Verdana"/>
          <w:sz w:val="18"/>
          <w:szCs w:val="18"/>
        </w:rPr>
        <w:t xml:space="preserve"> Deze routekaart volgt op de oproep van de JBZ-Raad in december 2024 om in het tweede kwartaal van 2025 met een routekaart te komen </w:t>
      </w:r>
      <w:r w:rsidRPr="00764061" w:rsidR="009C52AC">
        <w:rPr>
          <w:rFonts w:ascii="Verdana" w:hAnsi="Verdana"/>
          <w:sz w:val="18"/>
          <w:szCs w:val="18"/>
        </w:rPr>
        <w:t>in navolging van</w:t>
      </w:r>
      <w:r w:rsidRPr="00764061">
        <w:rPr>
          <w:rFonts w:ascii="Verdana" w:hAnsi="Verdana"/>
          <w:sz w:val="18"/>
          <w:szCs w:val="18"/>
        </w:rPr>
        <w:t xml:space="preserve"> de aanbevelingen van de </w:t>
      </w:r>
      <w:r w:rsidRPr="00764061">
        <w:rPr>
          <w:rFonts w:ascii="Verdana" w:hAnsi="Verdana"/>
          <w:i/>
          <w:iCs/>
          <w:sz w:val="18"/>
          <w:szCs w:val="18"/>
        </w:rPr>
        <w:t>H</w:t>
      </w:r>
      <w:r w:rsidRPr="00764061" w:rsidR="0052797B">
        <w:rPr>
          <w:rFonts w:ascii="Verdana" w:hAnsi="Verdana"/>
          <w:i/>
          <w:iCs/>
          <w:sz w:val="18"/>
          <w:szCs w:val="18"/>
        </w:rPr>
        <w:t>igh Level Group on Access to Data</w:t>
      </w:r>
      <w:r w:rsidRPr="00764061" w:rsidR="0052797B">
        <w:rPr>
          <w:rFonts w:ascii="Verdana" w:hAnsi="Verdana"/>
          <w:sz w:val="18"/>
          <w:szCs w:val="18"/>
        </w:rPr>
        <w:t xml:space="preserve"> (H</w:t>
      </w:r>
      <w:r w:rsidRPr="00764061">
        <w:rPr>
          <w:rFonts w:ascii="Verdana" w:hAnsi="Verdana"/>
          <w:sz w:val="18"/>
          <w:szCs w:val="18"/>
        </w:rPr>
        <w:t>LG</w:t>
      </w:r>
      <w:r w:rsidRPr="00764061" w:rsidR="0052797B">
        <w:rPr>
          <w:rFonts w:ascii="Verdana" w:hAnsi="Verdana"/>
          <w:sz w:val="18"/>
          <w:szCs w:val="18"/>
        </w:rPr>
        <w:t>)</w:t>
      </w:r>
      <w:r w:rsidRPr="00764061">
        <w:rPr>
          <w:rFonts w:ascii="Verdana" w:hAnsi="Verdana"/>
          <w:sz w:val="18"/>
          <w:szCs w:val="18"/>
        </w:rPr>
        <w:t>.</w:t>
      </w:r>
      <w:r w:rsidRPr="00764061">
        <w:rPr>
          <w:rStyle w:val="Voetnootmarkering"/>
          <w:rFonts w:ascii="Verdana" w:hAnsi="Verdana"/>
          <w:sz w:val="18"/>
          <w:szCs w:val="18"/>
        </w:rPr>
        <w:footnoteReference w:id="3"/>
      </w:r>
      <w:r w:rsidRPr="00764061" w:rsidR="0052797B">
        <w:rPr>
          <w:rFonts w:ascii="Verdana" w:hAnsi="Verdana"/>
          <w:sz w:val="18"/>
          <w:szCs w:val="18"/>
        </w:rPr>
        <w:t xml:space="preserve"> In november 2024 heeft de </w:t>
      </w:r>
      <w:r w:rsidRPr="00764061" w:rsidR="00396078">
        <w:rPr>
          <w:rFonts w:ascii="Verdana" w:hAnsi="Verdana"/>
          <w:sz w:val="18"/>
          <w:szCs w:val="18"/>
        </w:rPr>
        <w:t>HLG</w:t>
      </w:r>
      <w:r w:rsidRPr="00764061" w:rsidR="006547B6">
        <w:rPr>
          <w:rFonts w:ascii="Verdana" w:hAnsi="Verdana"/>
          <w:sz w:val="18"/>
          <w:szCs w:val="18"/>
        </w:rPr>
        <w:t xml:space="preserve"> </w:t>
      </w:r>
      <w:r w:rsidRPr="00764061" w:rsidR="0052797B">
        <w:rPr>
          <w:rFonts w:ascii="Verdana" w:hAnsi="Verdana"/>
          <w:sz w:val="18"/>
          <w:szCs w:val="18"/>
        </w:rPr>
        <w:t>een eindrapport gepresenteerd waarin aanbevelingen zijn opgenomen met betrekking tot knelpunten in de toegang tot data voor opsporing. Daarin staan mogelijke oplossingen op drie deelonderwerpen: digitale opsporing, data retentie en toegang tot</w:t>
      </w:r>
      <w:r w:rsidRPr="00764061" w:rsidR="00396078">
        <w:rPr>
          <w:rFonts w:ascii="Verdana" w:hAnsi="Verdana"/>
          <w:sz w:val="18"/>
          <w:szCs w:val="18"/>
        </w:rPr>
        <w:t xml:space="preserve"> </w:t>
      </w:r>
      <w:r w:rsidRPr="00764061" w:rsidR="0052797B">
        <w:rPr>
          <w:rFonts w:ascii="Verdana" w:hAnsi="Verdana"/>
          <w:sz w:val="18"/>
          <w:szCs w:val="18"/>
        </w:rPr>
        <w:t>data.</w:t>
      </w:r>
    </w:p>
    <w:p w:rsidRPr="00764061" w:rsidR="00396078" w:rsidP="00F75495" w:rsidRDefault="00396078" w14:paraId="47F563EC" w14:textId="77777777">
      <w:pPr>
        <w:pStyle w:val="Lijstalinea"/>
        <w:spacing w:after="0" w:line="276" w:lineRule="auto"/>
        <w:ind w:left="360"/>
        <w:rPr>
          <w:rFonts w:ascii="Verdana" w:hAnsi="Verdana"/>
          <w:sz w:val="18"/>
          <w:szCs w:val="18"/>
        </w:rPr>
      </w:pPr>
    </w:p>
    <w:p w:rsidRPr="00764061" w:rsidR="00396078" w:rsidP="00F75495" w:rsidRDefault="00396078" w14:paraId="7A5FB701" w14:textId="35E89B48">
      <w:pPr>
        <w:pStyle w:val="Lijstalinea"/>
        <w:spacing w:after="0" w:line="276" w:lineRule="auto"/>
        <w:ind w:left="360"/>
        <w:rPr>
          <w:rFonts w:ascii="Verdana" w:hAnsi="Verdana"/>
          <w:sz w:val="18"/>
          <w:szCs w:val="18"/>
        </w:rPr>
      </w:pPr>
      <w:r w:rsidRPr="00764061">
        <w:rPr>
          <w:rFonts w:ascii="Verdana" w:hAnsi="Verdana"/>
          <w:sz w:val="18"/>
          <w:szCs w:val="18"/>
        </w:rPr>
        <w:t>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w:t>
      </w:r>
      <w:r w:rsidRPr="00764061" w:rsidR="009C52AC">
        <w:rPr>
          <w:rFonts w:ascii="Verdana" w:hAnsi="Verdana"/>
          <w:sz w:val="18"/>
          <w:szCs w:val="18"/>
        </w:rPr>
        <w:t>. Hierbij is</w:t>
      </w:r>
      <w:r w:rsidRPr="00764061">
        <w:rPr>
          <w:rFonts w:ascii="Verdana" w:hAnsi="Verdana"/>
          <w:sz w:val="18"/>
          <w:szCs w:val="18"/>
        </w:rPr>
        <w:t xml:space="preserve"> het van belang gedegen, prudente en concrete stappen te nemen. Het kabinet zal </w:t>
      </w:r>
      <w:r w:rsidRPr="00764061">
        <w:rPr>
          <w:rFonts w:ascii="Verdana" w:hAnsi="Verdana"/>
          <w:bCs/>
          <w:sz w:val="18"/>
          <w:szCs w:val="18"/>
        </w:rPr>
        <w:t>daarbij in Europa blijven uitdragen dat end-to-end encryptie niet onmogelijk mag worden gemaakt</w:t>
      </w:r>
      <w:r w:rsidRPr="00764061">
        <w:rPr>
          <w:rFonts w:ascii="Verdana" w:hAnsi="Verdana"/>
          <w:bCs/>
          <w:sz w:val="18"/>
          <w:szCs w:val="18"/>
          <w:vertAlign w:val="superscript"/>
        </w:rPr>
        <w:footnoteReference w:id="4"/>
      </w:r>
      <w:r w:rsidRPr="00764061">
        <w:rPr>
          <w:rFonts w:ascii="Verdana" w:hAnsi="Verdana"/>
          <w:bCs/>
          <w:sz w:val="18"/>
          <w:szCs w:val="18"/>
        </w:rPr>
        <w:t xml:space="preserve"> en het kabinetsstandpunt in acht nemen.</w:t>
      </w:r>
      <w:r w:rsidRPr="00764061">
        <w:rPr>
          <w:rFonts w:ascii="Verdana" w:hAnsi="Verdana"/>
          <w:bCs/>
          <w:sz w:val="18"/>
          <w:szCs w:val="18"/>
          <w:vertAlign w:val="superscript"/>
        </w:rPr>
        <w:footnoteReference w:id="5"/>
      </w:r>
      <w:r w:rsidRPr="00764061">
        <w:rPr>
          <w:rFonts w:ascii="Verdana" w:hAnsi="Verdana"/>
          <w:bCs/>
          <w:sz w:val="18"/>
          <w:szCs w:val="18"/>
        </w:rPr>
        <w:t xml:space="preserve"> </w:t>
      </w:r>
    </w:p>
    <w:p w:rsidRPr="00764061" w:rsidR="00396078" w:rsidP="00F75495" w:rsidRDefault="00396078" w14:paraId="2E375773" w14:textId="77777777">
      <w:pPr>
        <w:pStyle w:val="Lijstalinea"/>
        <w:spacing w:after="0" w:line="276" w:lineRule="auto"/>
        <w:ind w:left="360"/>
        <w:rPr>
          <w:rFonts w:ascii="Verdana" w:hAnsi="Verdana"/>
          <w:sz w:val="18"/>
          <w:szCs w:val="18"/>
        </w:rPr>
      </w:pPr>
    </w:p>
    <w:p w:rsidRPr="00764061" w:rsidR="00F01ECD" w:rsidP="00F75495" w:rsidRDefault="00BC5AF5" w14:paraId="3A474464" w14:textId="5AF37173">
      <w:pPr>
        <w:pStyle w:val="Lijstalinea"/>
        <w:spacing w:after="0" w:line="276" w:lineRule="auto"/>
        <w:ind w:left="360"/>
        <w:rPr>
          <w:rFonts w:ascii="Verdana" w:hAnsi="Verdana"/>
          <w:sz w:val="18"/>
          <w:szCs w:val="18"/>
        </w:rPr>
      </w:pPr>
      <w:r w:rsidRPr="00764061">
        <w:rPr>
          <w:rFonts w:ascii="Verdana" w:hAnsi="Verdana"/>
          <w:sz w:val="18"/>
          <w:szCs w:val="18"/>
        </w:rPr>
        <w:t xml:space="preserve">De precieze focus die het Voorzitterschap voor ogen heeft is op moment van schrijven nog niet bekend. Naar verwachting zal er door de Commissie een toelichting worden gegeven op de huidige stand van zaken betreffende de routekaart. </w:t>
      </w:r>
      <w:r w:rsidRPr="00764061" w:rsidR="00BF7A51">
        <w:rPr>
          <w:rFonts w:ascii="Verdana" w:hAnsi="Verdana"/>
          <w:sz w:val="18"/>
          <w:szCs w:val="18"/>
        </w:rPr>
        <w:t>In de routekaart kondig</w:t>
      </w:r>
      <w:r w:rsidRPr="00764061" w:rsidR="009C52AC">
        <w:rPr>
          <w:rFonts w:ascii="Verdana" w:hAnsi="Verdana"/>
          <w:sz w:val="18"/>
          <w:szCs w:val="18"/>
        </w:rPr>
        <w:t>t</w:t>
      </w:r>
      <w:r w:rsidRPr="00764061" w:rsidR="00BF7A51">
        <w:rPr>
          <w:rFonts w:ascii="Verdana" w:hAnsi="Verdana"/>
          <w:sz w:val="18"/>
          <w:szCs w:val="18"/>
        </w:rPr>
        <w:t xml:space="preserve"> de Commissie aan te werken aan een technologische routekaart, het creëren van een gelijk speelveld tussen telecom- en communicatiediensten, en een meer gecoördineerde EU-aanpak voor digitale forensische toepassingen. </w:t>
      </w:r>
    </w:p>
    <w:p w:rsidRPr="00764061" w:rsidR="00F01ECD" w:rsidP="00F75495" w:rsidRDefault="00F01ECD" w14:paraId="01068F08" w14:textId="77777777">
      <w:pPr>
        <w:pStyle w:val="Lijstalinea"/>
        <w:spacing w:after="0" w:line="276" w:lineRule="auto"/>
        <w:ind w:left="360"/>
        <w:rPr>
          <w:rFonts w:ascii="Verdana" w:hAnsi="Verdana"/>
          <w:sz w:val="18"/>
          <w:szCs w:val="18"/>
        </w:rPr>
      </w:pPr>
    </w:p>
    <w:p w:rsidRPr="00764061" w:rsidR="00396078" w:rsidP="00F75495" w:rsidRDefault="00BF7A51" w14:paraId="1C416EB8" w14:textId="58712ECC">
      <w:pPr>
        <w:pStyle w:val="Lijstalinea"/>
        <w:spacing w:line="276" w:lineRule="auto"/>
        <w:ind w:left="360"/>
        <w:rPr>
          <w:rFonts w:ascii="Verdana" w:hAnsi="Verdana"/>
          <w:sz w:val="18"/>
          <w:szCs w:val="18"/>
        </w:rPr>
      </w:pPr>
      <w:r w:rsidRPr="00764061">
        <w:rPr>
          <w:rFonts w:ascii="Verdana" w:hAnsi="Verdana"/>
          <w:sz w:val="18"/>
          <w:szCs w:val="18"/>
        </w:rPr>
        <w:t>Op het gebied van dataretentie acht het kabinet geharmoniseerde dataretentieregelgeving noodzakelijk, gelet op de sterk uiteenlopende wetgeving in de lidstaten</w:t>
      </w:r>
      <w:r w:rsidRPr="00764061" w:rsidR="00396078">
        <w:rPr>
          <w:rFonts w:ascii="Verdana" w:hAnsi="Verdana"/>
          <w:sz w:val="18"/>
          <w:szCs w:val="18"/>
        </w:rPr>
        <w:t>, om de door de Commissie en HLG genoemde rechtsongelijkheid die is ontstaan in het beschermingsniveau van EU-burgers en bedrijven aan te pakken</w:t>
      </w:r>
      <w:r w:rsidRPr="00764061">
        <w:rPr>
          <w:rFonts w:ascii="Verdana" w:hAnsi="Verdana"/>
          <w:sz w:val="18"/>
          <w:szCs w:val="18"/>
        </w:rPr>
        <w:t xml:space="preserve"> en de retentie van gegevens ten behoeve van de strafrechtspleging onder strenge voorwaarden mogelijk te maken. </w:t>
      </w:r>
      <w:bookmarkEnd w:id="1"/>
      <w:r w:rsidRPr="00764061" w:rsidR="00396078">
        <w:rPr>
          <w:rFonts w:ascii="Verdana" w:hAnsi="Verdana"/>
          <w:sz w:val="18"/>
          <w:szCs w:val="18"/>
        </w:rPr>
        <w:t xml:space="preserve">Uiteraard zal, in lijn met de daartoe strekkende HLG-aanbevelingen, eventuele dataretentiewetgeving in lijn moeten zijn met grondrechten en de jurisprudentie van het Europees Hof van Justitie.  </w:t>
      </w:r>
    </w:p>
    <w:p w:rsidRPr="00764061" w:rsidR="007045D9" w:rsidP="00F75495" w:rsidRDefault="007045D9" w14:paraId="019B85DD" w14:textId="77777777">
      <w:pPr>
        <w:pStyle w:val="Lijstalinea"/>
        <w:spacing w:after="0" w:line="276" w:lineRule="auto"/>
        <w:ind w:left="360"/>
        <w:rPr>
          <w:rFonts w:ascii="Verdana" w:hAnsi="Verdana"/>
          <w:sz w:val="18"/>
          <w:szCs w:val="18"/>
        </w:rPr>
      </w:pPr>
    </w:p>
    <w:p w:rsidRPr="00764061" w:rsidR="0000595E" w:rsidP="00F75495" w:rsidRDefault="00F41E84" w14:paraId="230F5F73" w14:textId="6C472D23">
      <w:pPr>
        <w:pStyle w:val="Lijstalinea"/>
        <w:spacing w:after="0" w:line="276" w:lineRule="auto"/>
        <w:ind w:left="360"/>
        <w:rPr>
          <w:rFonts w:ascii="Verdana" w:hAnsi="Verdana"/>
          <w:sz w:val="18"/>
          <w:szCs w:val="18"/>
        </w:rPr>
      </w:pPr>
      <w:r w:rsidRPr="00764061">
        <w:rPr>
          <w:rFonts w:ascii="Verdana" w:hAnsi="Verdana"/>
          <w:sz w:val="18"/>
          <w:szCs w:val="18"/>
        </w:rPr>
        <w:t>Nederland</w:t>
      </w:r>
      <w:r w:rsidRPr="00764061" w:rsidR="0000595E">
        <w:rPr>
          <w:rFonts w:ascii="Verdana" w:hAnsi="Verdana"/>
          <w:sz w:val="18"/>
          <w:szCs w:val="18"/>
        </w:rPr>
        <w:t xml:space="preserve"> zal de informatievoorziening tijdens de JBZ-Raad aanhoren.</w:t>
      </w:r>
    </w:p>
    <w:p w:rsidRPr="00764061" w:rsidR="00BC5AF5" w:rsidP="00F75495" w:rsidRDefault="00BC5AF5" w14:paraId="2ECF54BD" w14:textId="77777777">
      <w:pPr>
        <w:spacing w:after="0" w:line="276" w:lineRule="auto"/>
        <w:rPr>
          <w:rFonts w:ascii="Verdana" w:hAnsi="Verdana"/>
          <w:b/>
          <w:bCs/>
          <w:sz w:val="18"/>
          <w:szCs w:val="18"/>
        </w:rPr>
      </w:pPr>
    </w:p>
    <w:p w:rsidRPr="00764061" w:rsidR="0045667E" w:rsidP="00F75495" w:rsidRDefault="0045667E" w14:paraId="046B31CA" w14:textId="77777777">
      <w:pPr>
        <w:spacing w:after="0" w:line="276" w:lineRule="auto"/>
        <w:rPr>
          <w:rFonts w:ascii="Verdana" w:hAnsi="Verdana"/>
          <w:b/>
          <w:bCs/>
          <w:sz w:val="18"/>
          <w:szCs w:val="18"/>
        </w:rPr>
      </w:pPr>
    </w:p>
    <w:p w:rsidRPr="00764061" w:rsidR="00BC5AF5" w:rsidP="00F75495" w:rsidRDefault="65DCAC31" w14:paraId="24C74476" w14:textId="77777777">
      <w:pPr>
        <w:pStyle w:val="Lijstalinea"/>
        <w:numPr>
          <w:ilvl w:val="3"/>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Overige onderwerpen</w:t>
      </w:r>
    </w:p>
    <w:p w:rsidRPr="00764061" w:rsidR="0092466F" w:rsidP="00F75495" w:rsidRDefault="65DCAC31" w14:paraId="2997ABBC" w14:textId="0101E843">
      <w:pPr>
        <w:pStyle w:val="Lijstalinea"/>
        <w:numPr>
          <w:ilvl w:val="4"/>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 xml:space="preserve">Jaarlijks voortgangsverslag over handhaving en </w:t>
      </w:r>
      <w:r w:rsidRPr="00764061" w:rsidR="009D041A">
        <w:rPr>
          <w:rFonts w:ascii="Verdana" w:hAnsi="Verdana" w:eastAsia="Verdana" w:cs="Verdana"/>
          <w:b/>
          <w:bCs/>
          <w:sz w:val="18"/>
          <w:szCs w:val="18"/>
        </w:rPr>
        <w:t>implementatie</w:t>
      </w:r>
    </w:p>
    <w:p w:rsidRPr="00764061" w:rsidR="00BC5AF5" w:rsidP="00F75495" w:rsidRDefault="65DCAC31" w14:paraId="36BC4261" w14:textId="0DC6D424">
      <w:pPr>
        <w:spacing w:after="0" w:line="276" w:lineRule="auto"/>
        <w:ind w:left="283"/>
        <w:rPr>
          <w:rFonts w:ascii="Verdana" w:hAnsi="Verdana" w:eastAsia="Verdana" w:cs="Verdana"/>
          <w:b/>
          <w:bCs/>
          <w:i/>
          <w:iCs/>
          <w:sz w:val="18"/>
          <w:szCs w:val="18"/>
        </w:rPr>
      </w:pPr>
      <w:r w:rsidRPr="00764061">
        <w:rPr>
          <w:rFonts w:ascii="Verdana" w:hAnsi="Verdana" w:eastAsia="Verdana" w:cs="Verdana"/>
          <w:i/>
          <w:iCs/>
          <w:sz w:val="18"/>
          <w:szCs w:val="18"/>
        </w:rPr>
        <w:t>Informatie van de Commissie</w:t>
      </w:r>
      <w:r w:rsidRPr="00764061" w:rsidR="00F00812">
        <w:rPr>
          <w:rFonts w:ascii="Verdana" w:hAnsi="Verdana"/>
          <w:i/>
          <w:iCs/>
          <w:sz w:val="18"/>
          <w:szCs w:val="18"/>
        </w:rPr>
        <w:br/>
      </w:r>
    </w:p>
    <w:p w:rsidRPr="00764061" w:rsidR="00F01ECD" w:rsidP="00F75495" w:rsidRDefault="001251D2" w14:paraId="7060C62B" w14:textId="7777777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 xml:space="preserve">De Commissie zal het jaarlijkse voortgangsrapport over handhaving en </w:t>
      </w:r>
      <w:r w:rsidRPr="00764061" w:rsidR="00F01ECD">
        <w:rPr>
          <w:rFonts w:ascii="Verdana" w:hAnsi="Verdana" w:eastAsia="Calibri" w:cs="Times New Roman"/>
          <w:sz w:val="18"/>
          <w:szCs w:val="18"/>
        </w:rPr>
        <w:t xml:space="preserve">implementatie </w:t>
      </w:r>
      <w:r w:rsidRPr="00764061">
        <w:rPr>
          <w:rFonts w:ascii="Verdana" w:hAnsi="Verdana" w:eastAsia="Calibri" w:cs="Times New Roman"/>
          <w:sz w:val="18"/>
          <w:szCs w:val="18"/>
        </w:rPr>
        <w:t xml:space="preserve">van EU-wetgeving en </w:t>
      </w:r>
      <w:r w:rsidRPr="00764061" w:rsidR="00F01ECD">
        <w:rPr>
          <w:rFonts w:ascii="Verdana" w:hAnsi="Verdana" w:eastAsia="Calibri" w:cs="Times New Roman"/>
          <w:sz w:val="18"/>
          <w:szCs w:val="18"/>
        </w:rPr>
        <w:t>-</w:t>
      </w:r>
      <w:r w:rsidRPr="00764061">
        <w:rPr>
          <w:rFonts w:ascii="Verdana" w:hAnsi="Verdana" w:eastAsia="Calibri" w:cs="Times New Roman"/>
          <w:sz w:val="18"/>
          <w:szCs w:val="18"/>
        </w:rPr>
        <w:t>beleid presenteren aan de JBZ-Raad, zoals aangekondigd in het Commissie-werkprogramma 2025. Het verslag is bedoeld om gemeenschappelijk eigenaarschap van de instellingen te bevorderen en inzicht te geven in naleving, knelpunten en verbeterpunten. Het geagendeerde voortgangsrapport is nog niet verspreid.</w:t>
      </w:r>
      <w:r w:rsidRPr="00764061" w:rsidR="0000595E">
        <w:rPr>
          <w:rFonts w:ascii="Verdana" w:hAnsi="Verdana" w:eastAsia="Calibri" w:cs="Times New Roman"/>
          <w:sz w:val="18"/>
          <w:szCs w:val="18"/>
        </w:rPr>
        <w:t xml:space="preserve"> </w:t>
      </w:r>
    </w:p>
    <w:p w:rsidRPr="00764061" w:rsidR="00F01ECD" w:rsidP="00F75495" w:rsidRDefault="00F01ECD" w14:paraId="47E50987" w14:textId="77777777">
      <w:pPr>
        <w:spacing w:after="0" w:line="276" w:lineRule="auto"/>
        <w:ind w:left="283"/>
        <w:contextualSpacing/>
        <w:rPr>
          <w:rFonts w:ascii="Verdana" w:hAnsi="Verdana" w:eastAsia="Calibri" w:cs="Times New Roman"/>
          <w:sz w:val="18"/>
          <w:szCs w:val="18"/>
        </w:rPr>
      </w:pPr>
    </w:p>
    <w:p w:rsidRPr="00764061" w:rsidR="001251D2" w:rsidP="00F75495" w:rsidRDefault="00F41E84" w14:paraId="7D41D4B7" w14:textId="6B2AC5F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Nederland</w:t>
      </w:r>
      <w:r w:rsidRPr="00764061" w:rsidR="0000595E">
        <w:rPr>
          <w:rFonts w:ascii="Verdana" w:hAnsi="Verdana" w:eastAsia="Calibri" w:cs="Times New Roman"/>
          <w:sz w:val="18"/>
          <w:szCs w:val="18"/>
        </w:rPr>
        <w:t xml:space="preserve"> zal de informatie aanhoren.</w:t>
      </w:r>
    </w:p>
    <w:p w:rsidRPr="00764061" w:rsidR="001251D2" w:rsidP="00F75495" w:rsidRDefault="001251D2" w14:paraId="07F36B82" w14:textId="77777777">
      <w:pPr>
        <w:spacing w:after="0" w:line="276" w:lineRule="auto"/>
        <w:contextualSpacing/>
        <w:rPr>
          <w:rFonts w:ascii="Verdana" w:hAnsi="Verdana" w:eastAsia="Calibri" w:cs="Times New Roman"/>
          <w:sz w:val="18"/>
          <w:szCs w:val="18"/>
        </w:rPr>
      </w:pPr>
    </w:p>
    <w:p w:rsidRPr="00764061" w:rsidR="001251D2" w:rsidP="00F75495" w:rsidRDefault="001251D2" w14:paraId="058B46E9" w14:textId="77777777">
      <w:pPr>
        <w:spacing w:after="0" w:line="276" w:lineRule="auto"/>
        <w:ind w:left="283"/>
        <w:contextualSpacing/>
        <w:rPr>
          <w:rFonts w:ascii="Verdana" w:hAnsi="Verdana" w:eastAsia="Calibri" w:cs="Times New Roman"/>
          <w:sz w:val="18"/>
          <w:szCs w:val="18"/>
        </w:rPr>
      </w:pPr>
    </w:p>
    <w:p w:rsidRPr="00764061" w:rsidR="00F00812" w:rsidP="00F75495" w:rsidRDefault="00F00812" w14:paraId="41C72F37" w14:textId="48B906D5">
      <w:pPr>
        <w:numPr>
          <w:ilvl w:val="0"/>
          <w:numId w:val="11"/>
        </w:numPr>
        <w:spacing w:after="0" w:line="259" w:lineRule="auto"/>
        <w:contextualSpacing/>
        <w:rPr>
          <w:rFonts w:ascii="Calibri" w:hAnsi="Calibri" w:eastAsia="Calibri" w:cs="Times New Roman"/>
        </w:rPr>
      </w:pPr>
      <w:r w:rsidRPr="00764061">
        <w:rPr>
          <w:rFonts w:ascii="Verdana" w:hAnsi="Verdana" w:eastAsia="Verdana" w:cs="Verdana"/>
          <w:b/>
          <w:bCs/>
          <w:kern w:val="0"/>
          <w14:ligatures w14:val="none"/>
        </w:rPr>
        <w:t xml:space="preserve"> Binnenlandse Zaken</w:t>
      </w:r>
    </w:p>
    <w:p w:rsidRPr="00764061" w:rsidR="00F00812" w:rsidP="00F75495" w:rsidRDefault="00F00812" w14:paraId="215B7840" w14:textId="52811013">
      <w:pPr>
        <w:spacing w:after="0" w:line="259" w:lineRule="auto"/>
        <w:contextualSpacing/>
        <w:rPr>
          <w:rFonts w:ascii="Verdana" w:hAnsi="Verdana" w:eastAsia="Verdana" w:cs="Verdana"/>
          <w:b/>
          <w:bCs/>
          <w:sz w:val="18"/>
          <w:szCs w:val="18"/>
        </w:rPr>
      </w:pPr>
    </w:p>
    <w:p w:rsidRPr="00764061" w:rsidR="00151D93" w:rsidP="00F75495" w:rsidRDefault="65DCAC31" w14:paraId="5F11F9E0" w14:textId="7512364A">
      <w:pPr>
        <w:pStyle w:val="Lijstalinea"/>
        <w:numPr>
          <w:ilvl w:val="3"/>
          <w:numId w:val="11"/>
        </w:numPr>
        <w:spacing w:after="0" w:line="276" w:lineRule="auto"/>
        <w:rPr>
          <w:rFonts w:ascii="Verdana" w:hAnsi="Verdana" w:eastAsia="Verdana" w:cs="Verdana"/>
          <w:i/>
          <w:iCs/>
          <w:sz w:val="18"/>
          <w:szCs w:val="18"/>
        </w:rPr>
      </w:pPr>
      <w:r w:rsidRPr="00764061">
        <w:rPr>
          <w:rFonts w:ascii="Verdana" w:hAnsi="Verdana" w:eastAsia="Verdana" w:cs="Verdana"/>
          <w:b/>
          <w:bCs/>
          <w:sz w:val="18"/>
          <w:szCs w:val="18"/>
        </w:rPr>
        <w:t>Verordening tot vaststelling van een gemeenschappelijk systeem voor de terugkeer van onderdanen van derde landen die illegaal in de EU verblijven</w:t>
      </w:r>
      <w:r w:rsidRPr="00764061" w:rsidR="00F00812">
        <w:rPr>
          <w:rFonts w:ascii="Verdana" w:hAnsi="Verdana"/>
          <w:sz w:val="18"/>
          <w:szCs w:val="18"/>
        </w:rPr>
        <w:br/>
      </w:r>
      <w:r w:rsidRPr="00764061">
        <w:rPr>
          <w:rFonts w:ascii="Verdana" w:hAnsi="Verdana" w:eastAsia="Verdana" w:cs="Verdana"/>
          <w:i/>
          <w:iCs/>
          <w:sz w:val="18"/>
          <w:szCs w:val="18"/>
        </w:rPr>
        <w:t>Beleidsdebat</w:t>
      </w:r>
    </w:p>
    <w:p w:rsidRPr="00764061" w:rsidR="00151D93" w:rsidP="00F75495" w:rsidRDefault="00151D93" w14:paraId="3433494F" w14:textId="77777777">
      <w:pPr>
        <w:spacing w:after="0" w:line="276" w:lineRule="auto"/>
        <w:rPr>
          <w:rFonts w:ascii="Verdana" w:hAnsi="Verdana"/>
          <w:sz w:val="18"/>
          <w:szCs w:val="18"/>
        </w:rPr>
      </w:pPr>
    </w:p>
    <w:p w:rsidRPr="00764061" w:rsidR="003C67FD" w:rsidP="00F75495" w:rsidRDefault="003C67FD" w14:paraId="10851A9C" w14:textId="1FC63365">
      <w:pPr>
        <w:spacing w:after="0" w:line="276" w:lineRule="auto"/>
        <w:ind w:left="360"/>
        <w:rPr>
          <w:rFonts w:ascii="Verdana" w:hAnsi="Verdana"/>
          <w:sz w:val="18"/>
          <w:szCs w:val="18"/>
        </w:rPr>
      </w:pPr>
      <w:r w:rsidRPr="00764061">
        <w:rPr>
          <w:rFonts w:ascii="Verdana" w:hAnsi="Verdana"/>
          <w:sz w:val="18"/>
          <w:szCs w:val="18"/>
        </w:rPr>
        <w:t xml:space="preserve">Op 11 maart jl. heeft de Commissie een voorstel gedaan voor een Terugkeerverordening, die de huidige Terugkeerrichtlijn en gerelateerde EU-wetgeving moet vervangen. Sinds de publicatie van het voorstel is in de Raad regelmatig van gedachten gewisseld over het voorstel. Het Deense voorzitterschap heeft de ambitie uitgesproken om voor het einde van dit kalenderjaar een onderhandelingsmandaat te bereiken in de Raad. De verwachting is dat het Voorzitterschap tijdens de komende JBZ-Raad op hoofdlijnen overeenstemming wil bereiken in de Raad over een aantal onderdelen van het voorstel. Op moment van schrijven is nog niet bekend welke onderdelen van het voorstel het Voorzitterschap uit wil lichten tijdens de Raad. </w:t>
      </w:r>
    </w:p>
    <w:p w:rsidRPr="00764061" w:rsidR="003C67FD" w:rsidP="00F75495" w:rsidRDefault="003C67FD" w14:paraId="5D5A9AD4" w14:textId="77777777">
      <w:pPr>
        <w:spacing w:after="0" w:line="276" w:lineRule="auto"/>
        <w:rPr>
          <w:rFonts w:ascii="Verdana" w:hAnsi="Verdana"/>
          <w:sz w:val="18"/>
          <w:szCs w:val="18"/>
        </w:rPr>
      </w:pPr>
    </w:p>
    <w:p w:rsidRPr="00764061" w:rsidR="003C67FD" w:rsidP="00F75495" w:rsidRDefault="003C67FD" w14:paraId="7A07A319" w14:textId="6B4154E2">
      <w:pPr>
        <w:spacing w:after="0" w:line="276" w:lineRule="auto"/>
        <w:ind w:left="360"/>
        <w:rPr>
          <w:rFonts w:ascii="Verdana" w:hAnsi="Verdana"/>
          <w:sz w:val="18"/>
          <w:szCs w:val="18"/>
        </w:rPr>
      </w:pPr>
      <w:r w:rsidRPr="00764061">
        <w:rPr>
          <w:rFonts w:ascii="Verdana" w:hAnsi="Verdana"/>
          <w:sz w:val="18"/>
          <w:szCs w:val="18"/>
        </w:rPr>
        <w:t>Het kabinet ondersteunt de ambitie van het Deense voorzitterschap om voor het einde van dit kalenderjaar tot een onderhandelingsmandaat te komen in de Raad. Het voornemen van het Voorzitterschap om op de komende JBZ-Raad reeds een debat te voeren over een aantal onderdelen van het voorstel kan op steun van het kabinet rekenen. De onderhandelingen in de Raad zijn in volle gang en bespreking op ministerieel niveau om sturing te vragen komt op een gelegen moment. Voor het kabinet is van belang dat een nieuw juridisch kader in de EU de uitvoering van het terugkeerproces vereenvoudigt en versnelt en daarmee het aandeel vertrekplichtige vreemdelingen dat daadwerkelijk het grondgebied van de lidstaten verlaat vergroot. Daarbij zal het kabinet langs de lijnen van het BNC-fiche ingaan op de onderdelen van het voorstel die dat versterken en waar nog risico’s worden gezien.</w:t>
      </w:r>
      <w:r w:rsidRPr="00764061">
        <w:rPr>
          <w:rFonts w:ascii="Verdana" w:hAnsi="Verdana"/>
          <w:sz w:val="18"/>
          <w:szCs w:val="18"/>
          <w:vertAlign w:val="superscript"/>
        </w:rPr>
        <w:footnoteReference w:id="6"/>
      </w:r>
      <w:r w:rsidRPr="00764061">
        <w:rPr>
          <w:rFonts w:ascii="Verdana" w:hAnsi="Verdana"/>
          <w:sz w:val="18"/>
          <w:szCs w:val="18"/>
        </w:rPr>
        <w:t xml:space="preserve"> Andere lidstaten zullen naar verwachting de bespreking van de onderhandelingen over het voorstel verwelkomen en daarbij hun prioriteiten naar voren brengen. Een aantal lidstaten zal erop wijzen dat snelle voortgang van de onderhandelingen niet ten koste mag gaan van de kwaliteit van de wetgeving.</w:t>
      </w:r>
    </w:p>
    <w:p w:rsidRPr="00764061" w:rsidR="00151D93" w:rsidP="00F75495" w:rsidRDefault="00151D93" w14:paraId="79EF8384" w14:textId="77777777">
      <w:pPr>
        <w:pStyle w:val="Lijstalinea"/>
        <w:spacing w:after="0" w:line="276" w:lineRule="auto"/>
        <w:ind w:left="735"/>
        <w:rPr>
          <w:rFonts w:ascii="Verdana" w:hAnsi="Verdana"/>
          <w:sz w:val="18"/>
          <w:szCs w:val="18"/>
        </w:rPr>
      </w:pPr>
    </w:p>
    <w:p w:rsidRPr="00764061" w:rsidR="00151D93" w:rsidP="00F75495" w:rsidRDefault="65DCAC31" w14:paraId="595A91EF" w14:textId="792B9A76">
      <w:pPr>
        <w:pStyle w:val="Lijstalinea"/>
        <w:numPr>
          <w:ilvl w:val="3"/>
          <w:numId w:val="11"/>
        </w:numPr>
        <w:spacing w:after="0" w:line="276" w:lineRule="auto"/>
        <w:rPr>
          <w:rFonts w:ascii="Verdana" w:hAnsi="Verdana" w:eastAsia="Verdana" w:cs="Verdana"/>
          <w:b/>
          <w:bCs/>
          <w:sz w:val="18"/>
          <w:szCs w:val="18"/>
        </w:rPr>
      </w:pPr>
      <w:r w:rsidRPr="00764061">
        <w:rPr>
          <w:rFonts w:ascii="Verdana" w:hAnsi="Verdana" w:eastAsia="Verdana" w:cs="Verdana"/>
          <w:b/>
          <w:bCs/>
          <w:sz w:val="18"/>
          <w:szCs w:val="18"/>
        </w:rPr>
        <w:t>Algemene toestand van het Schengengebied</w:t>
      </w:r>
    </w:p>
    <w:p w:rsidRPr="00764061" w:rsidR="00151D93" w:rsidP="00F75495" w:rsidRDefault="65DCAC31" w14:paraId="1577316A" w14:textId="33D508C1">
      <w:pPr>
        <w:pStyle w:val="Lijstalinea"/>
        <w:spacing w:after="0" w:line="276" w:lineRule="auto"/>
        <w:ind w:left="735"/>
        <w:rPr>
          <w:rFonts w:ascii="Verdana" w:hAnsi="Verdana"/>
          <w:sz w:val="18"/>
          <w:szCs w:val="18"/>
        </w:rPr>
      </w:pPr>
      <w:r w:rsidRPr="00764061">
        <w:rPr>
          <w:rFonts w:ascii="Verdana" w:hAnsi="Verdana" w:eastAsia="Verdana" w:cs="Verdana"/>
          <w:b/>
          <w:bCs/>
          <w:sz w:val="18"/>
          <w:szCs w:val="18"/>
        </w:rPr>
        <w:t>a. Schengen barometer</w:t>
      </w:r>
      <w:r w:rsidRPr="00764061" w:rsidR="00F00812">
        <w:rPr>
          <w:rFonts w:ascii="Verdana" w:hAnsi="Verdana"/>
          <w:sz w:val="18"/>
          <w:szCs w:val="18"/>
        </w:rPr>
        <w:br/>
      </w:r>
      <w:r w:rsidRPr="00764061">
        <w:rPr>
          <w:rFonts w:ascii="Verdana" w:hAnsi="Verdana" w:eastAsia="Verdana" w:cs="Verdana"/>
          <w:b/>
          <w:bCs/>
          <w:sz w:val="18"/>
          <w:szCs w:val="18"/>
        </w:rPr>
        <w:t>b. Toekomst van Frontex</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3C67FD" w:rsidP="00F75495" w:rsidRDefault="003C67FD" w14:paraId="7E168428" w14:textId="77777777">
      <w:pPr>
        <w:spacing w:after="0" w:line="276" w:lineRule="auto"/>
        <w:rPr>
          <w:rFonts w:ascii="Verdana" w:hAnsi="Verdana"/>
          <w:sz w:val="18"/>
          <w:szCs w:val="18"/>
        </w:rPr>
      </w:pPr>
    </w:p>
    <w:p w:rsidRPr="00764061" w:rsidR="003C67FD" w:rsidP="00F75495" w:rsidRDefault="003C67FD" w14:paraId="04F4AFC1" w14:textId="77777777">
      <w:pPr>
        <w:spacing w:after="0" w:line="276" w:lineRule="auto"/>
        <w:ind w:left="360"/>
        <w:rPr>
          <w:rFonts w:ascii="Verdana" w:hAnsi="Verdana"/>
          <w:sz w:val="18"/>
          <w:szCs w:val="18"/>
        </w:rPr>
      </w:pPr>
      <w:r w:rsidRPr="00764061">
        <w:rPr>
          <w:rFonts w:ascii="Verdana" w:hAnsi="Verdana"/>
          <w:sz w:val="18"/>
          <w:szCs w:val="18"/>
        </w:rPr>
        <w:t xml:space="preserve">In de Schengenraad zullen de lidstaten op basis van de nieuwste Schengenbarometer en een discussienotitie van het Voorzitterschap van gedachten wisselen over de algemene staat van het Schengengebied. Deze bespreking is onderdeel van de jaarlijkse Schengencyclus. De </w:t>
      </w:r>
      <w:r w:rsidRPr="00764061">
        <w:rPr>
          <w:rFonts w:ascii="Verdana" w:hAnsi="Verdana"/>
          <w:sz w:val="18"/>
          <w:szCs w:val="18"/>
        </w:rPr>
        <w:lastRenderedPageBreak/>
        <w:t xml:space="preserve">Schengenbarometer, opgesteld door de Commissie brengt op alle onderdelen van het Schengenacquis de meest in het oog springende ontwikkelingen, trends en risico’s in kaart. De Commissie geeft onder andere aan dat er sprake is van een afname van het aantal irreguliere (buiten)grensoverschrijdingen met een daling van 18% t.a.v. 2024. Ook is er sprake van een daling van het aantal secundaire migratiebewegingen. Aan de buitengrenzen is er een positieve trend met betrekking tot het versterken van het buitengrensbeheer en het aanpakken van tekortkomingen en kwetsbaarheden in het grensbeheer. Tegelijkertijd zijn hiermee volgens de Commissie nog niet alle kwetsbaarheden aangepakt en zijn er extra investeringen nodig om deze tekortkomingen aan te pakken. Verder legt de Commissie in de barometer nadruk op het belang van crisis- en noodplannen, zowel op het gebied van aanpak hybride dreigingen als ten aanzien van buitengrensbeheer en bevorderen van terugkeer. Het kabinet heeft met interesse kennisgenomen van de nieuwste Schengenbarometer. Het maakt goed inzichtelijk wat de laatste trends, ontwikkelingen en risico’s zijn. </w:t>
      </w:r>
    </w:p>
    <w:p w:rsidRPr="00764061" w:rsidR="003C67FD" w:rsidP="00F75495" w:rsidRDefault="003C67FD" w14:paraId="3A072B19" w14:textId="77777777">
      <w:pPr>
        <w:spacing w:after="0" w:line="276" w:lineRule="auto"/>
        <w:rPr>
          <w:rFonts w:ascii="Verdana" w:hAnsi="Verdana"/>
          <w:sz w:val="18"/>
          <w:szCs w:val="18"/>
        </w:rPr>
      </w:pPr>
    </w:p>
    <w:p w:rsidRPr="00764061" w:rsidR="0044223C" w:rsidP="00F75495" w:rsidRDefault="003C67FD" w14:paraId="66A5C641" w14:textId="77777777">
      <w:pPr>
        <w:spacing w:after="0" w:line="276" w:lineRule="auto"/>
        <w:ind w:left="360"/>
        <w:rPr>
          <w:rFonts w:ascii="Verdana" w:hAnsi="Verdana"/>
          <w:sz w:val="18"/>
          <w:szCs w:val="18"/>
        </w:rPr>
      </w:pPr>
      <w:r w:rsidRPr="00764061">
        <w:rPr>
          <w:rFonts w:ascii="Verdana" w:hAnsi="Verdana"/>
          <w:sz w:val="18"/>
          <w:szCs w:val="18"/>
        </w:rPr>
        <w:t>Daarnaast zal de Schengenraad van gedachten wisselen over de toekomst van Europese Grens- en Kustwachtagentschap, Frontex met het oog op de door de Commissie aangekondigde herziening van de Europese Grens- en Kustwachtverordening. Op het moment van schrijven zijn hiervoor nog geen stukken beschikbaar. Naar verwachting zal er een reflectie worden gevraagd op de doorontwikkeling van Frontex, zowel met betrekking tot de uitbreiding van het permanent korps, de taken van het agentschap, waaronder buitengrensbeheer en terugkeer en de mogelijkheid tot uitbreiding van het mandaat van het agentschap, bijvoorbeeld op het gebied van visumbeleid, inzet van Frontex binnen het Schengengebied en de inzet van Frontex in derde landen. Het kabinet is van mening dat de uitbreiding van Frontex doelmatig moet zijn en het daarom van belang is dat er gekeken wordt waar een aanpassing van de Verordening, het mandaat van Frontex en de uitbreiding van het permanent korps een duidelijke meerwaarde bieden. Het kabinet verwelkomt dat de Commissie een uitgebreide impact assessment uitvoert. Het kabinet ziet buitengrensbeheer en terugkeer als de kerntaken van het agentschap en verwelkomt de versterking van deze pijlers, met name ook waar het aankomt op de inzet van Frontex in derde landen. Hier pleit het kabinet specifiek voor een uitbreiding van het mandaat van Frontex met meer flexibiliteit voor de inzet in derde landen, waardoor bijvoorbeeld ook ondersteuning bij terugkeer van derde land naar derde land mogelijk wordt gemaakt. Daarnaast is het voor Nederland van belang dat informatie-uitwisseling tussen de Europese agentschappen en lidstaten verbeterd wordt, zodat secundaire migratiebewegingen en georganiseerde criminaliteit beter in kaart kunnen worden gebracht. Andere lidstaten zullen de Barometer eveneens verwelkomen. Verwachting is dat de bespreking in de Schengenraad zich met name zal richten op de toekomst van Frontex. Naar verwachting zal er onder lidstaten brede steun zijn voor een doelmatige aanpak van de herziening van de Verordening en de inzet van Frontex in derde landen.</w:t>
      </w:r>
    </w:p>
    <w:p w:rsidRPr="00764061" w:rsidR="003C67FD" w:rsidP="00F75495" w:rsidRDefault="003C67FD" w14:paraId="6F46AC03" w14:textId="00B3903F">
      <w:pPr>
        <w:spacing w:after="0" w:line="276" w:lineRule="auto"/>
        <w:ind w:left="360"/>
        <w:rPr>
          <w:rFonts w:ascii="Verdana" w:hAnsi="Verdana"/>
          <w:sz w:val="18"/>
          <w:szCs w:val="18"/>
        </w:rPr>
      </w:pPr>
    </w:p>
    <w:p w:rsidRPr="00764061" w:rsidR="004E402C" w:rsidP="00F75495" w:rsidRDefault="65DCAC31" w14:paraId="082A85A1" w14:textId="0587E715">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Implementatie van interoperabiliteit</w:t>
      </w:r>
      <w:r w:rsidRPr="00764061" w:rsidR="00F00812">
        <w:rPr>
          <w:rFonts w:ascii="Verdana" w:hAnsi="Verdana"/>
          <w:sz w:val="18"/>
          <w:szCs w:val="18"/>
        </w:rPr>
        <w:br/>
      </w:r>
      <w:r w:rsidRPr="00764061">
        <w:rPr>
          <w:rFonts w:ascii="Verdana" w:hAnsi="Verdana" w:eastAsia="Verdana" w:cs="Verdana"/>
          <w:i/>
          <w:iCs/>
          <w:sz w:val="18"/>
          <w:szCs w:val="18"/>
        </w:rPr>
        <w:t>Stand van zaken</w:t>
      </w:r>
      <w:r w:rsidRPr="00764061" w:rsidR="00861B0E">
        <w:rPr>
          <w:rFonts w:ascii="Verdana" w:hAnsi="Verdana" w:eastAsia="Verdana" w:cs="Verdana"/>
          <w:i/>
          <w:iCs/>
          <w:sz w:val="18"/>
          <w:szCs w:val="18"/>
        </w:rPr>
        <w:t xml:space="preserve"> </w:t>
      </w:r>
    </w:p>
    <w:p w:rsidRPr="00764061" w:rsidR="004E402C" w:rsidP="00F75495" w:rsidRDefault="004E402C" w14:paraId="20613B22" w14:textId="77777777">
      <w:pPr>
        <w:spacing w:after="0" w:line="276" w:lineRule="auto"/>
        <w:rPr>
          <w:rFonts w:ascii="Verdana" w:hAnsi="Verdana"/>
          <w:sz w:val="18"/>
          <w:szCs w:val="18"/>
        </w:rPr>
      </w:pPr>
    </w:p>
    <w:p w:rsidRPr="00764061" w:rsidR="009A1EFE" w:rsidP="00F75495" w:rsidRDefault="009A1EFE" w14:paraId="08B2242E" w14:textId="544BB438">
      <w:pPr>
        <w:spacing w:after="0" w:line="276" w:lineRule="auto"/>
        <w:ind w:left="360"/>
        <w:rPr>
          <w:rFonts w:ascii="Verdana" w:hAnsi="Verdana" w:eastAsia="Calibri" w:cs="Times New Roman"/>
          <w:kern w:val="0"/>
          <w:sz w:val="18"/>
          <w:szCs w:val="18"/>
          <w14:ligatures w14:val="none"/>
        </w:rPr>
      </w:pPr>
      <w:bookmarkStart w:name="_Hlk199229772" w:id="2"/>
      <w:r w:rsidRPr="00764061">
        <w:rPr>
          <w:rFonts w:ascii="Verdana" w:hAnsi="Verdana" w:eastAsia="Calibri" w:cs="Times New Roman"/>
          <w:kern w:val="0"/>
          <w:sz w:val="18"/>
          <w:szCs w:val="18"/>
          <w14:ligatures w14:val="none"/>
        </w:rPr>
        <w:t>In maart 2025 heeft de JBZ-Raad een herziene tijdlijn voor de tenuitvoerlegging van grootschalige IT-systemen en hun interoperabiliteit aangenomen.</w:t>
      </w:r>
      <w:r w:rsidRPr="00764061">
        <w:rPr>
          <w:rStyle w:val="Voetnootmarkering"/>
          <w:rFonts w:ascii="Verdana" w:hAnsi="Verdana" w:eastAsia="Calibri" w:cs="Times New Roman"/>
          <w:kern w:val="0"/>
          <w:sz w:val="18"/>
          <w:szCs w:val="18"/>
          <w14:ligatures w14:val="none"/>
        </w:rPr>
        <w:footnoteReference w:id="7"/>
      </w:r>
      <w:r w:rsidRPr="00764061">
        <w:rPr>
          <w:rFonts w:ascii="Verdana" w:hAnsi="Verdana" w:eastAsia="Calibri" w:cs="Times New Roman"/>
          <w:kern w:val="0"/>
          <w:sz w:val="18"/>
          <w:szCs w:val="18"/>
          <w14:ligatures w14:val="none"/>
        </w:rPr>
        <w:t xml:space="preserve"> Naar verwachting zal de Commissie een update geven over de implementatie van deze systemen. Het Entry/Exit System (EES) zal 12 oktober 2025 gefaseerd van start gaan. Voorafgaand aan de vorige formele JBZ-Raad van 12-13 juni jl. heeft Nederland de verklaring van gereedheid bij de Commissie ingediend. </w:t>
      </w:r>
    </w:p>
    <w:p w:rsidRPr="00764061" w:rsidR="009A1EFE" w:rsidP="00F75495" w:rsidRDefault="009A1EFE" w14:paraId="3522B3D5"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0F59B1EC" w14:textId="32D02CA6">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 xml:space="preserve">In aanvulling op de verklaring van gereedheid, heeft Nederland ook het nationale uitrolplan ingediend bij de Commissie. In dit uitrolplan, een verplichting uit de Verordening waaraan alle lidstaten moeten voldoen, geven de lidstaten aan hoe zij het EES op de verschillende grensdoorlaatposten zullen implementeren. Nederland start vanaf 12 oktober op twee </w:t>
      </w:r>
      <w:r w:rsidRPr="00764061">
        <w:rPr>
          <w:rFonts w:ascii="Verdana" w:hAnsi="Verdana" w:eastAsia="Calibri" w:cs="Times New Roman"/>
          <w:kern w:val="0"/>
          <w:sz w:val="18"/>
          <w:szCs w:val="18"/>
          <w14:ligatures w14:val="none"/>
        </w:rPr>
        <w:lastRenderedPageBreak/>
        <w:t xml:space="preserve">grensdoorlaatposten (Eemshaven en IJmuiden/Amsterdam-Haven) en zal vervolgens opschalen en op zoveel mogelijk doorlaatposten starten om de mijlpalen uit de Verordening te halen. </w:t>
      </w:r>
    </w:p>
    <w:p w:rsidRPr="00764061" w:rsidR="009A1EFE" w:rsidP="00F75495" w:rsidRDefault="009A1EFE" w14:paraId="7F0B5F68"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72580D38" w14:textId="77777777">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 xml:space="preserve">Het </w:t>
      </w:r>
      <w:r w:rsidRPr="00764061">
        <w:rPr>
          <w:rFonts w:ascii="Verdana" w:hAnsi="Verdana" w:eastAsia="Calibri" w:cs="Times New Roman"/>
          <w:i/>
          <w:iCs/>
          <w:kern w:val="0"/>
          <w:sz w:val="18"/>
          <w:szCs w:val="18"/>
          <w14:ligatures w14:val="none"/>
        </w:rPr>
        <w:t>European Travel Information and Authorisation System</w:t>
      </w:r>
      <w:r w:rsidRPr="00764061">
        <w:rPr>
          <w:rFonts w:ascii="Verdana" w:hAnsi="Verdana" w:eastAsia="Calibri" w:cs="Times New Roman"/>
          <w:kern w:val="0"/>
          <w:sz w:val="18"/>
          <w:szCs w:val="18"/>
          <w14:ligatures w14:val="none"/>
        </w:rPr>
        <w:t xml:space="preserve"> (ETIAS) staat gepland om van start te gaan in het vierde kwartaal van 2026. Verder is de implementatie van het vernieuwde Eurodac-systeem (</w:t>
      </w:r>
      <w:r w:rsidRPr="00764061">
        <w:rPr>
          <w:rFonts w:ascii="Verdana" w:hAnsi="Verdana" w:eastAsia="Calibri" w:cs="Times New Roman"/>
          <w:i/>
          <w:iCs/>
          <w:kern w:val="0"/>
          <w:sz w:val="18"/>
          <w:szCs w:val="18"/>
          <w14:ligatures w14:val="none"/>
        </w:rPr>
        <w:t>European Dactyloscopy</w:t>
      </w:r>
      <w:r w:rsidRPr="00764061">
        <w:rPr>
          <w:rFonts w:ascii="Verdana" w:hAnsi="Verdana" w:eastAsia="Calibri" w:cs="Times New Roman"/>
          <w:kern w:val="0"/>
          <w:sz w:val="18"/>
          <w:szCs w:val="18"/>
          <w14:ligatures w14:val="none"/>
        </w:rPr>
        <w:t xml:space="preserve">, de EU vingerprintdatabase) voorzien in juni 2026. </w:t>
      </w:r>
    </w:p>
    <w:p w:rsidRPr="00764061" w:rsidR="009A1EFE" w:rsidP="00F75495" w:rsidRDefault="009A1EFE" w14:paraId="370001AC" w14:textId="77777777">
      <w:pPr>
        <w:spacing w:after="0" w:line="276" w:lineRule="auto"/>
        <w:ind w:left="360"/>
        <w:rPr>
          <w:rFonts w:ascii="Verdana" w:hAnsi="Verdana" w:eastAsia="Calibri" w:cs="Times New Roman"/>
          <w:kern w:val="0"/>
          <w:sz w:val="18"/>
          <w:szCs w:val="18"/>
          <w14:ligatures w14:val="none"/>
        </w:rPr>
      </w:pPr>
    </w:p>
    <w:p w:rsidRPr="00764061" w:rsidR="009A1EFE" w:rsidP="00F75495" w:rsidRDefault="009A1EFE" w14:paraId="164D05B8" w14:textId="77777777">
      <w:pPr>
        <w:spacing w:after="0" w:line="276" w:lineRule="auto"/>
        <w:ind w:left="360"/>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De verwachting is dat de Commissie en EU-LISA tijdens de JBZ-Raad aandacht zullen besteden aan de start van het EES in het weekend voorafgaand aan de Raad. Nederland zal dit aanhoren.</w:t>
      </w:r>
    </w:p>
    <w:p w:rsidRPr="00764061" w:rsidR="00591073" w:rsidP="00F75495" w:rsidRDefault="00591073" w14:paraId="60D7D84B" w14:textId="77777777">
      <w:pPr>
        <w:spacing w:after="0" w:line="276" w:lineRule="auto"/>
        <w:rPr>
          <w:rFonts w:ascii="Verdana" w:hAnsi="Verdana" w:eastAsia="Calibri" w:cs="Times New Roman"/>
          <w:color w:val="FF0000"/>
          <w:kern w:val="0"/>
          <w:sz w:val="18"/>
          <w:szCs w:val="18"/>
          <w14:ligatures w14:val="none"/>
        </w:rPr>
      </w:pPr>
    </w:p>
    <w:bookmarkEnd w:id="2"/>
    <w:p w:rsidRPr="00764061" w:rsidR="00E71CAE" w:rsidP="00F75495" w:rsidRDefault="65DCAC31" w14:paraId="75E5491A" w14:textId="77777777">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Europese Verordening ter voorkoming en bestrijding van seksueel misbruik van kinderen</w:t>
      </w:r>
      <w:r w:rsidRPr="00764061" w:rsidR="00F00812">
        <w:rPr>
          <w:rFonts w:ascii="Verdana" w:hAnsi="Verdana"/>
          <w:sz w:val="18"/>
          <w:szCs w:val="18"/>
        </w:rPr>
        <w:br/>
      </w:r>
      <w:r w:rsidRPr="00764061">
        <w:rPr>
          <w:rFonts w:ascii="Verdana" w:hAnsi="Verdana" w:eastAsia="Verdana" w:cs="Verdana"/>
          <w:i/>
          <w:iCs/>
          <w:sz w:val="18"/>
          <w:szCs w:val="18"/>
        </w:rPr>
        <w:t xml:space="preserve">Gedeeltelijke algemene </w:t>
      </w:r>
      <w:r w:rsidRPr="00764061" w:rsidR="00925075">
        <w:rPr>
          <w:rFonts w:ascii="Verdana" w:hAnsi="Verdana" w:eastAsia="Verdana" w:cs="Verdana"/>
          <w:i/>
          <w:iCs/>
          <w:sz w:val="18"/>
          <w:szCs w:val="18"/>
        </w:rPr>
        <w:t>oriëntatie</w:t>
      </w:r>
      <w:r w:rsidRPr="00764061" w:rsidR="00E42975">
        <w:rPr>
          <w:rFonts w:ascii="Verdana" w:hAnsi="Verdana" w:eastAsia="Verdana" w:cs="Verdana"/>
          <w:i/>
          <w:iCs/>
          <w:sz w:val="18"/>
          <w:szCs w:val="18"/>
        </w:rPr>
        <w:br/>
      </w:r>
    </w:p>
    <w:p w:rsidRPr="00764061" w:rsidR="00E71CAE" w:rsidP="00F75495" w:rsidRDefault="00E42975" w14:paraId="7E191FA4" w14:textId="53A58680">
      <w:pPr>
        <w:pStyle w:val="Lijstalinea"/>
        <w:spacing w:after="0" w:line="276" w:lineRule="auto"/>
        <w:ind w:left="360"/>
        <w:rPr>
          <w:rFonts w:ascii="Verdana" w:hAnsi="Verdana"/>
          <w:sz w:val="18"/>
          <w:szCs w:val="18"/>
        </w:rPr>
      </w:pPr>
      <w:r w:rsidRPr="00764061">
        <w:rPr>
          <w:rFonts w:ascii="Verdana" w:hAnsi="Verdana"/>
          <w:sz w:val="18"/>
          <w:szCs w:val="18"/>
        </w:rPr>
        <w:t>Het Deense voorzitterschap is voornemens een gedeeltelijke algemene oriëntatie ten aanzien van de Europese Verordening ter voorkoming en bestrijding van seksueel misbruik van kind</w:t>
      </w:r>
      <w:r w:rsidRPr="00764061" w:rsidR="24CAB821">
        <w:rPr>
          <w:rFonts w:ascii="Verdana" w:hAnsi="Verdana"/>
          <w:sz w:val="18"/>
          <w:szCs w:val="18"/>
        </w:rPr>
        <w:t>e</w:t>
      </w:r>
      <w:r w:rsidRPr="00764061" w:rsidR="734A9AB2">
        <w:rPr>
          <w:rFonts w:ascii="Verdana" w:hAnsi="Verdana"/>
          <w:sz w:val="18"/>
          <w:szCs w:val="18"/>
        </w:rPr>
        <w:t>ren</w:t>
      </w:r>
      <w:r w:rsidRPr="00764061">
        <w:rPr>
          <w:rFonts w:ascii="Verdana" w:hAnsi="Verdana"/>
          <w:sz w:val="18"/>
          <w:szCs w:val="18"/>
        </w:rPr>
        <w:t xml:space="preserve"> (CSAM-Vero</w:t>
      </w:r>
      <w:r w:rsidRPr="00764061" w:rsidR="00976474">
        <w:rPr>
          <w:rFonts w:ascii="Verdana" w:hAnsi="Verdana"/>
          <w:sz w:val="18"/>
          <w:szCs w:val="18"/>
        </w:rPr>
        <w:t>r</w:t>
      </w:r>
      <w:r w:rsidRPr="00764061">
        <w:rPr>
          <w:rFonts w:ascii="Verdana" w:hAnsi="Verdana"/>
          <w:sz w:val="18"/>
          <w:szCs w:val="18"/>
        </w:rPr>
        <w:t xml:space="preserve">dening) te agenderen. Het gaat om een gedeeltelijke algemene oriëntatie, zonder de bepalingen over het op te richten EU-centrum voor tegengaan kindermisbruik. Het </w:t>
      </w:r>
      <w:r w:rsidRPr="00764061" w:rsidR="00FA38AF">
        <w:rPr>
          <w:rFonts w:ascii="Verdana" w:hAnsi="Verdana"/>
          <w:sz w:val="18"/>
          <w:szCs w:val="18"/>
        </w:rPr>
        <w:t xml:space="preserve">Deense </w:t>
      </w:r>
      <w:r w:rsidRPr="00764061">
        <w:rPr>
          <w:rFonts w:ascii="Verdana" w:hAnsi="Verdana"/>
          <w:sz w:val="18"/>
          <w:szCs w:val="18"/>
        </w:rPr>
        <w:t>compromisvoorstel dat naar verwachting voorligt</w:t>
      </w:r>
      <w:r w:rsidRPr="00764061" w:rsidR="00F01ECD">
        <w:rPr>
          <w:rFonts w:ascii="Verdana" w:hAnsi="Verdana"/>
          <w:sz w:val="18"/>
          <w:szCs w:val="18"/>
        </w:rPr>
        <w:t>,</w:t>
      </w:r>
      <w:r w:rsidRPr="00764061">
        <w:rPr>
          <w:rFonts w:ascii="Verdana" w:hAnsi="Verdana"/>
          <w:sz w:val="18"/>
          <w:szCs w:val="18"/>
        </w:rPr>
        <w:t xml:space="preserve"> bevat </w:t>
      </w:r>
      <w:r w:rsidRPr="00764061" w:rsidR="14B06577">
        <w:rPr>
          <w:rFonts w:ascii="Verdana" w:hAnsi="Verdana"/>
          <w:sz w:val="18"/>
          <w:szCs w:val="18"/>
        </w:rPr>
        <w:t>de mogelijkheid</w:t>
      </w:r>
      <w:r w:rsidRPr="00764061" w:rsidR="4CB2D040">
        <w:rPr>
          <w:rFonts w:ascii="Verdana" w:hAnsi="Verdana"/>
          <w:sz w:val="18"/>
          <w:szCs w:val="18"/>
        </w:rPr>
        <w:t xml:space="preserve"> om onder voorwaarden </w:t>
      </w:r>
      <w:r w:rsidRPr="00764061">
        <w:rPr>
          <w:rFonts w:ascii="Verdana" w:hAnsi="Verdana"/>
          <w:sz w:val="18"/>
          <w:szCs w:val="18"/>
        </w:rPr>
        <w:t>d</w:t>
      </w:r>
      <w:r w:rsidRPr="00764061" w:rsidR="3EC9BFC8">
        <w:rPr>
          <w:rFonts w:ascii="Verdana" w:hAnsi="Verdana"/>
          <w:sz w:val="18"/>
          <w:szCs w:val="18"/>
        </w:rPr>
        <w:t>e d</w:t>
      </w:r>
      <w:r w:rsidRPr="00764061">
        <w:rPr>
          <w:rFonts w:ascii="Verdana" w:hAnsi="Verdana"/>
          <w:sz w:val="18"/>
          <w:szCs w:val="18"/>
        </w:rPr>
        <w:t xml:space="preserve">etectie </w:t>
      </w:r>
      <w:r w:rsidRPr="00764061" w:rsidR="418F9EEA">
        <w:rPr>
          <w:rFonts w:ascii="Verdana" w:hAnsi="Verdana"/>
          <w:sz w:val="18"/>
          <w:szCs w:val="18"/>
        </w:rPr>
        <w:t>van bekend en nieuw kinderpornografisch materiaal</w:t>
      </w:r>
      <w:r w:rsidRPr="00764061" w:rsidR="3EC9BFC8">
        <w:rPr>
          <w:rFonts w:ascii="Verdana" w:hAnsi="Verdana"/>
          <w:sz w:val="18"/>
          <w:szCs w:val="18"/>
        </w:rPr>
        <w:t xml:space="preserve"> te verplichten</w:t>
      </w:r>
      <w:r w:rsidRPr="00764061">
        <w:rPr>
          <w:rFonts w:ascii="Verdana" w:hAnsi="Verdana"/>
          <w:sz w:val="18"/>
          <w:szCs w:val="18"/>
        </w:rPr>
        <w:t xml:space="preserve">. De </w:t>
      </w:r>
      <w:r w:rsidRPr="00764061" w:rsidR="00976474">
        <w:rPr>
          <w:rFonts w:ascii="Verdana" w:hAnsi="Verdana"/>
          <w:sz w:val="18"/>
          <w:szCs w:val="18"/>
        </w:rPr>
        <w:t xml:space="preserve">positie en onderhandelingskaders </w:t>
      </w:r>
      <w:r w:rsidRPr="00764061">
        <w:rPr>
          <w:rFonts w:ascii="Verdana" w:hAnsi="Verdana"/>
          <w:sz w:val="18"/>
          <w:szCs w:val="18"/>
        </w:rPr>
        <w:t xml:space="preserve">van Nederland </w:t>
      </w:r>
      <w:r w:rsidRPr="00764061" w:rsidR="00976474">
        <w:rPr>
          <w:rFonts w:ascii="Verdana" w:hAnsi="Verdana"/>
          <w:sz w:val="18"/>
          <w:szCs w:val="18"/>
        </w:rPr>
        <w:t xml:space="preserve">ten aanzien van dit voorstel zijn </w:t>
      </w:r>
      <w:r w:rsidRPr="00764061">
        <w:rPr>
          <w:rFonts w:ascii="Verdana" w:hAnsi="Verdana"/>
          <w:sz w:val="18"/>
          <w:szCs w:val="18"/>
        </w:rPr>
        <w:t>vastgelegd in de brief aan uw Kamer van 29 november 2024.</w:t>
      </w:r>
      <w:r w:rsidRPr="00764061" w:rsidR="007045D9">
        <w:rPr>
          <w:rStyle w:val="Voetnootmarkering"/>
          <w:rFonts w:ascii="Verdana" w:hAnsi="Verdana"/>
          <w:sz w:val="18"/>
          <w:szCs w:val="18"/>
        </w:rPr>
        <w:footnoteReference w:id="8"/>
      </w:r>
    </w:p>
    <w:p w:rsidRPr="00764061" w:rsidR="00E71CAE" w:rsidP="00F75495" w:rsidRDefault="00E71CAE" w14:paraId="0266C857" w14:textId="77777777">
      <w:pPr>
        <w:pStyle w:val="Lijstalinea"/>
        <w:spacing w:after="0" w:line="276" w:lineRule="auto"/>
        <w:ind w:left="360"/>
        <w:rPr>
          <w:rFonts w:ascii="Verdana" w:hAnsi="Verdana" w:eastAsia="Verdana" w:cs="Verdana"/>
          <w:b/>
          <w:bCs/>
          <w:sz w:val="18"/>
          <w:szCs w:val="18"/>
        </w:rPr>
      </w:pPr>
    </w:p>
    <w:p w:rsidRPr="00764061" w:rsidR="00976474" w:rsidP="00F75495" w:rsidRDefault="00976474" w14:paraId="0F562526" w14:textId="591B2BA9">
      <w:pPr>
        <w:pStyle w:val="Lijstalinea"/>
        <w:spacing w:after="0" w:line="276" w:lineRule="auto"/>
        <w:ind w:left="360"/>
        <w:rPr>
          <w:rFonts w:ascii="Verdana" w:hAnsi="Verdana"/>
          <w:sz w:val="18"/>
          <w:szCs w:val="18"/>
        </w:rPr>
      </w:pPr>
      <w:r w:rsidRPr="00764061">
        <w:rPr>
          <w:rFonts w:ascii="Verdana" w:hAnsi="Verdana"/>
          <w:sz w:val="18"/>
          <w:szCs w:val="18"/>
        </w:rPr>
        <w:t xml:space="preserve">Het </w:t>
      </w:r>
      <w:r w:rsidRPr="00764061" w:rsidR="00FA38AF">
        <w:rPr>
          <w:rFonts w:ascii="Verdana" w:hAnsi="Verdana"/>
          <w:sz w:val="18"/>
          <w:szCs w:val="18"/>
        </w:rPr>
        <w:t xml:space="preserve">Deense </w:t>
      </w:r>
      <w:r w:rsidRPr="00764061">
        <w:rPr>
          <w:rFonts w:ascii="Verdana" w:hAnsi="Verdana"/>
          <w:sz w:val="18"/>
          <w:szCs w:val="18"/>
        </w:rPr>
        <w:t>compromisvoorstel, met bovengenoemde elementen, past niet binnen deze onderhandelingskaders. Op basis van het huidige compromisvoorstel zal Nederland zich</w:t>
      </w:r>
      <w:r w:rsidRPr="00764061" w:rsidR="00FA38AF">
        <w:rPr>
          <w:rFonts w:ascii="Verdana" w:hAnsi="Verdana"/>
          <w:sz w:val="18"/>
          <w:szCs w:val="18"/>
        </w:rPr>
        <w:t xml:space="preserve"> daarom</w:t>
      </w:r>
      <w:r w:rsidRPr="00764061">
        <w:rPr>
          <w:rFonts w:ascii="Verdana" w:hAnsi="Verdana"/>
          <w:sz w:val="18"/>
          <w:szCs w:val="18"/>
        </w:rPr>
        <w:t xml:space="preserve"> desgevraagd aansluiten bij de lidstaten die de algemene oriëntatie niet kunnen steunen.</w:t>
      </w:r>
      <w:r w:rsidRPr="00764061" w:rsidR="00FA38AF">
        <w:rPr>
          <w:rStyle w:val="Voetnootmarkering"/>
          <w:rFonts w:ascii="Verdana" w:hAnsi="Verdana"/>
          <w:sz w:val="18"/>
          <w:szCs w:val="18"/>
        </w:rPr>
        <w:footnoteReference w:id="9"/>
      </w:r>
    </w:p>
    <w:p w:rsidRPr="00764061" w:rsidR="00151D93" w:rsidP="00F75495" w:rsidRDefault="00151D93" w14:paraId="6598568C" w14:textId="77777777">
      <w:pPr>
        <w:spacing w:after="0" w:line="276" w:lineRule="auto"/>
        <w:rPr>
          <w:rFonts w:ascii="Verdana" w:hAnsi="Verdana"/>
          <w:sz w:val="18"/>
          <w:szCs w:val="18"/>
        </w:rPr>
      </w:pPr>
    </w:p>
    <w:p w:rsidRPr="00764061" w:rsidR="00151D93" w:rsidP="00F75495" w:rsidRDefault="65DCAC31" w14:paraId="2EA01912" w14:textId="4574D698">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Verordening betreffende de versterking van de politiële samenwerking bij de bestrijding van migrantensmokkel en mensenhandel</w:t>
      </w:r>
      <w:r w:rsidRPr="00764061" w:rsidR="00F00812">
        <w:rPr>
          <w:rFonts w:ascii="Verdana" w:hAnsi="Verdana"/>
          <w:sz w:val="18"/>
          <w:szCs w:val="18"/>
        </w:rPr>
        <w:br/>
      </w:r>
      <w:r w:rsidRPr="00764061">
        <w:rPr>
          <w:rFonts w:ascii="Verdana" w:hAnsi="Verdana" w:eastAsia="Verdana" w:cs="Verdana"/>
          <w:i/>
          <w:iCs/>
          <w:sz w:val="18"/>
          <w:szCs w:val="18"/>
        </w:rPr>
        <w:t>Politiek akkoord</w:t>
      </w:r>
    </w:p>
    <w:p w:rsidRPr="00764061" w:rsidR="00151D93" w:rsidP="00F75495" w:rsidRDefault="00151D93" w14:paraId="50D33F53" w14:textId="77777777">
      <w:pPr>
        <w:pStyle w:val="Lijstalinea"/>
        <w:spacing w:after="0" w:line="276" w:lineRule="auto"/>
        <w:ind w:left="360"/>
        <w:rPr>
          <w:rFonts w:ascii="Verdana" w:hAnsi="Verdana" w:eastAsia="Verdana" w:cs="Verdana"/>
          <w:i/>
          <w:iCs/>
          <w:sz w:val="18"/>
          <w:szCs w:val="18"/>
        </w:rPr>
      </w:pPr>
    </w:p>
    <w:p w:rsidRPr="00764061" w:rsidR="00E71CAE" w:rsidP="00F75495" w:rsidRDefault="00BC6886" w14:paraId="7FFEED41" w14:textId="3171067E">
      <w:pPr>
        <w:pStyle w:val="Lijstalinea"/>
        <w:spacing w:line="276" w:lineRule="auto"/>
        <w:ind w:left="360"/>
        <w:rPr>
          <w:rFonts w:ascii="Verdana" w:hAnsi="Verdana"/>
          <w:sz w:val="18"/>
          <w:szCs w:val="18"/>
        </w:rPr>
      </w:pPr>
      <w:r w:rsidRPr="00764061">
        <w:rPr>
          <w:rFonts w:ascii="Verdana" w:hAnsi="Verdana"/>
          <w:sz w:val="18"/>
          <w:szCs w:val="18"/>
        </w:rPr>
        <w:t>Dit</w:t>
      </w:r>
      <w:r w:rsidRPr="00764061" w:rsidR="00DE5852">
        <w:rPr>
          <w:rFonts w:ascii="Verdana" w:hAnsi="Verdana"/>
          <w:sz w:val="18"/>
          <w:szCs w:val="18"/>
        </w:rPr>
        <w:t xml:space="preserve"> voorstel </w:t>
      </w:r>
      <w:r w:rsidRPr="00764061">
        <w:rPr>
          <w:rFonts w:ascii="Verdana" w:hAnsi="Verdana"/>
          <w:sz w:val="18"/>
          <w:szCs w:val="18"/>
        </w:rPr>
        <w:t>betreft</w:t>
      </w:r>
      <w:r w:rsidRPr="00764061" w:rsidR="00DE5852">
        <w:rPr>
          <w:rFonts w:ascii="Verdana" w:hAnsi="Verdana"/>
          <w:sz w:val="18"/>
          <w:szCs w:val="18"/>
        </w:rPr>
        <w:t xml:space="preserve"> de </w:t>
      </w:r>
      <w:r w:rsidRPr="00764061">
        <w:rPr>
          <w:rFonts w:ascii="Verdana" w:hAnsi="Verdana"/>
          <w:sz w:val="18"/>
          <w:szCs w:val="18"/>
        </w:rPr>
        <w:t>versterking van de politiële samenwerking met het oog op het voorkomen, opsporen en onderzoeken van migrantensmokkel en mensenhandel, en betreffende de versterking van de ondersteuning door Europol</w:t>
      </w:r>
      <w:r w:rsidRPr="00764061" w:rsidR="00DE5852">
        <w:rPr>
          <w:rFonts w:ascii="Verdana" w:hAnsi="Verdana"/>
          <w:sz w:val="18"/>
          <w:szCs w:val="18"/>
        </w:rPr>
        <w:t xml:space="preserve"> voor de</w:t>
      </w:r>
      <w:r w:rsidRPr="00764061" w:rsidR="00713C9C">
        <w:rPr>
          <w:rFonts w:ascii="Verdana" w:hAnsi="Verdana"/>
          <w:sz w:val="18"/>
          <w:szCs w:val="18"/>
        </w:rPr>
        <w:t xml:space="preserve"> </w:t>
      </w:r>
      <w:r w:rsidRPr="00764061">
        <w:rPr>
          <w:rFonts w:ascii="Verdana" w:hAnsi="Verdana"/>
          <w:sz w:val="18"/>
          <w:szCs w:val="18"/>
        </w:rPr>
        <w:t>voorkoming en</w:t>
      </w:r>
      <w:r w:rsidRPr="00764061" w:rsidR="00DE5852">
        <w:rPr>
          <w:rFonts w:ascii="Verdana" w:hAnsi="Verdana"/>
          <w:sz w:val="18"/>
          <w:szCs w:val="18"/>
        </w:rPr>
        <w:t xml:space="preserve"> bestrijding van </w:t>
      </w:r>
      <w:r w:rsidRPr="00764061">
        <w:rPr>
          <w:rFonts w:ascii="Verdana" w:hAnsi="Verdana"/>
          <w:sz w:val="18"/>
          <w:szCs w:val="18"/>
        </w:rPr>
        <w:t>die strafbare feiten</w:t>
      </w:r>
      <w:r w:rsidRPr="00764061" w:rsidR="00DE5852">
        <w:rPr>
          <w:rFonts w:ascii="Verdana" w:hAnsi="Verdana"/>
          <w:sz w:val="18"/>
          <w:szCs w:val="18"/>
        </w:rPr>
        <w:t>. Het voorstel bevat bepalingen om de beheersstructuur inzake smokkel en de rol van EU-agentschappen, met name Europol, te versterk</w:t>
      </w:r>
      <w:r w:rsidRPr="00764061">
        <w:rPr>
          <w:rFonts w:ascii="Verdana" w:hAnsi="Verdana"/>
          <w:sz w:val="18"/>
          <w:szCs w:val="18"/>
        </w:rPr>
        <w:t>en</w:t>
      </w:r>
      <w:r w:rsidRPr="00764061" w:rsidR="00DE5852">
        <w:rPr>
          <w:rFonts w:ascii="Verdana" w:hAnsi="Verdana"/>
          <w:sz w:val="18"/>
          <w:szCs w:val="18"/>
        </w:rPr>
        <w:t xml:space="preserve"> en de samenwerking tussen agentschappen op het gebied van justitie en binnenlandse zaken en de lidstaten, en met partnerlanden te intensiveren. </w:t>
      </w:r>
    </w:p>
    <w:p w:rsidRPr="00764061" w:rsidR="00E71CAE" w:rsidP="00F75495" w:rsidRDefault="00E71CAE" w14:paraId="6A41B7EF" w14:textId="77777777">
      <w:pPr>
        <w:pStyle w:val="Lijstalinea"/>
        <w:spacing w:line="276" w:lineRule="auto"/>
        <w:ind w:left="360"/>
        <w:rPr>
          <w:rFonts w:ascii="Verdana" w:hAnsi="Verdana"/>
          <w:bCs/>
          <w:sz w:val="18"/>
          <w:szCs w:val="18"/>
        </w:rPr>
      </w:pPr>
    </w:p>
    <w:p w:rsidRPr="00764061" w:rsidR="00E71CAE" w:rsidP="00F75495" w:rsidRDefault="00DE5852" w14:paraId="24FF5947" w14:textId="7F03CE4D">
      <w:pPr>
        <w:pStyle w:val="Lijstalinea"/>
        <w:spacing w:line="276" w:lineRule="auto"/>
        <w:ind w:left="360"/>
        <w:rPr>
          <w:rFonts w:ascii="Verdana" w:hAnsi="Verdana"/>
          <w:sz w:val="18"/>
          <w:szCs w:val="18"/>
        </w:rPr>
      </w:pPr>
      <w:r w:rsidRPr="00764061">
        <w:rPr>
          <w:rFonts w:ascii="Verdana" w:hAnsi="Verdana"/>
          <w:sz w:val="18"/>
          <w:szCs w:val="18"/>
        </w:rPr>
        <w:t xml:space="preserve">Uw </w:t>
      </w:r>
      <w:r w:rsidRPr="00764061" w:rsidR="00E71CAE">
        <w:rPr>
          <w:rFonts w:ascii="Verdana" w:hAnsi="Verdana"/>
          <w:sz w:val="18"/>
          <w:szCs w:val="18"/>
        </w:rPr>
        <w:t>K</w:t>
      </w:r>
      <w:r w:rsidRPr="00764061">
        <w:rPr>
          <w:rFonts w:ascii="Verdana" w:hAnsi="Verdana"/>
          <w:sz w:val="18"/>
          <w:szCs w:val="18"/>
        </w:rPr>
        <w:t>amer is hier</w:t>
      </w:r>
      <w:r w:rsidRPr="00764061" w:rsidR="00BC6886">
        <w:rPr>
          <w:rFonts w:ascii="Verdana" w:hAnsi="Verdana"/>
          <w:sz w:val="18"/>
          <w:szCs w:val="18"/>
        </w:rPr>
        <w:t>over</w:t>
      </w:r>
      <w:r w:rsidRPr="00764061">
        <w:rPr>
          <w:rFonts w:ascii="Verdana" w:hAnsi="Verdana"/>
          <w:sz w:val="18"/>
          <w:szCs w:val="18"/>
        </w:rPr>
        <w:t xml:space="preserve"> met het BNC-fiche </w:t>
      </w:r>
      <w:r w:rsidRPr="00764061" w:rsidR="00BC6886">
        <w:rPr>
          <w:rFonts w:ascii="Verdana" w:hAnsi="Verdana"/>
          <w:sz w:val="18"/>
          <w:szCs w:val="18"/>
        </w:rPr>
        <w:t>geïnformeerd</w:t>
      </w:r>
      <w:r w:rsidRPr="00764061">
        <w:rPr>
          <w:rFonts w:ascii="Verdana" w:hAnsi="Verdana"/>
          <w:sz w:val="18"/>
          <w:szCs w:val="18"/>
        </w:rPr>
        <w:t>.</w:t>
      </w:r>
      <w:r w:rsidRPr="00764061">
        <w:rPr>
          <w:rStyle w:val="Voetnootmarkering"/>
          <w:rFonts w:ascii="Verdana" w:hAnsi="Verdana"/>
          <w:sz w:val="18"/>
          <w:szCs w:val="18"/>
        </w:rPr>
        <w:footnoteReference w:id="10"/>
      </w:r>
      <w:r w:rsidRPr="00764061">
        <w:rPr>
          <w:rFonts w:ascii="Verdana" w:hAnsi="Verdana"/>
          <w:sz w:val="18"/>
          <w:szCs w:val="18"/>
        </w:rPr>
        <w:t xml:space="preserve"> </w:t>
      </w:r>
      <w:r w:rsidRPr="00764061" w:rsidR="00BC6886">
        <w:rPr>
          <w:rFonts w:ascii="Verdana" w:hAnsi="Verdana"/>
          <w:sz w:val="18"/>
          <w:szCs w:val="18"/>
        </w:rPr>
        <w:t xml:space="preserve">Op 19 </w:t>
      </w:r>
      <w:r w:rsidRPr="00764061" w:rsidR="00BC6886">
        <w:rPr>
          <w:rFonts w:ascii="Verdana" w:hAnsi="Verdana"/>
          <w:bCs/>
          <w:sz w:val="18"/>
          <w:szCs w:val="18"/>
        </w:rPr>
        <w:t xml:space="preserve">juni </w:t>
      </w:r>
      <w:r w:rsidRPr="00764061" w:rsidR="007045D9">
        <w:rPr>
          <w:rFonts w:ascii="Verdana" w:hAnsi="Verdana"/>
          <w:bCs/>
          <w:sz w:val="18"/>
          <w:szCs w:val="18"/>
        </w:rPr>
        <w:t>2024</w:t>
      </w:r>
      <w:r w:rsidRPr="00764061" w:rsidR="00BC6886">
        <w:rPr>
          <w:rFonts w:ascii="Verdana" w:hAnsi="Verdana"/>
          <w:sz w:val="18"/>
          <w:szCs w:val="18"/>
        </w:rPr>
        <w:t xml:space="preserve"> is een algemene oriëntatie bereikt tijdens het Comité van Permanente vertegenwoordigers (COREPER).</w:t>
      </w:r>
      <w:r w:rsidRPr="00764061" w:rsidR="002A4C06">
        <w:rPr>
          <w:rFonts w:ascii="Verdana" w:hAnsi="Verdana"/>
          <w:sz w:val="18"/>
          <w:szCs w:val="18"/>
        </w:rPr>
        <w:t xml:space="preserve"> </w:t>
      </w:r>
      <w:r w:rsidRPr="00764061" w:rsidR="00BC6886">
        <w:rPr>
          <w:rFonts w:ascii="Verdana" w:hAnsi="Verdana"/>
          <w:sz w:val="18"/>
          <w:szCs w:val="18"/>
        </w:rPr>
        <w:t>Momenteel worden de onderhandelingen in de triloog-fase gevoerd. Het Deense voorzitterschap is voornemens d</w:t>
      </w:r>
      <w:r w:rsidRPr="00764061" w:rsidR="00675ADD">
        <w:rPr>
          <w:rFonts w:ascii="Verdana" w:hAnsi="Verdana"/>
          <w:sz w:val="18"/>
          <w:szCs w:val="18"/>
        </w:rPr>
        <w:t>it</w:t>
      </w:r>
      <w:r w:rsidRPr="00764061" w:rsidR="007045D9">
        <w:rPr>
          <w:rFonts w:ascii="Verdana" w:hAnsi="Verdana"/>
          <w:sz w:val="18"/>
          <w:szCs w:val="18"/>
        </w:rPr>
        <w:t xml:space="preserve"> </w:t>
      </w:r>
      <w:r w:rsidRPr="00764061" w:rsidR="00BC6886">
        <w:rPr>
          <w:rFonts w:ascii="Verdana" w:hAnsi="Verdana"/>
          <w:sz w:val="18"/>
          <w:szCs w:val="18"/>
        </w:rPr>
        <w:t xml:space="preserve">af te ronden om tot een politiek akkoord tijdens de JBZ-Raad te komen. </w:t>
      </w:r>
    </w:p>
    <w:p w:rsidRPr="00764061" w:rsidR="00E71CAE" w:rsidP="00F75495" w:rsidRDefault="00E71CAE" w14:paraId="654042D1" w14:textId="77777777">
      <w:pPr>
        <w:pStyle w:val="Lijstalinea"/>
        <w:spacing w:line="276" w:lineRule="auto"/>
        <w:ind w:left="360"/>
        <w:rPr>
          <w:rFonts w:ascii="Verdana" w:hAnsi="Verdana"/>
          <w:bCs/>
          <w:sz w:val="18"/>
          <w:szCs w:val="18"/>
        </w:rPr>
      </w:pPr>
    </w:p>
    <w:p w:rsidRPr="00764061" w:rsidR="00F75495" w:rsidP="00F75495" w:rsidRDefault="00BC6886" w14:paraId="0F735BD6" w14:textId="7B8E9F36">
      <w:pPr>
        <w:pStyle w:val="Lijstalinea"/>
        <w:spacing w:line="276" w:lineRule="auto"/>
        <w:ind w:left="360"/>
        <w:rPr>
          <w:rFonts w:ascii="Verdana" w:hAnsi="Verdana"/>
          <w:sz w:val="18"/>
          <w:szCs w:val="18"/>
        </w:rPr>
      </w:pPr>
      <w:r w:rsidRPr="00764061">
        <w:rPr>
          <w:rFonts w:ascii="Verdana" w:hAnsi="Verdana"/>
          <w:sz w:val="18"/>
          <w:szCs w:val="18"/>
        </w:rPr>
        <w:t>Het kabinet steunt de afronding van de onderhandeling in triloog</w:t>
      </w:r>
      <w:r w:rsidRPr="00764061" w:rsidR="007045D9">
        <w:rPr>
          <w:rFonts w:ascii="Verdana" w:hAnsi="Verdana"/>
          <w:sz w:val="18"/>
          <w:szCs w:val="18"/>
        </w:rPr>
        <w:t>.</w:t>
      </w:r>
      <w:r w:rsidRPr="00764061">
        <w:rPr>
          <w:rFonts w:ascii="Verdana" w:hAnsi="Verdana"/>
          <w:sz w:val="18"/>
          <w:szCs w:val="18"/>
        </w:rPr>
        <w:t xml:space="preserve"> </w:t>
      </w:r>
      <w:r w:rsidRPr="00764061" w:rsidR="2131998A">
        <w:rPr>
          <w:rFonts w:ascii="Verdana" w:hAnsi="Verdana"/>
          <w:sz w:val="18"/>
          <w:szCs w:val="18"/>
        </w:rPr>
        <w:t xml:space="preserve">Het kabinet heeft geen bezwaar tegen de </w:t>
      </w:r>
      <w:r w:rsidRPr="00764061" w:rsidR="00675ADD">
        <w:rPr>
          <w:rFonts w:ascii="Verdana" w:hAnsi="Verdana"/>
          <w:sz w:val="18"/>
          <w:szCs w:val="18"/>
        </w:rPr>
        <w:t xml:space="preserve">technische </w:t>
      </w:r>
      <w:r w:rsidRPr="00764061" w:rsidR="2131998A">
        <w:rPr>
          <w:rFonts w:ascii="Verdana" w:hAnsi="Verdana"/>
          <w:sz w:val="18"/>
          <w:szCs w:val="18"/>
        </w:rPr>
        <w:t xml:space="preserve">aanpassingen die </w:t>
      </w:r>
      <w:r w:rsidRPr="00764061" w:rsidR="3C11584D">
        <w:rPr>
          <w:rFonts w:ascii="Verdana" w:hAnsi="Verdana"/>
          <w:sz w:val="18"/>
          <w:szCs w:val="18"/>
        </w:rPr>
        <w:t xml:space="preserve">in </w:t>
      </w:r>
      <w:r w:rsidRPr="00764061" w:rsidR="00675ADD">
        <w:rPr>
          <w:rFonts w:ascii="Verdana" w:hAnsi="Verdana"/>
          <w:sz w:val="18"/>
          <w:szCs w:val="18"/>
        </w:rPr>
        <w:t>het voorstel</w:t>
      </w:r>
      <w:r w:rsidRPr="00764061" w:rsidR="509D00BF">
        <w:rPr>
          <w:rFonts w:ascii="Verdana" w:hAnsi="Verdana"/>
          <w:sz w:val="18"/>
          <w:szCs w:val="18"/>
        </w:rPr>
        <w:t>zijn gedaan</w:t>
      </w:r>
      <w:r w:rsidRPr="00764061" w:rsidR="3F9DCA0F">
        <w:rPr>
          <w:rFonts w:ascii="Verdana" w:hAnsi="Verdana"/>
          <w:sz w:val="18"/>
          <w:szCs w:val="18"/>
        </w:rPr>
        <w:t>.</w:t>
      </w:r>
      <w:r w:rsidRPr="00764061" w:rsidR="509D00BF">
        <w:rPr>
          <w:rFonts w:ascii="Verdana" w:hAnsi="Verdana"/>
          <w:sz w:val="18"/>
          <w:szCs w:val="18"/>
        </w:rPr>
        <w:t xml:space="preserve"> </w:t>
      </w:r>
      <w:r w:rsidRPr="00764061" w:rsidR="7017561C">
        <w:rPr>
          <w:rFonts w:ascii="Verdana" w:hAnsi="Verdana"/>
          <w:sz w:val="18"/>
          <w:szCs w:val="18"/>
        </w:rPr>
        <w:t>O</w:t>
      </w:r>
      <w:r w:rsidRPr="00764061" w:rsidR="610CBAE6">
        <w:rPr>
          <w:rFonts w:ascii="Verdana" w:hAnsi="Verdana" w:eastAsia="Verdana" w:cs="Verdana"/>
          <w:sz w:val="18"/>
          <w:szCs w:val="18"/>
        </w:rPr>
        <w:t xml:space="preserve">p maandag 22 september vindt de volgende technische triloog plaats, gevolgd door de (mogelijk laatste) politieke triloog op 25 september. Tijdens de JBZ-Raad van 14 oktober is geen inhoudelijke </w:t>
      </w:r>
      <w:r w:rsidRPr="00764061" w:rsidR="610CBAE6">
        <w:rPr>
          <w:rFonts w:ascii="Verdana" w:hAnsi="Verdana" w:eastAsia="Verdana" w:cs="Verdana"/>
          <w:sz w:val="18"/>
          <w:szCs w:val="18"/>
        </w:rPr>
        <w:lastRenderedPageBreak/>
        <w:t xml:space="preserve">discussie voorzien, maar hoopt </w:t>
      </w:r>
      <w:r w:rsidRPr="00764061" w:rsidR="00675ADD">
        <w:rPr>
          <w:rFonts w:ascii="Verdana" w:hAnsi="Verdana" w:eastAsia="Verdana" w:cs="Verdana"/>
          <w:sz w:val="18"/>
          <w:szCs w:val="18"/>
        </w:rPr>
        <w:t>het Voorzitterschap</w:t>
      </w:r>
      <w:r w:rsidRPr="00764061" w:rsidR="610CBAE6">
        <w:rPr>
          <w:rFonts w:ascii="Verdana" w:hAnsi="Verdana"/>
          <w:sz w:val="18"/>
          <w:szCs w:val="18"/>
        </w:rPr>
        <w:t xml:space="preserve"> een</w:t>
      </w:r>
      <w:r w:rsidRPr="00764061" w:rsidR="00675ADD">
        <w:rPr>
          <w:rFonts w:ascii="Verdana" w:hAnsi="Verdana" w:eastAsia="Verdana" w:cs="Verdana"/>
          <w:sz w:val="18"/>
          <w:szCs w:val="18"/>
        </w:rPr>
        <w:t xml:space="preserve"> politiek</w:t>
      </w:r>
      <w:r w:rsidRPr="00764061" w:rsidR="610CBAE6">
        <w:rPr>
          <w:rFonts w:ascii="Verdana" w:hAnsi="Verdana"/>
          <w:sz w:val="18"/>
          <w:szCs w:val="18"/>
        </w:rPr>
        <w:t xml:space="preserve"> akkoord te kunnen vaststellen</w:t>
      </w:r>
      <w:r w:rsidRPr="00764061" w:rsidR="00675ADD">
        <w:rPr>
          <w:rFonts w:ascii="Verdana" w:hAnsi="Verdana" w:eastAsia="Verdana" w:cs="Verdana"/>
          <w:sz w:val="18"/>
          <w:szCs w:val="18"/>
        </w:rPr>
        <w:t>, dat Nederland naar verwachting zal kunnen steunen</w:t>
      </w:r>
      <w:r w:rsidRPr="00764061" w:rsidR="610CBAE6">
        <w:rPr>
          <w:rFonts w:ascii="Verdana" w:hAnsi="Verdana"/>
          <w:sz w:val="18"/>
          <w:szCs w:val="18"/>
        </w:rPr>
        <w:t xml:space="preserve">. </w:t>
      </w:r>
    </w:p>
    <w:p w:rsidRPr="00764061" w:rsidR="00F75495" w:rsidP="00F75495" w:rsidRDefault="00F75495" w14:paraId="03BCEF1B" w14:textId="77777777">
      <w:pPr>
        <w:pStyle w:val="Lijstalinea"/>
        <w:spacing w:line="276" w:lineRule="auto"/>
        <w:ind w:left="360"/>
        <w:rPr>
          <w:rFonts w:ascii="Verdana" w:hAnsi="Verdana"/>
          <w:sz w:val="18"/>
          <w:szCs w:val="18"/>
        </w:rPr>
      </w:pPr>
    </w:p>
    <w:p w:rsidRPr="00764061" w:rsidR="00151D93" w:rsidP="00F75495" w:rsidRDefault="00833904" w14:paraId="060C1656" w14:textId="4E484F21">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Uniem</w:t>
      </w:r>
      <w:r w:rsidRPr="00764061" w:rsidR="65DCAC31">
        <w:rPr>
          <w:rFonts w:ascii="Verdana" w:hAnsi="Verdana" w:eastAsia="Verdana" w:cs="Verdana"/>
          <w:b/>
          <w:bCs/>
          <w:sz w:val="18"/>
          <w:szCs w:val="18"/>
        </w:rPr>
        <w:t>echanisme voor Civiele Bescherming en Gezondheidsnoodhulp</w:t>
      </w:r>
      <w:r w:rsidRPr="00764061" w:rsidR="00F00812">
        <w:rPr>
          <w:rFonts w:ascii="Verdana" w:hAnsi="Verdana"/>
          <w:sz w:val="18"/>
          <w:szCs w:val="18"/>
        </w:rPr>
        <w:br/>
      </w:r>
      <w:r w:rsidRPr="00764061" w:rsidR="65DCAC31">
        <w:rPr>
          <w:rFonts w:ascii="Verdana" w:hAnsi="Verdana" w:eastAsia="Verdana" w:cs="Verdana"/>
          <w:i/>
          <w:iCs/>
          <w:sz w:val="18"/>
          <w:szCs w:val="18"/>
        </w:rPr>
        <w:t>Beleidsdebat</w:t>
      </w:r>
      <w:r w:rsidRPr="00764061" w:rsidR="00F00812">
        <w:rPr>
          <w:rFonts w:ascii="Verdana" w:hAnsi="Verdana"/>
          <w:sz w:val="18"/>
          <w:szCs w:val="18"/>
        </w:rPr>
        <w:br/>
      </w:r>
    </w:p>
    <w:p w:rsidRPr="00764061" w:rsidR="0086044C" w:rsidP="00F75495" w:rsidRDefault="0086044C" w14:paraId="2E2413AB" w14:textId="22D4E384">
      <w:pPr>
        <w:pStyle w:val="Lijstalinea"/>
        <w:spacing w:after="0" w:line="276" w:lineRule="auto"/>
        <w:ind w:left="360"/>
        <w:rPr>
          <w:rFonts w:ascii="Verdana" w:hAnsi="Verdana"/>
          <w:sz w:val="18"/>
          <w:szCs w:val="18"/>
        </w:rPr>
      </w:pPr>
      <w:r w:rsidRPr="00764061">
        <w:rPr>
          <w:rFonts w:ascii="Verdana" w:hAnsi="Verdana"/>
          <w:sz w:val="18"/>
          <w:szCs w:val="18"/>
        </w:rPr>
        <w:t xml:space="preserve">Het Uniemechanisme voor </w:t>
      </w:r>
      <w:r w:rsidRPr="00764061" w:rsidR="00975000">
        <w:rPr>
          <w:rFonts w:ascii="Verdana" w:hAnsi="Verdana"/>
          <w:sz w:val="18"/>
          <w:szCs w:val="18"/>
        </w:rPr>
        <w:t>C</w:t>
      </w:r>
      <w:r w:rsidRPr="00764061">
        <w:rPr>
          <w:rFonts w:ascii="Verdana" w:hAnsi="Verdana"/>
          <w:sz w:val="18"/>
          <w:szCs w:val="18"/>
        </w:rPr>
        <w:t xml:space="preserve">iviele </w:t>
      </w:r>
      <w:r w:rsidRPr="00764061" w:rsidR="00975000">
        <w:rPr>
          <w:rFonts w:ascii="Verdana" w:hAnsi="Verdana"/>
          <w:sz w:val="18"/>
          <w:szCs w:val="18"/>
        </w:rPr>
        <w:t>B</w:t>
      </w:r>
      <w:r w:rsidRPr="00764061">
        <w:rPr>
          <w:rFonts w:ascii="Verdana" w:hAnsi="Verdana"/>
          <w:sz w:val="18"/>
          <w:szCs w:val="18"/>
        </w:rPr>
        <w:t>escherming (UCPM) is een Europees samenwerkingskader op basis van solidariteit waarbij EU-lidstaten en enkele partnerlanden elkaar helpen bij rampen en crises, waaronder bosbranden, overstromingen en aardbevingen. Indien een getroffen land niet genoeg middelen heeft om de crisis</w:t>
      </w:r>
      <w:r w:rsidRPr="00764061" w:rsidR="00975000">
        <w:rPr>
          <w:rFonts w:ascii="Verdana" w:hAnsi="Verdana"/>
          <w:sz w:val="18"/>
          <w:szCs w:val="18"/>
        </w:rPr>
        <w:t>situatie</w:t>
      </w:r>
      <w:r w:rsidRPr="00764061">
        <w:rPr>
          <w:rFonts w:ascii="Verdana" w:hAnsi="Verdana"/>
          <w:sz w:val="18"/>
          <w:szCs w:val="18"/>
        </w:rPr>
        <w:t xml:space="preserve"> te bestrijden, kan het land via het UCPM om hulp vragen. Op basis van de hulpvraag coördineert de EU vervolgens de inzet van personeel, materieel of voorraden</w:t>
      </w:r>
      <w:r w:rsidRPr="00764061" w:rsidR="00975000">
        <w:rPr>
          <w:rFonts w:ascii="Verdana" w:hAnsi="Verdana"/>
          <w:sz w:val="18"/>
          <w:szCs w:val="18"/>
        </w:rPr>
        <w:t xml:space="preserve"> vanuit de capaciteit van andere landen</w:t>
      </w:r>
      <w:r w:rsidRPr="00764061">
        <w:rPr>
          <w:rFonts w:ascii="Verdana" w:hAnsi="Verdana"/>
          <w:sz w:val="18"/>
          <w:szCs w:val="18"/>
        </w:rPr>
        <w:t xml:space="preserve">. </w:t>
      </w:r>
    </w:p>
    <w:p w:rsidRPr="00764061" w:rsidR="0086044C" w:rsidP="00F75495" w:rsidRDefault="0086044C" w14:paraId="1F4B407D" w14:textId="77777777">
      <w:pPr>
        <w:pStyle w:val="Lijstalinea"/>
        <w:spacing w:after="0" w:line="276" w:lineRule="auto"/>
        <w:ind w:left="360"/>
        <w:rPr>
          <w:rFonts w:ascii="Verdana" w:hAnsi="Verdana"/>
          <w:sz w:val="18"/>
          <w:szCs w:val="18"/>
        </w:rPr>
      </w:pPr>
    </w:p>
    <w:p w:rsidRPr="00764061" w:rsidR="00833904" w:rsidP="00F75495" w:rsidRDefault="0086044C" w14:paraId="2AA71792" w14:textId="587AFB36">
      <w:pPr>
        <w:pStyle w:val="Lijstalinea"/>
        <w:spacing w:after="0" w:line="276" w:lineRule="auto"/>
        <w:ind w:left="360"/>
        <w:rPr>
          <w:rFonts w:ascii="Verdana" w:hAnsi="Verdana"/>
          <w:sz w:val="18"/>
          <w:szCs w:val="18"/>
        </w:rPr>
      </w:pPr>
      <w:r w:rsidRPr="00764061">
        <w:rPr>
          <w:rFonts w:ascii="Verdana" w:hAnsi="Verdana"/>
          <w:sz w:val="18"/>
          <w:szCs w:val="18"/>
        </w:rPr>
        <w:t xml:space="preserve">Op </w:t>
      </w:r>
      <w:r w:rsidRPr="00764061" w:rsidR="00AD194B">
        <w:rPr>
          <w:rFonts w:ascii="Verdana" w:hAnsi="Verdana"/>
          <w:sz w:val="18"/>
          <w:szCs w:val="18"/>
        </w:rPr>
        <w:t>17 juli</w:t>
      </w:r>
      <w:r w:rsidRPr="00764061">
        <w:rPr>
          <w:rFonts w:ascii="Verdana" w:hAnsi="Verdana"/>
          <w:sz w:val="18"/>
          <w:szCs w:val="18"/>
        </w:rPr>
        <w:t xml:space="preserve"> jl. heeft de Commissie een voorstel voor een Verordening over het </w:t>
      </w:r>
      <w:r w:rsidRPr="00764061" w:rsidR="00833904">
        <w:rPr>
          <w:rFonts w:ascii="Verdana" w:hAnsi="Verdana"/>
          <w:sz w:val="18"/>
          <w:szCs w:val="18"/>
        </w:rPr>
        <w:t xml:space="preserve">UCPM </w:t>
      </w:r>
      <w:r w:rsidRPr="00764061">
        <w:rPr>
          <w:rFonts w:ascii="Verdana" w:hAnsi="Verdana"/>
          <w:sz w:val="18"/>
          <w:szCs w:val="18"/>
        </w:rPr>
        <w:t>gepubliceerd. Uw Kamer is hierover middels een BNC-fiche geïnformeerd.</w:t>
      </w:r>
      <w:r w:rsidRPr="00764061">
        <w:rPr>
          <w:rFonts w:ascii="Verdana" w:hAnsi="Verdana"/>
          <w:sz w:val="18"/>
          <w:szCs w:val="18"/>
          <w:vertAlign w:val="superscript"/>
        </w:rPr>
        <w:footnoteReference w:id="11"/>
      </w:r>
      <w:r w:rsidRPr="00764061" w:rsidR="00833904">
        <w:rPr>
          <w:rFonts w:ascii="Verdana" w:hAnsi="Verdana"/>
          <w:sz w:val="18"/>
          <w:szCs w:val="18"/>
        </w:rPr>
        <w:t xml:space="preserve"> Met het voorstel beoogt de Commissie het UCPM te versterken om beter voorbereid te zijn op rampen, zodat sneller en efficiënter hulp geboden kan worden bij grote of meerdere crises tegelijk.</w:t>
      </w:r>
      <w:r w:rsidRPr="00764061" w:rsidR="00975000">
        <w:rPr>
          <w:rFonts w:ascii="Verdana" w:hAnsi="Verdana"/>
          <w:sz w:val="18"/>
          <w:szCs w:val="18"/>
        </w:rPr>
        <w:t xml:space="preserve"> Het voorstel verbreed</w:t>
      </w:r>
      <w:r w:rsidRPr="00764061" w:rsidR="00D571F3">
        <w:rPr>
          <w:rFonts w:ascii="Verdana" w:hAnsi="Verdana"/>
          <w:sz w:val="18"/>
          <w:szCs w:val="18"/>
        </w:rPr>
        <w:t>t</w:t>
      </w:r>
      <w:r w:rsidRPr="00764061" w:rsidR="00975000">
        <w:rPr>
          <w:rFonts w:ascii="Verdana" w:hAnsi="Verdana"/>
          <w:sz w:val="18"/>
          <w:szCs w:val="18"/>
        </w:rPr>
        <w:t xml:space="preserve"> daarbij het kader van het UCPM door </w:t>
      </w:r>
      <w:r w:rsidRPr="00764061" w:rsidR="00833904">
        <w:rPr>
          <w:rFonts w:ascii="Verdana" w:hAnsi="Verdana"/>
          <w:sz w:val="18"/>
          <w:szCs w:val="18"/>
        </w:rPr>
        <w:t>grensoverschrijdende gezondheidsbedreigingen</w:t>
      </w:r>
      <w:r w:rsidRPr="00764061" w:rsidR="00975000">
        <w:rPr>
          <w:rFonts w:ascii="Verdana" w:hAnsi="Verdana"/>
          <w:sz w:val="18"/>
          <w:szCs w:val="18"/>
        </w:rPr>
        <w:t>, zoals pandemieën, daarin te integreren.</w:t>
      </w:r>
      <w:r w:rsidRPr="00764061" w:rsidR="00833904">
        <w:rPr>
          <w:rFonts w:ascii="Verdana" w:hAnsi="Verdana"/>
          <w:sz w:val="18"/>
          <w:szCs w:val="18"/>
        </w:rPr>
        <w:t xml:space="preserve"> </w:t>
      </w:r>
      <w:r w:rsidRPr="00764061" w:rsidR="00975000">
        <w:rPr>
          <w:rFonts w:ascii="Verdana" w:hAnsi="Verdana"/>
          <w:sz w:val="18"/>
          <w:szCs w:val="18"/>
        </w:rPr>
        <w:t xml:space="preserve">Daarnaast is het doel </w:t>
      </w:r>
      <w:r w:rsidRPr="00764061" w:rsidR="00833904">
        <w:rPr>
          <w:rFonts w:ascii="Verdana" w:hAnsi="Verdana"/>
          <w:sz w:val="18"/>
          <w:szCs w:val="18"/>
        </w:rPr>
        <w:t xml:space="preserve">een basis te creëren om civiel-militaire samenwerking mogelijk te maken. </w:t>
      </w:r>
    </w:p>
    <w:p w:rsidRPr="00764061" w:rsidR="0086044C" w:rsidP="00F75495" w:rsidRDefault="0086044C" w14:paraId="13925681" w14:textId="77777777">
      <w:pPr>
        <w:pStyle w:val="Lijstalinea"/>
        <w:spacing w:after="0" w:line="276" w:lineRule="auto"/>
        <w:ind w:left="360"/>
        <w:rPr>
          <w:rFonts w:ascii="Verdana" w:hAnsi="Verdana"/>
          <w:sz w:val="18"/>
          <w:szCs w:val="18"/>
        </w:rPr>
      </w:pPr>
    </w:p>
    <w:p w:rsidRPr="00764061" w:rsidR="0086044C" w:rsidP="00F75495" w:rsidRDefault="00975000" w14:paraId="4A3C7690" w14:textId="65E0F2DC">
      <w:pPr>
        <w:pStyle w:val="Lijstalinea"/>
        <w:spacing w:after="0" w:line="276" w:lineRule="auto"/>
        <w:ind w:left="360"/>
        <w:rPr>
          <w:rFonts w:ascii="Verdana" w:hAnsi="Verdana"/>
          <w:sz w:val="18"/>
          <w:szCs w:val="18"/>
        </w:rPr>
      </w:pPr>
      <w:r w:rsidRPr="00764061">
        <w:rPr>
          <w:rFonts w:ascii="Verdana" w:hAnsi="Verdana"/>
          <w:sz w:val="18"/>
          <w:szCs w:val="18"/>
        </w:rPr>
        <w:t>Het Voorzitterschap heeft nog geen achtergronddocument gedeeld, waardoor de insteek van het beleidsdebat nog niet bekend is</w:t>
      </w:r>
      <w:r w:rsidRPr="00764061" w:rsidR="00AD194B">
        <w:rPr>
          <w:rFonts w:ascii="Verdana" w:hAnsi="Verdana"/>
          <w:sz w:val="18"/>
          <w:szCs w:val="18"/>
        </w:rPr>
        <w:t xml:space="preserve">. De ambitie tot versterking van het UCPM sluit aan bij de inzet van het kabinet op nationaal, Europees en internationaal niveau. Het voorstel sluit aan bij de kabinetsdoelstelling om de nationale en Europese weerbaarheid te versterken. Het kabinet staat positief tegenover de voorgestelde versterking van de gezondheidscrisisparaatheid binnen het Uniemechanisme, met name op operationeel niveau. </w:t>
      </w:r>
      <w:r w:rsidRPr="00764061" w:rsidR="0086044C">
        <w:rPr>
          <w:rFonts w:ascii="Verdana" w:hAnsi="Verdana"/>
          <w:sz w:val="18"/>
          <w:szCs w:val="18"/>
        </w:rPr>
        <w:t>Nederland</w:t>
      </w:r>
      <w:r w:rsidRPr="00764061">
        <w:rPr>
          <w:rFonts w:ascii="Verdana" w:hAnsi="Verdana"/>
          <w:sz w:val="18"/>
          <w:szCs w:val="18"/>
        </w:rPr>
        <w:t xml:space="preserve"> draagt</w:t>
      </w:r>
      <w:r w:rsidRPr="00764061" w:rsidR="0086044C">
        <w:rPr>
          <w:rFonts w:ascii="Verdana" w:hAnsi="Verdana"/>
          <w:sz w:val="18"/>
          <w:szCs w:val="18"/>
        </w:rPr>
        <w:t xml:space="preserve"> zelf ook actief </w:t>
      </w:r>
      <w:r w:rsidRPr="00764061">
        <w:rPr>
          <w:rFonts w:ascii="Verdana" w:hAnsi="Verdana"/>
          <w:sz w:val="18"/>
          <w:szCs w:val="18"/>
        </w:rPr>
        <w:t>bij</w:t>
      </w:r>
      <w:r w:rsidRPr="00764061" w:rsidR="0086044C">
        <w:rPr>
          <w:rFonts w:ascii="Verdana" w:hAnsi="Verdana"/>
          <w:sz w:val="18"/>
          <w:szCs w:val="18"/>
        </w:rPr>
        <w:t xml:space="preserve"> aan het </w:t>
      </w:r>
      <w:r w:rsidRPr="00764061">
        <w:rPr>
          <w:rFonts w:ascii="Verdana" w:hAnsi="Verdana"/>
          <w:sz w:val="18"/>
          <w:szCs w:val="18"/>
        </w:rPr>
        <w:t>UCPM</w:t>
      </w:r>
      <w:r w:rsidRPr="00764061" w:rsidR="0086044C">
        <w:rPr>
          <w:rFonts w:ascii="Verdana" w:hAnsi="Verdana"/>
          <w:sz w:val="18"/>
          <w:szCs w:val="18"/>
        </w:rPr>
        <w:t xml:space="preserve">, zodat als Nederland zelf ooit een beroep moet doen op het </w:t>
      </w:r>
      <w:r w:rsidRPr="00764061">
        <w:rPr>
          <w:rFonts w:ascii="Verdana" w:hAnsi="Verdana"/>
          <w:sz w:val="18"/>
          <w:szCs w:val="18"/>
        </w:rPr>
        <w:t>Unie</w:t>
      </w:r>
      <w:r w:rsidRPr="00764061" w:rsidR="0086044C">
        <w:rPr>
          <w:rFonts w:ascii="Verdana" w:hAnsi="Verdana"/>
          <w:sz w:val="18"/>
          <w:szCs w:val="18"/>
        </w:rPr>
        <w:t xml:space="preserve">mechanisme, </w:t>
      </w:r>
      <w:r w:rsidRPr="00764061">
        <w:rPr>
          <w:rFonts w:ascii="Verdana" w:hAnsi="Verdana"/>
          <w:sz w:val="18"/>
          <w:szCs w:val="18"/>
        </w:rPr>
        <w:t xml:space="preserve">Nederland kan rekenen op </w:t>
      </w:r>
      <w:r w:rsidRPr="00764061" w:rsidR="0086044C">
        <w:rPr>
          <w:rFonts w:ascii="Verdana" w:hAnsi="Verdana"/>
          <w:sz w:val="18"/>
          <w:szCs w:val="18"/>
        </w:rPr>
        <w:t xml:space="preserve">voldoende </w:t>
      </w:r>
      <w:r w:rsidRPr="00764061">
        <w:rPr>
          <w:rFonts w:ascii="Verdana" w:hAnsi="Verdana"/>
          <w:sz w:val="18"/>
          <w:szCs w:val="18"/>
        </w:rPr>
        <w:t>steun van andere landen</w:t>
      </w:r>
      <w:r w:rsidRPr="00764061" w:rsidR="0086044C">
        <w:rPr>
          <w:rFonts w:ascii="Verdana" w:hAnsi="Verdana"/>
          <w:sz w:val="18"/>
          <w:szCs w:val="18"/>
        </w:rPr>
        <w:t>.</w:t>
      </w:r>
    </w:p>
    <w:p w:rsidRPr="00764061" w:rsidR="0086044C" w:rsidP="00F75495" w:rsidRDefault="0086044C" w14:paraId="3D1270C7" w14:textId="77777777">
      <w:pPr>
        <w:pStyle w:val="Lijstalinea"/>
        <w:spacing w:after="0" w:line="276" w:lineRule="auto"/>
        <w:ind w:left="360"/>
        <w:rPr>
          <w:rFonts w:ascii="Verdana" w:hAnsi="Verdana"/>
          <w:sz w:val="18"/>
          <w:szCs w:val="18"/>
        </w:rPr>
      </w:pPr>
    </w:p>
    <w:p w:rsidRPr="00764061" w:rsidR="00151D93" w:rsidP="00F75495" w:rsidRDefault="65DCAC31" w14:paraId="5060A02D" w14:textId="03B3A125">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Externe dimensie van migratie</w:t>
      </w:r>
      <w:r w:rsidRPr="00764061" w:rsidR="00F00812">
        <w:rPr>
          <w:rFonts w:ascii="Verdana" w:hAnsi="Verdana"/>
          <w:sz w:val="18"/>
          <w:szCs w:val="18"/>
        </w:rPr>
        <w:br/>
      </w:r>
      <w:r w:rsidRPr="00764061">
        <w:rPr>
          <w:rFonts w:ascii="Verdana" w:hAnsi="Verdana" w:eastAsia="Verdana" w:cs="Verdana"/>
          <w:i/>
          <w:iCs/>
          <w:sz w:val="18"/>
          <w:szCs w:val="18"/>
        </w:rPr>
        <w:t>Gedachtewisseling</w:t>
      </w:r>
    </w:p>
    <w:p w:rsidRPr="00764061" w:rsidR="00151D93" w:rsidP="00F75495" w:rsidRDefault="00151D93" w14:paraId="2EE1D707" w14:textId="77777777">
      <w:pPr>
        <w:pStyle w:val="Lijstalinea"/>
        <w:spacing w:after="0" w:line="276" w:lineRule="auto"/>
        <w:ind w:left="360"/>
        <w:rPr>
          <w:rFonts w:ascii="Verdana" w:hAnsi="Verdana" w:eastAsia="Verdana" w:cs="Verdana"/>
          <w:sz w:val="18"/>
          <w:szCs w:val="18"/>
        </w:rPr>
      </w:pPr>
    </w:p>
    <w:p w:rsidRPr="00764061" w:rsidR="003C67FD" w:rsidP="00F75495" w:rsidRDefault="003C67FD" w14:paraId="0E535F1C" w14:textId="18EA09E5">
      <w:pPr>
        <w:pStyle w:val="Lijstalinea"/>
        <w:spacing w:line="276" w:lineRule="auto"/>
        <w:ind w:left="360"/>
        <w:rPr>
          <w:rFonts w:ascii="Verdana" w:hAnsi="Verdana" w:eastAsia="Verdana" w:cs="Verdana"/>
          <w:sz w:val="18"/>
          <w:szCs w:val="18"/>
        </w:rPr>
      </w:pPr>
      <w:r w:rsidRPr="00764061">
        <w:rPr>
          <w:rFonts w:ascii="Verdana" w:hAnsi="Verdana" w:eastAsia="Verdana" w:cs="Verdana"/>
          <w:sz w:val="18"/>
          <w:szCs w:val="18"/>
        </w:rPr>
        <w:t xml:space="preserve">Het Deense voorzitterschap heeft aangegeven belang te hechten aan een ambitieuze inzet op de externe dimensie van migratie, onder andere waar het gaat om het verder brengen van innovatieve oplossingen en het adresseren van grote uitdagingen, waaronder de instabiliteit in delen van de wereld, die op haar beurt invloed kan hebben op migratiebewegingen richting de Europese Unie. Naar verwachting zal het Voorzitterschap lidstaten vragen te reflecteren op de prioriteiten van de lidstaten op de externe dimensie van migratie en op de inzet op migratie met betrekking tot Syrië. </w:t>
      </w:r>
    </w:p>
    <w:p w:rsidRPr="00764061" w:rsidR="003C67FD" w:rsidP="00F75495" w:rsidRDefault="003C67FD" w14:paraId="2F746CFF" w14:textId="77777777">
      <w:pPr>
        <w:pStyle w:val="Lijstalinea"/>
        <w:spacing w:line="276" w:lineRule="auto"/>
        <w:ind w:left="360"/>
        <w:rPr>
          <w:rFonts w:ascii="Verdana" w:hAnsi="Verdana" w:eastAsia="Verdana" w:cs="Verdana"/>
          <w:sz w:val="18"/>
          <w:szCs w:val="18"/>
        </w:rPr>
      </w:pPr>
    </w:p>
    <w:p w:rsidRPr="00764061" w:rsidR="003C67FD" w:rsidP="00F75495" w:rsidRDefault="003C67FD" w14:paraId="2086327A" w14:textId="77777777">
      <w:pPr>
        <w:pStyle w:val="Lijstalinea"/>
        <w:spacing w:line="276" w:lineRule="auto"/>
        <w:ind w:left="360"/>
        <w:rPr>
          <w:rFonts w:ascii="Verdana" w:hAnsi="Verdana" w:eastAsia="Verdana" w:cs="Verdana"/>
          <w:sz w:val="18"/>
          <w:szCs w:val="18"/>
        </w:rPr>
      </w:pPr>
      <w:r w:rsidRPr="00764061">
        <w:rPr>
          <w:rFonts w:ascii="Verdana" w:hAnsi="Verdana" w:eastAsia="Verdana" w:cs="Verdana"/>
          <w:sz w:val="18"/>
          <w:szCs w:val="18"/>
        </w:rPr>
        <w:t xml:space="preserve">Het kabinet roept de Commissie op de ambitieuze inzet ten aanzien van opvang in de regio en gelijkwaardige en duurzame partnerschappen met migratie-relevante derde landen voort te zetten, om irreguliere migratie tegen te gaan, terugkeer te bevorderen en bescherming en opvang van migranten te versterken. Eveneens moedigt het kabinet het verder uitwerken van innovatieve oplossingen aan en neemt hierin tevens een voortrekkersrol in. Wat betreft Syrië benadrukt het kabinet dat grip op migratie inclusief de terugkeer van Syriërs en het tegengegaan van irreguliere migratie van groot belang is voor Nederland. De Commissie heeft volgens het kabinet een rol in de coördinatie om te zorgen dat de inzet van lidstaten effectief is om terugkeer naar Syrië te bevorderen en het opbouwen van de migratieketen inclusief grensmanagement te ondersteunen. Ook de inzet op de samenwerking met landen in de regio om Syriërs op te blijven vangen is hier een onderdeel van. Het kabinet roept de Commissie </w:t>
      </w:r>
      <w:r w:rsidRPr="00764061">
        <w:rPr>
          <w:rFonts w:ascii="Verdana" w:hAnsi="Verdana" w:eastAsia="Verdana" w:cs="Verdana"/>
          <w:sz w:val="18"/>
          <w:szCs w:val="18"/>
        </w:rPr>
        <w:lastRenderedPageBreak/>
        <w:t xml:space="preserve">daarom op om gezamenlijk met de Syrische autoriteiten en landen in de regio te komen tot een strategie op migratie. Andere lidstaten zullen naar verwachting een breed scala van onderwerpen inbrengen en ook oproepen tot betere coördinatie. </w:t>
      </w:r>
    </w:p>
    <w:p w:rsidRPr="00764061" w:rsidR="00E71CAE" w:rsidP="00F75495" w:rsidRDefault="00E71CAE" w14:paraId="3A960103" w14:textId="77777777">
      <w:pPr>
        <w:pStyle w:val="Lijstalinea"/>
        <w:spacing w:after="0" w:line="276" w:lineRule="auto"/>
        <w:ind w:left="360"/>
        <w:rPr>
          <w:rFonts w:ascii="Verdana" w:hAnsi="Verdana"/>
          <w:sz w:val="18"/>
          <w:szCs w:val="18"/>
        </w:rPr>
      </w:pPr>
    </w:p>
    <w:p w:rsidRPr="00764061" w:rsidR="00DD6CFD" w:rsidP="00F75495" w:rsidRDefault="65DCAC31" w14:paraId="2E3EC1EC" w14:textId="0CB03113">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Toegang tot gegevens voor effectieve wetshandhaving</w:t>
      </w:r>
      <w:r w:rsidRPr="00764061" w:rsidR="00F00812">
        <w:rPr>
          <w:rFonts w:ascii="Verdana" w:hAnsi="Verdana"/>
          <w:sz w:val="18"/>
          <w:szCs w:val="18"/>
        </w:rPr>
        <w:br/>
      </w:r>
      <w:r w:rsidRPr="00764061">
        <w:rPr>
          <w:rFonts w:ascii="Verdana" w:hAnsi="Verdana" w:eastAsia="Verdana" w:cs="Verdana"/>
          <w:i/>
          <w:iCs/>
          <w:sz w:val="18"/>
          <w:szCs w:val="18"/>
        </w:rPr>
        <w:t>Stand van zaken</w:t>
      </w:r>
    </w:p>
    <w:p w:rsidRPr="00764061" w:rsidR="00DD6CFD" w:rsidP="00F75495" w:rsidRDefault="00DD6CFD" w14:paraId="44A4F351" w14:textId="77777777">
      <w:pPr>
        <w:pStyle w:val="Lijstalinea"/>
        <w:spacing w:after="0" w:line="276" w:lineRule="auto"/>
        <w:ind w:left="360"/>
        <w:rPr>
          <w:rFonts w:ascii="Verdana" w:hAnsi="Verdana" w:eastAsia="Verdana" w:cs="Verdana"/>
          <w:i/>
          <w:iCs/>
          <w:sz w:val="18"/>
          <w:szCs w:val="18"/>
        </w:rPr>
      </w:pPr>
    </w:p>
    <w:p w:rsidRPr="00764061" w:rsidR="00E17298" w:rsidP="00F75495" w:rsidRDefault="00E17298" w14:paraId="0979969E" w14:textId="77777777">
      <w:pPr>
        <w:pStyle w:val="Lijstalinea"/>
        <w:spacing w:after="0" w:line="276" w:lineRule="auto"/>
        <w:ind w:left="360"/>
        <w:rPr>
          <w:rFonts w:ascii="Verdana" w:hAnsi="Verdana"/>
          <w:sz w:val="18"/>
          <w:szCs w:val="18"/>
        </w:rPr>
      </w:pPr>
      <w:r w:rsidRPr="00764061">
        <w:rPr>
          <w:rFonts w:ascii="Verdana" w:hAnsi="Verdana"/>
          <w:sz w:val="18"/>
          <w:szCs w:val="18"/>
          <w:lang w:val="en-US"/>
        </w:rPr>
        <w:t xml:space="preserve">Op 24 juni jl. heeft de Commissie de mededeling </w:t>
      </w:r>
      <w:r w:rsidRPr="00764061">
        <w:rPr>
          <w:rFonts w:ascii="Verdana" w:hAnsi="Verdana"/>
          <w:i/>
          <w:iCs/>
          <w:sz w:val="18"/>
          <w:szCs w:val="18"/>
          <w:lang w:val="en-US"/>
        </w:rPr>
        <w:t>‘Roadmap for lawful and effective access to data for law enforcement’</w:t>
      </w:r>
      <w:r w:rsidRPr="00764061">
        <w:rPr>
          <w:rFonts w:ascii="Verdana" w:hAnsi="Verdana"/>
          <w:sz w:val="18"/>
          <w:szCs w:val="18"/>
          <w:lang w:val="en-US"/>
        </w:rPr>
        <w:t xml:space="preserve"> gepubliceerd. </w:t>
      </w:r>
      <w:r w:rsidRPr="00764061">
        <w:rPr>
          <w:rFonts w:ascii="Verdana" w:hAnsi="Verdana"/>
          <w:sz w:val="18"/>
          <w:szCs w:val="18"/>
        </w:rPr>
        <w:t>Uw Kamer is hierover middels een BNC-fiche geïnformeerd.</w:t>
      </w:r>
      <w:r w:rsidRPr="00764061">
        <w:rPr>
          <w:rStyle w:val="Voetnootmarkering"/>
          <w:rFonts w:ascii="Verdana" w:hAnsi="Verdana"/>
          <w:sz w:val="18"/>
          <w:szCs w:val="18"/>
        </w:rPr>
        <w:footnoteReference w:id="12"/>
      </w:r>
      <w:r w:rsidRPr="00764061">
        <w:rPr>
          <w:rFonts w:ascii="Verdana" w:hAnsi="Verdana"/>
          <w:sz w:val="18"/>
          <w:szCs w:val="18"/>
        </w:rPr>
        <w:t xml:space="preserve"> Deze routekaart volgt op de oproep van de JBZ-Raad in december 2024 om in het tweede kwartaal van 2025 met een routekaart te komen in navolging van de aanbevelingen van de </w:t>
      </w:r>
      <w:r w:rsidRPr="00764061">
        <w:rPr>
          <w:rFonts w:ascii="Verdana" w:hAnsi="Verdana"/>
          <w:i/>
          <w:iCs/>
          <w:sz w:val="18"/>
          <w:szCs w:val="18"/>
        </w:rPr>
        <w:t>High Level Group on Access to Data</w:t>
      </w:r>
      <w:r w:rsidRPr="00764061">
        <w:rPr>
          <w:rFonts w:ascii="Verdana" w:hAnsi="Verdana"/>
          <w:sz w:val="18"/>
          <w:szCs w:val="18"/>
        </w:rPr>
        <w:t xml:space="preserve"> (HLG).</w:t>
      </w:r>
      <w:r w:rsidRPr="00764061">
        <w:rPr>
          <w:rStyle w:val="Voetnootmarkering"/>
          <w:rFonts w:ascii="Verdana" w:hAnsi="Verdana"/>
          <w:sz w:val="18"/>
          <w:szCs w:val="18"/>
        </w:rPr>
        <w:footnoteReference w:id="13"/>
      </w:r>
      <w:r w:rsidRPr="00764061">
        <w:rPr>
          <w:rFonts w:ascii="Verdana" w:hAnsi="Verdana"/>
          <w:sz w:val="18"/>
          <w:szCs w:val="18"/>
        </w:rPr>
        <w:t xml:space="preserve"> In november 2024 heeft de HLG een eindrapport gepresenteerd waarin aanbevelingen zijn opgenomen met betrekking tot knelpunten in de toegang tot data voor opsporing. Daarin staan mogelijke oplossingen op drie deelonderwerpen: digitale opsporing, data retentie en toegang tot data.</w:t>
      </w:r>
    </w:p>
    <w:p w:rsidRPr="00764061" w:rsidR="00E17298" w:rsidP="00F75495" w:rsidRDefault="00E17298" w14:paraId="1893CF11" w14:textId="77777777">
      <w:pPr>
        <w:pStyle w:val="Lijstalinea"/>
        <w:spacing w:after="0" w:line="276" w:lineRule="auto"/>
        <w:ind w:left="360"/>
        <w:rPr>
          <w:rFonts w:ascii="Verdana" w:hAnsi="Verdana"/>
          <w:sz w:val="18"/>
          <w:szCs w:val="18"/>
        </w:rPr>
      </w:pPr>
    </w:p>
    <w:p w:rsidRPr="00764061" w:rsidR="00E17298" w:rsidP="00F75495" w:rsidRDefault="00E17298" w14:paraId="797B8455" w14:textId="77777777">
      <w:pPr>
        <w:pStyle w:val="Lijstalinea"/>
        <w:spacing w:after="0" w:line="276" w:lineRule="auto"/>
        <w:ind w:left="360"/>
        <w:rPr>
          <w:rFonts w:ascii="Verdana" w:hAnsi="Verdana"/>
          <w:sz w:val="18"/>
          <w:szCs w:val="18"/>
        </w:rPr>
      </w:pPr>
      <w:r w:rsidRPr="00764061">
        <w:rPr>
          <w:rFonts w:ascii="Verdana" w:hAnsi="Verdana"/>
          <w:sz w:val="18"/>
          <w:szCs w:val="18"/>
        </w:rPr>
        <w:t xml:space="preserve">De routekaart schetst de belangrijkste uitdagingen en vervolgstappen om toegang tot data te verbeteren, met oog voor fundamentele rechten en technologische ontwikkelingen. Het kabinet verwelkomt de routekaart en ondersteunt het doel en de algemene strekking van de stappen die de Commissie zal ondernemen. Hierbij is het van belang gedegen, prudente en concrete stappen te nemen. Het kabinet zal </w:t>
      </w:r>
      <w:r w:rsidRPr="00764061">
        <w:rPr>
          <w:rFonts w:ascii="Verdana" w:hAnsi="Verdana"/>
          <w:bCs/>
          <w:sz w:val="18"/>
          <w:szCs w:val="18"/>
        </w:rPr>
        <w:t>daarbij in Europa blijven uitdragen dat end-to-end encryptie niet onmogelijk mag worden gemaakt</w:t>
      </w:r>
      <w:r w:rsidRPr="00764061">
        <w:rPr>
          <w:rFonts w:ascii="Verdana" w:hAnsi="Verdana"/>
          <w:bCs/>
          <w:sz w:val="18"/>
          <w:szCs w:val="18"/>
          <w:vertAlign w:val="superscript"/>
        </w:rPr>
        <w:footnoteReference w:id="14"/>
      </w:r>
      <w:r w:rsidRPr="00764061">
        <w:rPr>
          <w:rFonts w:ascii="Verdana" w:hAnsi="Verdana"/>
          <w:bCs/>
          <w:sz w:val="18"/>
          <w:szCs w:val="18"/>
        </w:rPr>
        <w:t xml:space="preserve"> en het kabinetsstandpunt in acht nemen.</w:t>
      </w:r>
      <w:r w:rsidRPr="00764061">
        <w:rPr>
          <w:rFonts w:ascii="Verdana" w:hAnsi="Verdana"/>
          <w:bCs/>
          <w:sz w:val="18"/>
          <w:szCs w:val="18"/>
          <w:vertAlign w:val="superscript"/>
        </w:rPr>
        <w:footnoteReference w:id="15"/>
      </w:r>
      <w:r w:rsidRPr="00764061">
        <w:rPr>
          <w:rFonts w:ascii="Verdana" w:hAnsi="Verdana"/>
          <w:bCs/>
          <w:sz w:val="18"/>
          <w:szCs w:val="18"/>
        </w:rPr>
        <w:t xml:space="preserve"> </w:t>
      </w:r>
    </w:p>
    <w:p w:rsidRPr="00764061" w:rsidR="00E17298" w:rsidP="00F75495" w:rsidRDefault="00E17298" w14:paraId="1290A3D2" w14:textId="77777777">
      <w:pPr>
        <w:pStyle w:val="Lijstalinea"/>
        <w:spacing w:after="0" w:line="276" w:lineRule="auto"/>
        <w:ind w:left="360"/>
        <w:rPr>
          <w:rFonts w:ascii="Verdana" w:hAnsi="Verdana"/>
          <w:sz w:val="18"/>
          <w:szCs w:val="18"/>
        </w:rPr>
      </w:pPr>
    </w:p>
    <w:p w:rsidRPr="00764061" w:rsidR="00E17298" w:rsidP="00F75495" w:rsidRDefault="00E17298" w14:paraId="51E97B57" w14:textId="77777777">
      <w:pPr>
        <w:pStyle w:val="Lijstalinea"/>
        <w:spacing w:after="0" w:line="276" w:lineRule="auto"/>
        <w:ind w:left="360"/>
        <w:rPr>
          <w:rFonts w:ascii="Verdana" w:hAnsi="Verdana"/>
          <w:sz w:val="18"/>
          <w:szCs w:val="18"/>
        </w:rPr>
      </w:pPr>
      <w:r w:rsidRPr="00764061">
        <w:rPr>
          <w:rFonts w:ascii="Verdana" w:hAnsi="Verdana"/>
          <w:sz w:val="18"/>
          <w:szCs w:val="18"/>
        </w:rPr>
        <w:t xml:space="preserve">De precieze focus die het Voorzitterschap voor ogen heeft is op moment van schrijven nog niet bekend. Naar verwachting zal er door de Commissie een toelichting worden gegeven op de huidige stand van zaken betreffende de routekaart. In de routekaart kondigt de Commissie aan te werken aan een technologische routekaart, het creëren van een gelijk speelveld tussen telecom- en communicatiediensten, en een meer gecoördineerde EU-aanpak voor digitale forensische toepassingen. </w:t>
      </w:r>
    </w:p>
    <w:p w:rsidRPr="00764061" w:rsidR="00E17298" w:rsidP="00F75495" w:rsidRDefault="00E17298" w14:paraId="052DA076" w14:textId="77777777">
      <w:pPr>
        <w:pStyle w:val="Lijstalinea"/>
        <w:spacing w:after="0" w:line="276" w:lineRule="auto"/>
        <w:ind w:left="360"/>
        <w:rPr>
          <w:rFonts w:ascii="Verdana" w:hAnsi="Verdana"/>
          <w:sz w:val="18"/>
          <w:szCs w:val="18"/>
        </w:rPr>
      </w:pPr>
    </w:p>
    <w:p w:rsidRPr="00764061" w:rsidR="00E17298" w:rsidP="00F75495" w:rsidRDefault="00E17298" w14:paraId="7F2EBDBE" w14:textId="77777777">
      <w:pPr>
        <w:pStyle w:val="Lijstalinea"/>
        <w:spacing w:after="0" w:line="276" w:lineRule="auto"/>
        <w:ind w:left="360"/>
        <w:rPr>
          <w:rFonts w:ascii="Verdana" w:hAnsi="Verdana"/>
          <w:sz w:val="18"/>
          <w:szCs w:val="18"/>
        </w:rPr>
      </w:pPr>
      <w:r w:rsidRPr="00764061">
        <w:rPr>
          <w:rFonts w:ascii="Verdana" w:hAnsi="Verdana"/>
          <w:sz w:val="18"/>
          <w:szCs w:val="18"/>
        </w:rPr>
        <w:t>Nederland zal de informatievoorziening tijdens de JBZ-Raad aanhoren.</w:t>
      </w:r>
    </w:p>
    <w:p w:rsidRPr="00764061" w:rsidR="00E71CAE" w:rsidP="00F75495" w:rsidRDefault="00E71CAE" w14:paraId="7A1959B7" w14:textId="77777777">
      <w:pPr>
        <w:pStyle w:val="Lijstalinea"/>
        <w:spacing w:after="0" w:line="276" w:lineRule="auto"/>
        <w:ind w:left="360"/>
        <w:rPr>
          <w:rFonts w:ascii="Verdana" w:hAnsi="Verdana"/>
          <w:sz w:val="18"/>
          <w:szCs w:val="18"/>
        </w:rPr>
      </w:pPr>
    </w:p>
    <w:p w:rsidRPr="00764061" w:rsidR="00151D93" w:rsidP="00F75495" w:rsidRDefault="65DCAC31" w14:paraId="3229BFFC" w14:textId="283D9E82">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De impact van de huidige geopolitieke situatie op de interne veiligheid van de EU</w:t>
      </w:r>
      <w:r w:rsidRPr="00764061" w:rsidR="00F00812">
        <w:rPr>
          <w:rFonts w:ascii="Verdana" w:hAnsi="Verdana"/>
          <w:sz w:val="18"/>
          <w:szCs w:val="18"/>
        </w:rPr>
        <w:br/>
      </w:r>
      <w:r w:rsidRPr="00764061">
        <w:rPr>
          <w:rFonts w:ascii="Verdana" w:hAnsi="Verdana" w:eastAsia="Verdana" w:cs="Verdana"/>
          <w:i/>
          <w:iCs/>
          <w:sz w:val="18"/>
          <w:szCs w:val="18"/>
        </w:rPr>
        <w:t>Gedachtewisseling</w:t>
      </w:r>
      <w:r w:rsidRPr="00764061" w:rsidR="00861B0E">
        <w:rPr>
          <w:rFonts w:ascii="Verdana" w:hAnsi="Verdana" w:eastAsia="Verdana" w:cs="Verdana"/>
          <w:i/>
          <w:iCs/>
          <w:sz w:val="18"/>
          <w:szCs w:val="18"/>
        </w:rPr>
        <w:t xml:space="preserve"> </w:t>
      </w:r>
      <w:r w:rsidRPr="00764061" w:rsidR="00F00812">
        <w:rPr>
          <w:rFonts w:ascii="Verdana" w:hAnsi="Verdana"/>
          <w:sz w:val="18"/>
          <w:szCs w:val="18"/>
        </w:rPr>
        <w:br/>
      </w:r>
    </w:p>
    <w:p w:rsidRPr="00764061" w:rsidR="00854D71" w:rsidP="00F75495" w:rsidRDefault="00ED4DA8" w14:paraId="28582F86" w14:textId="2A7F5D76">
      <w:pPr>
        <w:pStyle w:val="Lijstalinea"/>
        <w:spacing w:line="276" w:lineRule="auto"/>
        <w:ind w:left="360"/>
        <w:rPr>
          <w:rFonts w:ascii="Verdana" w:hAnsi="Verdana"/>
          <w:sz w:val="18"/>
          <w:szCs w:val="18"/>
        </w:rPr>
      </w:pPr>
      <w:r w:rsidRPr="00764061">
        <w:rPr>
          <w:rFonts w:ascii="Verdana" w:hAnsi="Verdana"/>
          <w:sz w:val="18"/>
          <w:szCs w:val="18"/>
        </w:rPr>
        <w:t xml:space="preserve">Op dit moment zijn er nog geen achtergrondstukken beschikbaar. </w:t>
      </w:r>
      <w:r w:rsidRPr="00764061" w:rsidR="00854D71">
        <w:rPr>
          <w:rFonts w:ascii="Verdana" w:hAnsi="Verdana"/>
          <w:sz w:val="18"/>
          <w:szCs w:val="18"/>
        </w:rPr>
        <w:t xml:space="preserve">De verwachting is dat </w:t>
      </w:r>
      <w:r w:rsidRPr="00764061" w:rsidR="00F82B65">
        <w:rPr>
          <w:rFonts w:ascii="Verdana" w:hAnsi="Verdana"/>
          <w:sz w:val="18"/>
          <w:szCs w:val="18"/>
        </w:rPr>
        <w:t>de Raad van gedachten zal wisselen</w:t>
      </w:r>
      <w:r w:rsidRPr="00764061" w:rsidR="00854D71">
        <w:rPr>
          <w:rFonts w:ascii="Verdana" w:hAnsi="Verdana"/>
          <w:sz w:val="18"/>
          <w:szCs w:val="18"/>
        </w:rPr>
        <w:t xml:space="preserve"> </w:t>
      </w:r>
      <w:r w:rsidRPr="00764061" w:rsidR="00F82B65">
        <w:rPr>
          <w:rFonts w:ascii="Verdana" w:hAnsi="Verdana"/>
          <w:sz w:val="18"/>
          <w:szCs w:val="18"/>
        </w:rPr>
        <w:t xml:space="preserve">over de gevolgen van de geopolitieke ontwikkelen voor de interne veiligheid van de EU, waaronder </w:t>
      </w:r>
      <w:r w:rsidRPr="00764061" w:rsidR="00854D71">
        <w:rPr>
          <w:rFonts w:ascii="Verdana" w:hAnsi="Verdana"/>
          <w:sz w:val="18"/>
          <w:szCs w:val="18"/>
        </w:rPr>
        <w:t>de Russische agressie tegen Oekraïne</w:t>
      </w:r>
      <w:r w:rsidRPr="00764061" w:rsidR="00F82B65">
        <w:rPr>
          <w:rFonts w:ascii="Verdana" w:hAnsi="Verdana"/>
          <w:sz w:val="18"/>
          <w:szCs w:val="18"/>
        </w:rPr>
        <w:t xml:space="preserve"> en de schending van het luchtruim van EU lidstaten. Deze ontwikkeling is onderdeel van de toename van destabiliserende acties gericht op Europese lidstaten en laat zien dat d</w:t>
      </w:r>
      <w:r w:rsidRPr="00764061" w:rsidR="00854D71">
        <w:rPr>
          <w:rFonts w:ascii="Verdana" w:hAnsi="Verdana"/>
          <w:sz w:val="18"/>
          <w:szCs w:val="18"/>
        </w:rPr>
        <w:t xml:space="preserve">e oorlog </w:t>
      </w:r>
      <w:r w:rsidRPr="00764061" w:rsidR="00F82B65">
        <w:rPr>
          <w:rFonts w:ascii="Verdana" w:hAnsi="Verdana"/>
          <w:sz w:val="18"/>
          <w:szCs w:val="18"/>
        </w:rPr>
        <w:t>in</w:t>
      </w:r>
      <w:r w:rsidRPr="00764061" w:rsidR="00854D71">
        <w:rPr>
          <w:rFonts w:ascii="Verdana" w:hAnsi="Verdana"/>
          <w:sz w:val="18"/>
          <w:szCs w:val="18"/>
        </w:rPr>
        <w:t xml:space="preserve"> Oekraïne op middellange en lange termijn risico’s met zich mee</w:t>
      </w:r>
      <w:r w:rsidRPr="00764061" w:rsidR="00B13830">
        <w:rPr>
          <w:rFonts w:ascii="Verdana" w:hAnsi="Verdana"/>
          <w:sz w:val="18"/>
          <w:szCs w:val="18"/>
        </w:rPr>
        <w:t>brengt</w:t>
      </w:r>
      <w:r w:rsidRPr="00764061" w:rsidR="00854D71">
        <w:rPr>
          <w:rFonts w:ascii="Verdana" w:hAnsi="Verdana"/>
          <w:sz w:val="18"/>
          <w:szCs w:val="18"/>
        </w:rPr>
        <w:t xml:space="preserve"> voor de veiligheid van de EU. </w:t>
      </w:r>
    </w:p>
    <w:p w:rsidRPr="00764061" w:rsidR="009D041A" w:rsidP="00F75495" w:rsidRDefault="009D041A" w14:paraId="1C31F230" w14:textId="77777777">
      <w:pPr>
        <w:pStyle w:val="Lijstalinea"/>
        <w:spacing w:line="276" w:lineRule="auto"/>
        <w:ind w:left="360"/>
        <w:rPr>
          <w:rFonts w:ascii="Verdana" w:hAnsi="Verdana"/>
          <w:sz w:val="18"/>
          <w:szCs w:val="18"/>
        </w:rPr>
      </w:pPr>
    </w:p>
    <w:p w:rsidRPr="00764061" w:rsidR="009D041A" w:rsidP="00F75495" w:rsidRDefault="00E71CAE" w14:paraId="36911B90" w14:textId="480B7A52">
      <w:pPr>
        <w:pStyle w:val="Lijstalinea"/>
        <w:spacing w:line="276" w:lineRule="auto"/>
        <w:ind w:left="360"/>
        <w:rPr>
          <w:rFonts w:ascii="Verdana" w:hAnsi="Verdana"/>
          <w:sz w:val="18"/>
          <w:szCs w:val="18"/>
        </w:rPr>
      </w:pPr>
      <w:r w:rsidRPr="00764061">
        <w:rPr>
          <w:rFonts w:ascii="Verdana" w:hAnsi="Verdana"/>
          <w:sz w:val="18"/>
          <w:szCs w:val="18"/>
        </w:rPr>
        <w:t>Mogelijk wordt er nog stilgestaan bij de parlementaire verkiezingen i</w:t>
      </w:r>
      <w:r w:rsidRPr="00764061" w:rsidR="009D041A">
        <w:rPr>
          <w:rFonts w:ascii="Verdana" w:hAnsi="Verdana"/>
          <w:sz w:val="18"/>
          <w:szCs w:val="18"/>
        </w:rPr>
        <w:t xml:space="preserve">n Moldavië </w:t>
      </w:r>
      <w:r w:rsidRPr="00764061">
        <w:rPr>
          <w:rFonts w:ascii="Verdana" w:hAnsi="Verdana"/>
          <w:sz w:val="18"/>
          <w:szCs w:val="18"/>
        </w:rPr>
        <w:t>die</w:t>
      </w:r>
      <w:r w:rsidRPr="00764061" w:rsidR="009D041A">
        <w:rPr>
          <w:rFonts w:ascii="Verdana" w:hAnsi="Verdana"/>
          <w:sz w:val="18"/>
          <w:szCs w:val="18"/>
        </w:rPr>
        <w:t xml:space="preserve"> op 28 september a.s. </w:t>
      </w:r>
      <w:r w:rsidRPr="00764061">
        <w:rPr>
          <w:rFonts w:ascii="Verdana" w:hAnsi="Verdana"/>
          <w:sz w:val="18"/>
          <w:szCs w:val="18"/>
        </w:rPr>
        <w:t>worden</w:t>
      </w:r>
      <w:r w:rsidRPr="00764061" w:rsidR="009D041A">
        <w:rPr>
          <w:rFonts w:ascii="Verdana" w:hAnsi="Verdana"/>
          <w:sz w:val="18"/>
          <w:szCs w:val="18"/>
        </w:rPr>
        <w:t xml:space="preserve"> gehouden</w:t>
      </w:r>
      <w:r w:rsidRPr="00764061">
        <w:rPr>
          <w:rFonts w:ascii="Verdana" w:hAnsi="Verdana"/>
          <w:sz w:val="18"/>
          <w:szCs w:val="18"/>
        </w:rPr>
        <w:t xml:space="preserve"> en</w:t>
      </w:r>
      <w:r w:rsidRPr="00764061" w:rsidR="009D041A">
        <w:rPr>
          <w:rFonts w:ascii="Verdana" w:hAnsi="Verdana"/>
          <w:sz w:val="18"/>
          <w:szCs w:val="18"/>
        </w:rPr>
        <w:t xml:space="preserve"> waarbij het de verwachting is </w:t>
      </w:r>
      <w:r w:rsidRPr="00764061" w:rsidR="003C67FD">
        <w:rPr>
          <w:rFonts w:ascii="Verdana" w:hAnsi="Verdana"/>
          <w:sz w:val="18"/>
          <w:szCs w:val="18"/>
        </w:rPr>
        <w:t xml:space="preserve">van de Commissie </w:t>
      </w:r>
      <w:r w:rsidRPr="00764061" w:rsidR="009D041A">
        <w:rPr>
          <w:rFonts w:ascii="Verdana" w:hAnsi="Verdana"/>
          <w:sz w:val="18"/>
          <w:szCs w:val="18"/>
        </w:rPr>
        <w:t xml:space="preserve">dat er sprake zal zijn van sterke Russische inmenging en beïnvloeding. </w:t>
      </w:r>
    </w:p>
    <w:p w:rsidRPr="00764061" w:rsidR="00F82B65" w:rsidP="00F75495" w:rsidRDefault="00F82B65" w14:paraId="51F76DDE" w14:textId="77777777">
      <w:pPr>
        <w:pStyle w:val="Lijstalinea"/>
        <w:spacing w:line="276" w:lineRule="auto"/>
        <w:ind w:left="360"/>
        <w:rPr>
          <w:rFonts w:ascii="Verdana" w:hAnsi="Verdana"/>
          <w:sz w:val="18"/>
          <w:szCs w:val="18"/>
        </w:rPr>
      </w:pPr>
    </w:p>
    <w:p w:rsidRPr="00764061" w:rsidR="00854D71" w:rsidP="00F75495" w:rsidRDefault="009D041A" w14:paraId="7BEE9185" w14:textId="5E53BB66">
      <w:pPr>
        <w:pStyle w:val="Lijstalinea"/>
        <w:spacing w:line="276" w:lineRule="auto"/>
        <w:ind w:left="360"/>
        <w:rPr>
          <w:rFonts w:ascii="Verdana" w:hAnsi="Verdana"/>
          <w:sz w:val="18"/>
          <w:szCs w:val="18"/>
        </w:rPr>
      </w:pPr>
      <w:r w:rsidRPr="00764061">
        <w:rPr>
          <w:rFonts w:ascii="Verdana" w:hAnsi="Verdana"/>
          <w:sz w:val="18"/>
          <w:szCs w:val="18"/>
        </w:rPr>
        <w:t>Het kabinet blijft inzetten op de versterking van de civiele weerbaarheid en doet dit zowel op nationaal niveau als in Europees en NAVO verband. Daarnaast acht het</w:t>
      </w:r>
      <w:r w:rsidRPr="00764061" w:rsidR="00854D71">
        <w:rPr>
          <w:rFonts w:ascii="Verdana" w:hAnsi="Verdana"/>
          <w:sz w:val="18"/>
          <w:szCs w:val="18"/>
        </w:rPr>
        <w:t xml:space="preserve"> kabinet het van groot belang de gestructureerde EU-veiligheidsdialoog met Oekraïne voort te zetten en deelt </w:t>
      </w:r>
      <w:r w:rsidRPr="00764061" w:rsidR="00F87AFA">
        <w:rPr>
          <w:rFonts w:ascii="Verdana" w:hAnsi="Verdana"/>
          <w:sz w:val="18"/>
          <w:szCs w:val="18"/>
        </w:rPr>
        <w:t xml:space="preserve">het </w:t>
      </w:r>
      <w:r w:rsidRPr="00764061" w:rsidR="00854D71">
        <w:rPr>
          <w:rFonts w:ascii="Verdana" w:hAnsi="Verdana"/>
          <w:sz w:val="18"/>
          <w:szCs w:val="18"/>
        </w:rPr>
        <w:t xml:space="preserve">de focus op de vier prioritaire onderwerpen van die dialoog: de verspreiding van illegale wapens, </w:t>
      </w:r>
      <w:r w:rsidRPr="00764061" w:rsidR="00854D71">
        <w:rPr>
          <w:rFonts w:ascii="Verdana" w:hAnsi="Verdana"/>
          <w:sz w:val="18"/>
          <w:szCs w:val="18"/>
        </w:rPr>
        <w:lastRenderedPageBreak/>
        <w:t xml:space="preserve">grensveiligheid, extremisme en terrorisme, en de gerechtigheid en verantwoording voor internationale misdrijven. </w:t>
      </w:r>
    </w:p>
    <w:p w:rsidRPr="00764061" w:rsidR="0044223C" w:rsidP="00F75495" w:rsidRDefault="0044223C" w14:paraId="0F3CBA06" w14:textId="77777777">
      <w:pPr>
        <w:pStyle w:val="Lijstalinea"/>
        <w:spacing w:line="276" w:lineRule="auto"/>
        <w:ind w:left="360"/>
        <w:rPr>
          <w:rFonts w:ascii="Verdana" w:hAnsi="Verdana"/>
          <w:sz w:val="18"/>
          <w:szCs w:val="18"/>
        </w:rPr>
      </w:pPr>
    </w:p>
    <w:p w:rsidRPr="00764061" w:rsidR="00E71CAE" w:rsidP="00F75495" w:rsidRDefault="65DCAC31" w14:paraId="16420171" w14:textId="77777777">
      <w:pPr>
        <w:pStyle w:val="Lijstalinea"/>
        <w:numPr>
          <w:ilvl w:val="3"/>
          <w:numId w:val="11"/>
        </w:numPr>
        <w:spacing w:after="0" w:line="276" w:lineRule="auto"/>
        <w:rPr>
          <w:rFonts w:ascii="Verdana" w:hAnsi="Verdana"/>
          <w:sz w:val="18"/>
          <w:szCs w:val="18"/>
        </w:rPr>
      </w:pPr>
      <w:r w:rsidRPr="00764061">
        <w:rPr>
          <w:rFonts w:ascii="Verdana" w:hAnsi="Verdana" w:eastAsia="Verdana" w:cs="Verdana"/>
          <w:b/>
          <w:bCs/>
          <w:sz w:val="18"/>
          <w:szCs w:val="18"/>
        </w:rPr>
        <w:t xml:space="preserve">Overige onderwerpen </w:t>
      </w:r>
    </w:p>
    <w:p w:rsidRPr="00764061" w:rsidR="00F00812" w:rsidP="00F75495" w:rsidRDefault="65DCAC31" w14:paraId="4254B25C" w14:textId="0FA86B2E">
      <w:pPr>
        <w:pStyle w:val="Lijstalinea"/>
        <w:numPr>
          <w:ilvl w:val="4"/>
          <w:numId w:val="11"/>
        </w:numPr>
        <w:spacing w:after="0" w:line="276" w:lineRule="auto"/>
        <w:rPr>
          <w:rFonts w:ascii="Verdana" w:hAnsi="Verdana"/>
          <w:sz w:val="18"/>
          <w:szCs w:val="18"/>
        </w:rPr>
      </w:pPr>
      <w:r w:rsidRPr="00764061">
        <w:rPr>
          <w:rFonts w:ascii="Verdana" w:hAnsi="Verdana" w:eastAsia="Verdana" w:cs="Verdana"/>
          <w:b/>
          <w:bCs/>
          <w:sz w:val="18"/>
          <w:szCs w:val="18"/>
        </w:rPr>
        <w:t>Jaarlijks voortgangsverslag over handhaving en uitvoering</w:t>
      </w:r>
      <w:r w:rsidRPr="00764061" w:rsidR="00F00812">
        <w:rPr>
          <w:rFonts w:ascii="Verdana" w:hAnsi="Verdana"/>
          <w:sz w:val="18"/>
          <w:szCs w:val="18"/>
        </w:rPr>
        <w:br/>
      </w:r>
      <w:r w:rsidRPr="00764061">
        <w:rPr>
          <w:rFonts w:ascii="Verdana" w:hAnsi="Verdana" w:eastAsia="Verdana" w:cs="Verdana"/>
          <w:i/>
          <w:iCs/>
          <w:sz w:val="18"/>
          <w:szCs w:val="18"/>
        </w:rPr>
        <w:t>Informatie van de Commissie</w:t>
      </w:r>
      <w:r w:rsidRPr="00764061" w:rsidR="00F00812">
        <w:rPr>
          <w:rFonts w:ascii="Verdana" w:hAnsi="Verdana"/>
          <w:sz w:val="18"/>
          <w:szCs w:val="18"/>
        </w:rPr>
        <w:br/>
      </w:r>
    </w:p>
    <w:p w:rsidRPr="00764061" w:rsidR="0044223C" w:rsidP="00F75495" w:rsidRDefault="004A366F" w14:paraId="0F5FE53D" w14:textId="77777777">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 xml:space="preserve">De Commissie zal het jaarlijkse voortgangsrapport over handhaving en uitvoering van EU-wetgeving en beleid presenteren aan de JBZ-Raad, zoals aangekondigd in het Commissie-werkprogramma 2025. </w:t>
      </w:r>
      <w:r w:rsidRPr="00764061" w:rsidR="003C67FD">
        <w:rPr>
          <w:rFonts w:ascii="Verdana" w:hAnsi="Verdana" w:eastAsia="Calibri" w:cs="Times New Roman"/>
          <w:sz w:val="18"/>
          <w:szCs w:val="18"/>
        </w:rPr>
        <w:t>Naar verwachting zal de Commissie een update geven van de stand van zaken rond de implementatie van het Asiel- en Migratiepact met een eerste doorkijk naar het Europees jaarverslag dat op 15 oktober aanstaande gepubliceerd zal worden. Het jaarverslag is een juridische verplichting die volgt uit de Asiel- en Migratiemanagementverordening (art. 9, AMMR), waarin de Commissie jaarlijks de situatie op het gebied van asiel, opvang en migratie in de voorgaande twaalf maanden en eventuele ontwikkelingen beoordeelt. De informatie uit het jaarverslag wordt bovendien meegewogen in de vaststelling van lidstaten die onder migratiedruk staan</w:t>
      </w:r>
      <w:r w:rsidRPr="00764061" w:rsidR="0044223C">
        <w:rPr>
          <w:rFonts w:ascii="Verdana" w:hAnsi="Verdana" w:eastAsia="Calibri" w:cs="Times New Roman"/>
          <w:sz w:val="18"/>
          <w:szCs w:val="18"/>
        </w:rPr>
        <w:t>,</w:t>
      </w:r>
      <w:r w:rsidRPr="00764061" w:rsidR="003C67FD">
        <w:rPr>
          <w:rFonts w:ascii="Verdana" w:hAnsi="Verdana" w:eastAsia="Calibri" w:cs="Times New Roman"/>
          <w:sz w:val="18"/>
          <w:szCs w:val="18"/>
        </w:rPr>
        <w:t xml:space="preserve"> hetgeen een belangrijke factor is voor de verdeling onder het solidariteitsmechanisme. </w:t>
      </w:r>
    </w:p>
    <w:p w:rsidRPr="00764061" w:rsidR="0044223C" w:rsidP="00F75495" w:rsidRDefault="0044223C" w14:paraId="6BB8AB99" w14:textId="77777777">
      <w:pPr>
        <w:spacing w:after="0" w:line="276" w:lineRule="auto"/>
        <w:ind w:left="283"/>
        <w:contextualSpacing/>
        <w:rPr>
          <w:rFonts w:ascii="Verdana" w:hAnsi="Verdana" w:eastAsia="Calibri" w:cs="Times New Roman"/>
          <w:sz w:val="18"/>
          <w:szCs w:val="18"/>
        </w:rPr>
      </w:pPr>
    </w:p>
    <w:p w:rsidRPr="00764061" w:rsidR="004A366F" w:rsidP="00F75495" w:rsidRDefault="003C67FD" w14:paraId="44F97B76" w14:textId="6CEA1871">
      <w:pPr>
        <w:spacing w:after="0" w:line="276" w:lineRule="auto"/>
        <w:ind w:left="283"/>
        <w:contextualSpacing/>
        <w:rPr>
          <w:rFonts w:ascii="Verdana" w:hAnsi="Verdana" w:eastAsia="Calibri" w:cs="Times New Roman"/>
          <w:sz w:val="18"/>
          <w:szCs w:val="18"/>
        </w:rPr>
      </w:pPr>
      <w:r w:rsidRPr="00764061">
        <w:rPr>
          <w:rFonts w:ascii="Verdana" w:hAnsi="Verdana" w:eastAsia="Calibri" w:cs="Times New Roman"/>
          <w:sz w:val="18"/>
          <w:szCs w:val="18"/>
        </w:rPr>
        <w:t>Voor het kabinet blijft het van belang dat de voortgang van de implementatie van het Pact regelmatig en ook op politiek niveau wordt besproken, zodat vertragingen en knelpunten in de implementatie tijdig geadresseerd kunnen worden. Daarnaast blijft het kabinet zich er in samenwerking met gelijkgezinde lidstaten voor inzetten dat ook het huidige acquis uitgevoerd wordt, in het bijzonder de verplichtingen in het kader van Dublin.</w:t>
      </w:r>
    </w:p>
    <w:p w:rsidRPr="00764061" w:rsidR="004A366F" w:rsidP="00F75495" w:rsidRDefault="004A366F" w14:paraId="32022B58" w14:textId="77777777">
      <w:pPr>
        <w:spacing w:after="0" w:line="276" w:lineRule="auto"/>
        <w:ind w:left="283"/>
        <w:contextualSpacing/>
        <w:rPr>
          <w:rFonts w:ascii="Verdana" w:hAnsi="Verdana" w:eastAsia="Calibri" w:cs="Times New Roman"/>
          <w:sz w:val="18"/>
          <w:szCs w:val="18"/>
        </w:rPr>
      </w:pPr>
    </w:p>
    <w:p w:rsidRPr="00764061" w:rsidR="003C67FD" w:rsidP="00F75495" w:rsidRDefault="65DCAC31" w14:paraId="79C74A40" w14:textId="77777777">
      <w:pPr>
        <w:pStyle w:val="Lijstalinea"/>
        <w:numPr>
          <w:ilvl w:val="1"/>
          <w:numId w:val="11"/>
        </w:numPr>
        <w:spacing w:after="0" w:line="276" w:lineRule="auto"/>
        <w:rPr>
          <w:rFonts w:ascii="Verdana" w:hAnsi="Verdana" w:eastAsia="Calibri" w:cs="Times New Roman"/>
          <w:kern w:val="0"/>
          <w:sz w:val="18"/>
          <w:szCs w:val="18"/>
          <w14:ligatures w14:val="none"/>
        </w:rPr>
      </w:pPr>
      <w:r w:rsidRPr="00764061">
        <w:rPr>
          <w:rFonts w:ascii="Verdana" w:hAnsi="Verdana" w:eastAsia="Verdana" w:cs="Verdana"/>
          <w:b/>
          <w:bCs/>
          <w:sz w:val="18"/>
          <w:szCs w:val="18"/>
        </w:rPr>
        <w:t>Jaarlijkse solidariteitspool</w:t>
      </w:r>
      <w:r w:rsidRPr="00764061" w:rsidR="00F00812">
        <w:rPr>
          <w:rFonts w:ascii="Verdana" w:hAnsi="Verdana"/>
          <w:sz w:val="18"/>
          <w:szCs w:val="18"/>
        </w:rPr>
        <w:br/>
      </w:r>
      <w:r w:rsidRPr="00764061">
        <w:rPr>
          <w:rFonts w:ascii="Verdana" w:hAnsi="Verdana" w:eastAsia="Verdana" w:cs="Verdana"/>
          <w:i/>
          <w:iCs/>
          <w:sz w:val="18"/>
          <w:szCs w:val="18"/>
        </w:rPr>
        <w:t xml:space="preserve">Informatie van het </w:t>
      </w:r>
      <w:r w:rsidRPr="00764061" w:rsidR="00F41E84">
        <w:rPr>
          <w:rFonts w:ascii="Verdana" w:hAnsi="Verdana" w:eastAsia="Verdana" w:cs="Verdana"/>
          <w:i/>
          <w:iCs/>
          <w:sz w:val="18"/>
          <w:szCs w:val="18"/>
        </w:rPr>
        <w:t>V</w:t>
      </w:r>
      <w:r w:rsidRPr="00764061">
        <w:rPr>
          <w:rFonts w:ascii="Verdana" w:hAnsi="Verdana" w:eastAsia="Verdana" w:cs="Verdana"/>
          <w:i/>
          <w:iCs/>
          <w:sz w:val="18"/>
          <w:szCs w:val="18"/>
        </w:rPr>
        <w:t>oorzitterschap en de Commissie</w:t>
      </w:r>
    </w:p>
    <w:p w:rsidRPr="00764061" w:rsidR="003C67FD" w:rsidP="00F75495" w:rsidRDefault="003C67FD" w14:paraId="0814C764" w14:textId="77777777">
      <w:pPr>
        <w:spacing w:after="0" w:line="276" w:lineRule="auto"/>
        <w:ind w:left="284"/>
        <w:rPr>
          <w:rFonts w:ascii="Verdana" w:hAnsi="Verdana" w:eastAsia="Calibri" w:cs="Times New Roman"/>
          <w:kern w:val="0"/>
          <w:sz w:val="18"/>
          <w:szCs w:val="18"/>
          <w14:ligatures w14:val="none"/>
        </w:rPr>
      </w:pPr>
    </w:p>
    <w:p w:rsidRPr="003C67FD" w:rsidR="003C67FD" w:rsidP="00F75495" w:rsidRDefault="003C67FD" w14:paraId="48A485AB" w14:textId="14D69B69">
      <w:pPr>
        <w:spacing w:after="0" w:line="276" w:lineRule="auto"/>
        <w:ind w:left="284"/>
        <w:rPr>
          <w:rFonts w:ascii="Verdana" w:hAnsi="Verdana" w:eastAsia="Calibri" w:cs="Times New Roman"/>
          <w:kern w:val="0"/>
          <w:sz w:val="18"/>
          <w:szCs w:val="18"/>
          <w14:ligatures w14:val="none"/>
        </w:rPr>
      </w:pPr>
      <w:r w:rsidRPr="00764061">
        <w:rPr>
          <w:rFonts w:ascii="Verdana" w:hAnsi="Verdana" w:eastAsia="Calibri" w:cs="Times New Roman"/>
          <w:kern w:val="0"/>
          <w:sz w:val="18"/>
          <w:szCs w:val="18"/>
          <w14:ligatures w14:val="none"/>
        </w:rPr>
        <w:t>De verwachting is dat het Voorzitterschap en de Commissie meer informatie zullen delen over het proces rondom de totstandkoming van de solidariteitspool en de daarbij behorende solidariteitsbijdrage van de lidstaten. De kabinetsinzet is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Pact te waarborgen. Het kabinet is met gelijkgezinde lidstaten en de Commissie in gesprek om tot een duidelijk plan van aanpak te komen voor het hervatten van Dublinoverdrachten naar verscheidene lidstaten. Het kabinet zal conform het regeerprogramma financieel bijdragen aan het solidariteitsmechanisme.</w:t>
      </w:r>
      <w:r w:rsidRPr="003C67FD">
        <w:rPr>
          <w:rFonts w:ascii="Verdana" w:hAnsi="Verdana" w:eastAsia="Calibri" w:cs="Times New Roman"/>
          <w:kern w:val="0"/>
          <w:sz w:val="18"/>
          <w:szCs w:val="18"/>
          <w14:ligatures w14:val="none"/>
        </w:rPr>
        <w:t xml:space="preserve"> </w:t>
      </w:r>
    </w:p>
    <w:p w:rsidRPr="003C67FD" w:rsidR="003C67FD" w:rsidP="00F75495" w:rsidRDefault="003C67FD" w14:paraId="562DC40B" w14:textId="6AA8D1ED">
      <w:pPr>
        <w:pStyle w:val="Lijstalinea"/>
        <w:spacing w:after="0" w:line="276" w:lineRule="auto"/>
        <w:ind w:left="644"/>
        <w:rPr>
          <w:rFonts w:ascii="Verdana" w:hAnsi="Verdana" w:eastAsia="Calibri" w:cs="Times New Roman"/>
          <w:kern w:val="0"/>
          <w:sz w:val="18"/>
          <w:szCs w:val="18"/>
          <w14:ligatures w14:val="none"/>
        </w:rPr>
      </w:pPr>
    </w:p>
    <w:p w:rsidRPr="00ED4DA8" w:rsidR="007A09DB" w:rsidP="00F75495" w:rsidRDefault="007A09DB" w14:paraId="49764AE9" w14:textId="77777777">
      <w:pPr>
        <w:spacing w:line="276" w:lineRule="auto"/>
        <w:rPr>
          <w:rFonts w:ascii="Verdana" w:hAnsi="Verdana"/>
          <w:sz w:val="18"/>
          <w:szCs w:val="18"/>
        </w:rPr>
      </w:pPr>
    </w:p>
    <w:sectPr w:rsidRPr="00ED4DA8" w:rsidR="007A09DB" w:rsidSect="00B10E4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8E02" w14:textId="77777777" w:rsidR="00F33627" w:rsidRDefault="00F33627" w:rsidP="005A7E53">
      <w:pPr>
        <w:spacing w:after="0" w:line="240" w:lineRule="auto"/>
      </w:pPr>
      <w:r>
        <w:separator/>
      </w:r>
    </w:p>
  </w:endnote>
  <w:endnote w:type="continuationSeparator" w:id="0">
    <w:p w14:paraId="46F36D8F" w14:textId="77777777" w:rsidR="00F33627" w:rsidRDefault="00F33627" w:rsidP="005A7E53">
      <w:pPr>
        <w:spacing w:after="0" w:line="240" w:lineRule="auto"/>
      </w:pPr>
      <w:r>
        <w:continuationSeparator/>
      </w:r>
    </w:p>
  </w:endnote>
  <w:endnote w:type="continuationNotice" w:id="1">
    <w:p w14:paraId="4A7DD12E" w14:textId="77777777" w:rsidR="00F33627" w:rsidRDefault="00F33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82BB" w14:textId="77777777" w:rsidR="00F33627" w:rsidRDefault="00F33627" w:rsidP="005A7E53">
      <w:pPr>
        <w:spacing w:after="0" w:line="240" w:lineRule="auto"/>
      </w:pPr>
      <w:r>
        <w:separator/>
      </w:r>
    </w:p>
  </w:footnote>
  <w:footnote w:type="continuationSeparator" w:id="0">
    <w:p w14:paraId="071442C5" w14:textId="77777777" w:rsidR="00F33627" w:rsidRDefault="00F33627" w:rsidP="005A7E53">
      <w:pPr>
        <w:spacing w:after="0" w:line="240" w:lineRule="auto"/>
      </w:pPr>
      <w:r>
        <w:continuationSeparator/>
      </w:r>
    </w:p>
  </w:footnote>
  <w:footnote w:type="continuationNotice" w:id="1">
    <w:p w14:paraId="01E14320" w14:textId="77777777" w:rsidR="00F33627" w:rsidRDefault="00F33627">
      <w:pPr>
        <w:spacing w:after="0" w:line="240" w:lineRule="auto"/>
      </w:pPr>
    </w:p>
  </w:footnote>
  <w:footnote w:id="2">
    <w:p w14:paraId="2ED37E71" w14:textId="77777777" w:rsidR="005A7E53" w:rsidRPr="009C52AC" w:rsidRDefault="005A7E53">
      <w:pPr>
        <w:pStyle w:val="Voetnoottekst"/>
        <w:rPr>
          <w:rFonts w:ascii="Verdana" w:hAnsi="Verdana"/>
          <w:sz w:val="16"/>
          <w:szCs w:val="16"/>
          <w:lang w:val="en-US"/>
        </w:rPr>
      </w:pPr>
      <w:r w:rsidRPr="00F41E84">
        <w:rPr>
          <w:rStyle w:val="Voetnootmarkering"/>
          <w:rFonts w:ascii="Verdana" w:hAnsi="Verdana"/>
          <w:sz w:val="16"/>
          <w:szCs w:val="16"/>
        </w:rPr>
        <w:footnoteRef/>
      </w:r>
      <w:r w:rsidRPr="00F41E84">
        <w:rPr>
          <w:rFonts w:ascii="Verdana" w:hAnsi="Verdana"/>
          <w:sz w:val="16"/>
          <w:szCs w:val="16"/>
          <w:lang w:val="en-US"/>
        </w:rPr>
        <w:t xml:space="preserve"> </w:t>
      </w:r>
      <w:r w:rsidR="00BC5AF5" w:rsidRPr="009C52AC">
        <w:rPr>
          <w:rFonts w:ascii="Verdana" w:hAnsi="Verdana"/>
          <w:sz w:val="16"/>
          <w:szCs w:val="16"/>
          <w:lang w:val="en-US"/>
        </w:rPr>
        <w:t xml:space="preserve">Kamerstukken </w:t>
      </w:r>
      <w:r w:rsidR="00BC5AF5" w:rsidRPr="009C52AC">
        <w:rPr>
          <w:rFonts w:ascii="Verdana" w:hAnsi="Verdana"/>
          <w:i/>
          <w:iCs/>
          <w:sz w:val="16"/>
          <w:szCs w:val="16"/>
          <w:lang w:val="en-US"/>
        </w:rPr>
        <w:t>II</w:t>
      </w:r>
      <w:r w:rsidR="00BC5AF5" w:rsidRPr="009C52AC">
        <w:rPr>
          <w:rFonts w:ascii="Verdana" w:hAnsi="Verdana"/>
          <w:sz w:val="16"/>
          <w:szCs w:val="16"/>
          <w:lang w:val="en-US"/>
        </w:rPr>
        <w:t xml:space="preserve"> 2024-2025, 22112, nr. 4116.</w:t>
      </w:r>
    </w:p>
  </w:footnote>
  <w:footnote w:id="3">
    <w:p w14:paraId="02A69244" w14:textId="77777777" w:rsidR="005A7E53" w:rsidRPr="009C52AC" w:rsidRDefault="005A7E53">
      <w:pPr>
        <w:pStyle w:val="Voetnoottekst"/>
        <w:rPr>
          <w:rFonts w:ascii="Verdana" w:hAnsi="Verdana"/>
          <w:sz w:val="16"/>
          <w:szCs w:val="16"/>
          <w:lang w:val="en-US"/>
        </w:rPr>
      </w:pPr>
      <w:r w:rsidRPr="009C52AC">
        <w:rPr>
          <w:rStyle w:val="Voetnootmarkering"/>
          <w:rFonts w:ascii="Verdana" w:hAnsi="Verdana"/>
          <w:sz w:val="16"/>
          <w:szCs w:val="16"/>
        </w:rPr>
        <w:footnoteRef/>
      </w:r>
      <w:r w:rsidRPr="009C52AC">
        <w:rPr>
          <w:rFonts w:ascii="Verdana" w:hAnsi="Verdana"/>
          <w:sz w:val="16"/>
          <w:szCs w:val="16"/>
          <w:lang w:val="en-US"/>
        </w:rPr>
        <w:t xml:space="preserve"> Raadsconclusies d</w:t>
      </w:r>
      <w:r w:rsidR="00F41E84" w:rsidRPr="009C52AC">
        <w:rPr>
          <w:rFonts w:ascii="Verdana" w:hAnsi="Verdana"/>
          <w:sz w:val="16"/>
          <w:szCs w:val="16"/>
          <w:lang w:val="en-US"/>
        </w:rPr>
        <w:t>.</w:t>
      </w:r>
      <w:r w:rsidRPr="009C52AC">
        <w:rPr>
          <w:rFonts w:ascii="Verdana" w:hAnsi="Verdana"/>
          <w:sz w:val="16"/>
          <w:szCs w:val="16"/>
          <w:lang w:val="en-US"/>
        </w:rPr>
        <w:t xml:space="preserve">d. 12 december 2024 (no. 16448/24) </w:t>
      </w:r>
      <w:r w:rsidRPr="009C52AC">
        <w:rPr>
          <w:rFonts w:ascii="Verdana" w:hAnsi="Verdana"/>
          <w:i/>
          <w:iCs/>
          <w:sz w:val="16"/>
          <w:szCs w:val="16"/>
          <w:lang w:val="en-US"/>
        </w:rPr>
        <w:t>Council conclusions on access to data for effective law enforcement</w:t>
      </w:r>
      <w:r w:rsidRPr="009C52AC">
        <w:rPr>
          <w:rFonts w:ascii="Verdana" w:hAnsi="Verdana"/>
          <w:sz w:val="16"/>
          <w:szCs w:val="16"/>
          <w:lang w:val="en-US"/>
        </w:rPr>
        <w:t>.</w:t>
      </w:r>
    </w:p>
  </w:footnote>
  <w:footnote w:id="4">
    <w:p w14:paraId="2C309998" w14:textId="77777777" w:rsidR="00396078" w:rsidRPr="009C52AC" w:rsidRDefault="00396078" w:rsidP="0039607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 xml:space="preserve">II </w:t>
      </w:r>
      <w:r w:rsidRPr="009C52AC">
        <w:rPr>
          <w:rFonts w:ascii="Verdana" w:hAnsi="Verdana"/>
          <w:sz w:val="16"/>
          <w:szCs w:val="16"/>
        </w:rPr>
        <w:t xml:space="preserve">2021-2022, 26643, nr. 885; Kamerstukken </w:t>
      </w:r>
      <w:r w:rsidRPr="009C52AC">
        <w:rPr>
          <w:rFonts w:ascii="Verdana" w:hAnsi="Verdana"/>
          <w:i/>
          <w:iCs/>
          <w:sz w:val="16"/>
          <w:szCs w:val="16"/>
        </w:rPr>
        <w:t xml:space="preserve">II </w:t>
      </w:r>
      <w:r w:rsidRPr="009C52AC">
        <w:rPr>
          <w:rFonts w:ascii="Verdana" w:hAnsi="Verdana"/>
          <w:sz w:val="16"/>
          <w:szCs w:val="16"/>
        </w:rPr>
        <w:t>2022-2023, 26643, nr. 908.</w:t>
      </w:r>
    </w:p>
  </w:footnote>
  <w:footnote w:id="5">
    <w:p w14:paraId="5F811503" w14:textId="77777777" w:rsidR="00396078" w:rsidRDefault="00396078" w:rsidP="0039607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II</w:t>
      </w:r>
      <w:r w:rsidRPr="009C52AC">
        <w:rPr>
          <w:rFonts w:ascii="Verdana" w:hAnsi="Verdana"/>
          <w:sz w:val="16"/>
          <w:szCs w:val="16"/>
        </w:rPr>
        <w:t xml:space="preserve"> 2015-2016, 26643, nr. 383.</w:t>
      </w:r>
    </w:p>
  </w:footnote>
  <w:footnote w:id="6">
    <w:p w14:paraId="2F361889" w14:textId="77777777" w:rsidR="003C67FD" w:rsidRPr="0016635C" w:rsidRDefault="003C67FD" w:rsidP="003C67FD">
      <w:pPr>
        <w:pStyle w:val="Voetnoottekst"/>
        <w:rPr>
          <w:rFonts w:ascii="Verdana" w:hAnsi="Verdana"/>
          <w:sz w:val="16"/>
          <w:szCs w:val="16"/>
        </w:rPr>
      </w:pPr>
      <w:r w:rsidRPr="0016635C">
        <w:rPr>
          <w:rStyle w:val="Voetnootmarkering"/>
          <w:rFonts w:ascii="Verdana" w:hAnsi="Verdana"/>
          <w:sz w:val="16"/>
          <w:szCs w:val="16"/>
        </w:rPr>
        <w:footnoteRef/>
      </w:r>
      <w:r w:rsidRPr="0016635C">
        <w:rPr>
          <w:rFonts w:ascii="Verdana" w:hAnsi="Verdana"/>
          <w:sz w:val="16"/>
          <w:szCs w:val="16"/>
        </w:rPr>
        <w:t xml:space="preserve"> Tweede Kamer, vergaderjaar 2024-2025, 22112, nr. 4031. </w:t>
      </w:r>
    </w:p>
  </w:footnote>
  <w:footnote w:id="7">
    <w:p w14:paraId="5CA83BD0" w14:textId="229F1AC1" w:rsidR="009A1EFE" w:rsidRPr="007045D9" w:rsidRDefault="009A1EFE">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Zie Verslag van de JBZ-Raad van 5 en 7 maart 2025, Kamerstukken II 2024-25, 32317, nr. 935.</w:t>
      </w:r>
    </w:p>
  </w:footnote>
  <w:footnote w:id="8">
    <w:p w14:paraId="08FC5349" w14:textId="719A4893" w:rsidR="007045D9" w:rsidRPr="007045D9" w:rsidRDefault="007045D9">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Kamerstukken II, 2024-25, 32 317, nr. 906</w:t>
      </w:r>
    </w:p>
  </w:footnote>
  <w:footnote w:id="9">
    <w:p w14:paraId="211FAF55" w14:textId="202864B6" w:rsidR="00FA38AF" w:rsidRPr="007045D9" w:rsidRDefault="00FA38AF">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U Kamer is apart geïnformeerd over de ontwikkelingen rondom de CSAM-Verordening</w:t>
      </w:r>
      <w:r w:rsidR="004E7CE9">
        <w:rPr>
          <w:rFonts w:ascii="Verdana" w:hAnsi="Verdana"/>
          <w:sz w:val="16"/>
          <w:szCs w:val="16"/>
        </w:rPr>
        <w:t>.</w:t>
      </w:r>
    </w:p>
  </w:footnote>
  <w:footnote w:id="10">
    <w:p w14:paraId="4564FA19" w14:textId="6F4A2C0A" w:rsidR="00DE5852" w:rsidRPr="007045D9" w:rsidRDefault="00DE5852">
      <w:pPr>
        <w:pStyle w:val="Voetnoottekst"/>
        <w:rPr>
          <w:rFonts w:ascii="Verdana" w:hAnsi="Verdana"/>
          <w:sz w:val="16"/>
          <w:szCs w:val="16"/>
          <w:highlight w:val="yellow"/>
        </w:rPr>
      </w:pPr>
      <w:r w:rsidRPr="007045D9">
        <w:rPr>
          <w:rStyle w:val="Voetnootmarkering"/>
          <w:rFonts w:ascii="Verdana" w:hAnsi="Verdana"/>
          <w:sz w:val="16"/>
          <w:szCs w:val="16"/>
        </w:rPr>
        <w:footnoteRef/>
      </w:r>
      <w:r w:rsidRPr="007045D9">
        <w:rPr>
          <w:rFonts w:ascii="Verdana" w:hAnsi="Verdana"/>
          <w:sz w:val="16"/>
          <w:szCs w:val="16"/>
        </w:rPr>
        <w:t xml:space="preserve"> </w:t>
      </w:r>
      <w:r w:rsidR="001F01DE">
        <w:rPr>
          <w:rFonts w:ascii="Verdana" w:hAnsi="Verdana"/>
          <w:sz w:val="16"/>
          <w:szCs w:val="16"/>
        </w:rPr>
        <w:t xml:space="preserve">BNC-fiche </w:t>
      </w:r>
      <w:r w:rsidR="001F01DE" w:rsidRPr="001F01DE">
        <w:rPr>
          <w:rFonts w:ascii="Verdana" w:hAnsi="Verdana"/>
          <w:sz w:val="16"/>
          <w:szCs w:val="16"/>
        </w:rPr>
        <w:t>Verordening politiesamenwerking inzake mensensmokkel en mensenhandel</w:t>
      </w:r>
      <w:r w:rsidR="001F01DE">
        <w:rPr>
          <w:rFonts w:ascii="Verdana" w:hAnsi="Verdana"/>
          <w:sz w:val="16"/>
          <w:szCs w:val="16"/>
        </w:rPr>
        <w:t xml:space="preserve">, </w:t>
      </w:r>
      <w:r w:rsidR="001F01DE" w:rsidRPr="001F01DE">
        <w:rPr>
          <w:rFonts w:ascii="Verdana" w:hAnsi="Verdana"/>
          <w:sz w:val="16"/>
          <w:szCs w:val="16"/>
        </w:rPr>
        <w:t>22112-3885</w:t>
      </w:r>
      <w:r w:rsidR="001F01DE">
        <w:rPr>
          <w:rFonts w:ascii="Verdana" w:hAnsi="Verdana"/>
          <w:sz w:val="16"/>
          <w:szCs w:val="16"/>
        </w:rPr>
        <w:t>, 9 februari 2024.</w:t>
      </w:r>
    </w:p>
  </w:footnote>
  <w:footnote w:id="11">
    <w:p w14:paraId="1F186486" w14:textId="77777777" w:rsidR="00AD194B" w:rsidRPr="007045D9" w:rsidRDefault="0086044C" w:rsidP="00AD194B">
      <w:pPr>
        <w:pStyle w:val="Voetnoottekst"/>
        <w:rPr>
          <w:rFonts w:ascii="Verdana" w:hAnsi="Verdana"/>
          <w:sz w:val="16"/>
          <w:szCs w:val="16"/>
        </w:rPr>
      </w:pPr>
      <w:r w:rsidRPr="007045D9">
        <w:rPr>
          <w:rStyle w:val="Voetnootmarkering"/>
          <w:rFonts w:ascii="Verdana" w:hAnsi="Verdana"/>
          <w:sz w:val="16"/>
          <w:szCs w:val="16"/>
        </w:rPr>
        <w:footnoteRef/>
      </w:r>
      <w:r w:rsidRPr="007045D9">
        <w:rPr>
          <w:rFonts w:ascii="Verdana" w:hAnsi="Verdana"/>
          <w:sz w:val="16"/>
          <w:szCs w:val="16"/>
        </w:rPr>
        <w:t xml:space="preserve"> BNC-fiche </w:t>
      </w:r>
      <w:r w:rsidR="00AD194B" w:rsidRPr="007045D9">
        <w:rPr>
          <w:rFonts w:ascii="Verdana" w:hAnsi="Verdana"/>
          <w:sz w:val="16"/>
          <w:szCs w:val="16"/>
        </w:rPr>
        <w:t>Verordening betreffende het Uniemechanisme en de financiering van de paraatheid en</w:t>
      </w:r>
    </w:p>
    <w:p w14:paraId="58CAC05E" w14:textId="522B521A" w:rsidR="0086044C" w:rsidRPr="007045D9" w:rsidRDefault="00AD194B" w:rsidP="00AD194B">
      <w:pPr>
        <w:pStyle w:val="Voetnoottekst"/>
        <w:rPr>
          <w:rFonts w:ascii="Verdana" w:hAnsi="Verdana"/>
          <w:sz w:val="16"/>
          <w:szCs w:val="16"/>
        </w:rPr>
      </w:pPr>
      <w:r w:rsidRPr="007045D9">
        <w:rPr>
          <w:rFonts w:ascii="Verdana" w:hAnsi="Verdana"/>
          <w:sz w:val="16"/>
          <w:szCs w:val="16"/>
        </w:rPr>
        <w:t>respons bij noodsituaties op gezondheidsgebied, 22112-4156, 12 september 2025.</w:t>
      </w:r>
    </w:p>
  </w:footnote>
  <w:footnote w:id="12">
    <w:p w14:paraId="3F320DC5" w14:textId="77777777" w:rsidR="00E17298" w:rsidRPr="009C52AC" w:rsidRDefault="00E17298" w:rsidP="00E17298">
      <w:pPr>
        <w:pStyle w:val="Voetnoottekst"/>
        <w:rPr>
          <w:rFonts w:ascii="Verdana" w:hAnsi="Verdana"/>
          <w:sz w:val="16"/>
          <w:szCs w:val="16"/>
          <w:lang w:val="en-US"/>
        </w:rPr>
      </w:pPr>
      <w:r w:rsidRPr="00F41E84">
        <w:rPr>
          <w:rStyle w:val="Voetnootmarkering"/>
          <w:rFonts w:ascii="Verdana" w:hAnsi="Verdana"/>
          <w:sz w:val="16"/>
          <w:szCs w:val="16"/>
        </w:rPr>
        <w:footnoteRef/>
      </w:r>
      <w:r w:rsidRPr="00F41E84">
        <w:rPr>
          <w:rFonts w:ascii="Verdana" w:hAnsi="Verdana"/>
          <w:sz w:val="16"/>
          <w:szCs w:val="16"/>
          <w:lang w:val="en-US"/>
        </w:rPr>
        <w:t xml:space="preserve"> </w:t>
      </w:r>
      <w:r w:rsidRPr="009C52AC">
        <w:rPr>
          <w:rFonts w:ascii="Verdana" w:hAnsi="Verdana"/>
          <w:sz w:val="16"/>
          <w:szCs w:val="16"/>
          <w:lang w:val="en-US"/>
        </w:rPr>
        <w:t xml:space="preserve">Kamerstukken </w:t>
      </w:r>
      <w:r w:rsidRPr="009C52AC">
        <w:rPr>
          <w:rFonts w:ascii="Verdana" w:hAnsi="Verdana"/>
          <w:i/>
          <w:iCs/>
          <w:sz w:val="16"/>
          <w:szCs w:val="16"/>
          <w:lang w:val="en-US"/>
        </w:rPr>
        <w:t>II</w:t>
      </w:r>
      <w:r w:rsidRPr="009C52AC">
        <w:rPr>
          <w:rFonts w:ascii="Verdana" w:hAnsi="Verdana"/>
          <w:sz w:val="16"/>
          <w:szCs w:val="16"/>
          <w:lang w:val="en-US"/>
        </w:rPr>
        <w:t xml:space="preserve"> 2024-2025, 22112, nr. 4116.</w:t>
      </w:r>
    </w:p>
  </w:footnote>
  <w:footnote w:id="13">
    <w:p w14:paraId="7E472032" w14:textId="77777777" w:rsidR="00E17298" w:rsidRPr="009C52AC" w:rsidRDefault="00E17298" w:rsidP="00E17298">
      <w:pPr>
        <w:pStyle w:val="Voetnoottekst"/>
        <w:rPr>
          <w:rFonts w:ascii="Verdana" w:hAnsi="Verdana"/>
          <w:sz w:val="16"/>
          <w:szCs w:val="16"/>
          <w:lang w:val="en-US"/>
        </w:rPr>
      </w:pPr>
      <w:r w:rsidRPr="009C52AC">
        <w:rPr>
          <w:rStyle w:val="Voetnootmarkering"/>
          <w:rFonts w:ascii="Verdana" w:hAnsi="Verdana"/>
          <w:sz w:val="16"/>
          <w:szCs w:val="16"/>
        </w:rPr>
        <w:footnoteRef/>
      </w:r>
      <w:r w:rsidRPr="009C52AC">
        <w:rPr>
          <w:rFonts w:ascii="Verdana" w:hAnsi="Verdana"/>
          <w:sz w:val="16"/>
          <w:szCs w:val="16"/>
          <w:lang w:val="en-US"/>
        </w:rPr>
        <w:t xml:space="preserve"> Raadsconclusies d.d. 12 december 2024 (no. 16448/24) </w:t>
      </w:r>
      <w:r w:rsidRPr="009C52AC">
        <w:rPr>
          <w:rFonts w:ascii="Verdana" w:hAnsi="Verdana"/>
          <w:i/>
          <w:iCs/>
          <w:sz w:val="16"/>
          <w:szCs w:val="16"/>
          <w:lang w:val="en-US"/>
        </w:rPr>
        <w:t>Council conclusions on access to data for effective law enforcement</w:t>
      </w:r>
      <w:r w:rsidRPr="009C52AC">
        <w:rPr>
          <w:rFonts w:ascii="Verdana" w:hAnsi="Verdana"/>
          <w:sz w:val="16"/>
          <w:szCs w:val="16"/>
          <w:lang w:val="en-US"/>
        </w:rPr>
        <w:t>.</w:t>
      </w:r>
    </w:p>
  </w:footnote>
  <w:footnote w:id="14">
    <w:p w14:paraId="09AB1202" w14:textId="77777777" w:rsidR="00E17298" w:rsidRPr="009C52AC" w:rsidRDefault="00E17298" w:rsidP="00E1729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 xml:space="preserve">II </w:t>
      </w:r>
      <w:r w:rsidRPr="009C52AC">
        <w:rPr>
          <w:rFonts w:ascii="Verdana" w:hAnsi="Verdana"/>
          <w:sz w:val="16"/>
          <w:szCs w:val="16"/>
        </w:rPr>
        <w:t xml:space="preserve">2021-2022, 26643, nr. 885; Kamerstukken </w:t>
      </w:r>
      <w:r w:rsidRPr="009C52AC">
        <w:rPr>
          <w:rFonts w:ascii="Verdana" w:hAnsi="Verdana"/>
          <w:i/>
          <w:iCs/>
          <w:sz w:val="16"/>
          <w:szCs w:val="16"/>
        </w:rPr>
        <w:t xml:space="preserve">II </w:t>
      </w:r>
      <w:r w:rsidRPr="009C52AC">
        <w:rPr>
          <w:rFonts w:ascii="Verdana" w:hAnsi="Verdana"/>
          <w:sz w:val="16"/>
          <w:szCs w:val="16"/>
        </w:rPr>
        <w:t>2022-2023, 26643, nr. 908.</w:t>
      </w:r>
    </w:p>
  </w:footnote>
  <w:footnote w:id="15">
    <w:p w14:paraId="02DE8350" w14:textId="77777777" w:rsidR="00E17298" w:rsidRDefault="00E17298" w:rsidP="00E17298">
      <w:pPr>
        <w:pStyle w:val="Voetnoottekst"/>
        <w:rPr>
          <w:rFonts w:ascii="Verdana" w:hAnsi="Verdana"/>
          <w:sz w:val="16"/>
          <w:szCs w:val="16"/>
        </w:rPr>
      </w:pPr>
      <w:r w:rsidRPr="009C52AC">
        <w:rPr>
          <w:rStyle w:val="Voetnootmarkering"/>
          <w:rFonts w:ascii="Verdana" w:hAnsi="Verdana"/>
          <w:sz w:val="16"/>
          <w:szCs w:val="16"/>
        </w:rPr>
        <w:footnoteRef/>
      </w:r>
      <w:r w:rsidRPr="009C52AC">
        <w:rPr>
          <w:rFonts w:ascii="Verdana" w:hAnsi="Verdana"/>
          <w:sz w:val="16"/>
          <w:szCs w:val="16"/>
        </w:rPr>
        <w:t xml:space="preserve"> Kamerstukken </w:t>
      </w:r>
      <w:r w:rsidRPr="009C52AC">
        <w:rPr>
          <w:rFonts w:ascii="Verdana" w:hAnsi="Verdana"/>
          <w:i/>
          <w:iCs/>
          <w:sz w:val="16"/>
          <w:szCs w:val="16"/>
        </w:rPr>
        <w:t>II</w:t>
      </w:r>
      <w:r w:rsidRPr="009C52AC">
        <w:rPr>
          <w:rFonts w:ascii="Verdana" w:hAnsi="Verdana"/>
          <w:sz w:val="16"/>
          <w:szCs w:val="16"/>
        </w:rPr>
        <w:t xml:space="preserve"> 2015-2016, 26643, nr. 383.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7F9"/>
    <w:multiLevelType w:val="hybridMultilevel"/>
    <w:tmpl w:val="C540A106"/>
    <w:lvl w:ilvl="0" w:tplc="009CB506">
      <w:start w:val="1"/>
      <w:numFmt w:val="decimal"/>
      <w:lvlText w:val="%1."/>
      <w:lvlJc w:val="left"/>
      <w:pPr>
        <w:ind w:left="785" w:hanging="360"/>
      </w:pPr>
    </w:lvl>
    <w:lvl w:ilvl="1" w:tplc="407E9754">
      <w:start w:val="1"/>
      <w:numFmt w:val="lowerLetter"/>
      <w:lvlText w:val="%2."/>
      <w:lvlJc w:val="left"/>
      <w:pPr>
        <w:ind w:left="1505" w:hanging="360"/>
      </w:pPr>
    </w:lvl>
    <w:lvl w:ilvl="2" w:tplc="F0A6C7BE">
      <w:start w:val="1"/>
      <w:numFmt w:val="lowerRoman"/>
      <w:lvlText w:val="%3."/>
      <w:lvlJc w:val="right"/>
      <w:pPr>
        <w:ind w:left="2225" w:hanging="180"/>
      </w:pPr>
    </w:lvl>
    <w:lvl w:ilvl="3" w:tplc="44DAE81E">
      <w:start w:val="1"/>
      <w:numFmt w:val="decimal"/>
      <w:lvlText w:val="%4."/>
      <w:lvlJc w:val="left"/>
      <w:pPr>
        <w:ind w:left="2945" w:hanging="360"/>
      </w:pPr>
    </w:lvl>
    <w:lvl w:ilvl="4" w:tplc="51BCF9FE">
      <w:start w:val="1"/>
      <w:numFmt w:val="lowerLetter"/>
      <w:lvlText w:val="%5."/>
      <w:lvlJc w:val="left"/>
      <w:pPr>
        <w:ind w:left="3665" w:hanging="360"/>
      </w:pPr>
    </w:lvl>
    <w:lvl w:ilvl="5" w:tplc="425EA246">
      <w:start w:val="1"/>
      <w:numFmt w:val="lowerRoman"/>
      <w:lvlText w:val="%6."/>
      <w:lvlJc w:val="right"/>
      <w:pPr>
        <w:ind w:left="4385" w:hanging="180"/>
      </w:pPr>
    </w:lvl>
    <w:lvl w:ilvl="6" w:tplc="FC5A94CA">
      <w:start w:val="1"/>
      <w:numFmt w:val="decimal"/>
      <w:lvlText w:val="%7."/>
      <w:lvlJc w:val="left"/>
      <w:pPr>
        <w:ind w:left="5105" w:hanging="360"/>
      </w:pPr>
    </w:lvl>
    <w:lvl w:ilvl="7" w:tplc="B7246DB4">
      <w:start w:val="1"/>
      <w:numFmt w:val="lowerLetter"/>
      <w:lvlText w:val="%8."/>
      <w:lvlJc w:val="left"/>
      <w:pPr>
        <w:ind w:left="5825" w:hanging="360"/>
      </w:pPr>
    </w:lvl>
    <w:lvl w:ilvl="8" w:tplc="190425D4">
      <w:start w:val="1"/>
      <w:numFmt w:val="lowerRoman"/>
      <w:lvlText w:val="%9."/>
      <w:lvlJc w:val="right"/>
      <w:pPr>
        <w:ind w:left="6545" w:hanging="180"/>
      </w:pPr>
    </w:lvl>
  </w:abstractNum>
  <w:abstractNum w:abstractNumId="1" w15:restartNumberingAfterBreak="0">
    <w:nsid w:val="0EEE6BF9"/>
    <w:multiLevelType w:val="hybridMultilevel"/>
    <w:tmpl w:val="0A360B64"/>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59A6AD32">
      <w:start w:val="1"/>
      <w:numFmt w:val="decimal"/>
      <w:lvlText w:val="%4."/>
      <w:lvlJc w:val="left"/>
      <w:pPr>
        <w:ind w:left="360" w:hanging="360"/>
      </w:pPr>
      <w:rPr>
        <w:rFonts w:ascii="Verdana" w:hAnsi="Verdana" w:hint="default"/>
        <w:b/>
        <w:bCs/>
        <w:i w:val="0"/>
        <w:iCs w:val="0"/>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78A37B4"/>
    <w:multiLevelType w:val="hybridMultilevel"/>
    <w:tmpl w:val="567EBA9E"/>
    <w:lvl w:ilvl="0" w:tplc="C8E0E4AA">
      <w:start w:val="1"/>
      <w:numFmt w:val="decimal"/>
      <w:lvlText w:val="%1."/>
      <w:lvlJc w:val="left"/>
      <w:pPr>
        <w:ind w:left="720" w:hanging="360"/>
      </w:pPr>
    </w:lvl>
    <w:lvl w:ilvl="1" w:tplc="E604E1E2">
      <w:start w:val="1"/>
      <w:numFmt w:val="lowerLetter"/>
      <w:lvlText w:val="%2."/>
      <w:lvlJc w:val="left"/>
      <w:pPr>
        <w:ind w:left="1440" w:hanging="360"/>
      </w:pPr>
    </w:lvl>
    <w:lvl w:ilvl="2" w:tplc="260AC0CC">
      <w:start w:val="1"/>
      <w:numFmt w:val="lowerRoman"/>
      <w:lvlText w:val="%3."/>
      <w:lvlJc w:val="right"/>
      <w:pPr>
        <w:ind w:left="2160" w:hanging="180"/>
      </w:pPr>
    </w:lvl>
    <w:lvl w:ilvl="3" w:tplc="E0EA0616">
      <w:start w:val="1"/>
      <w:numFmt w:val="decimal"/>
      <w:lvlText w:val="%4."/>
      <w:lvlJc w:val="left"/>
      <w:pPr>
        <w:ind w:left="2880" w:hanging="360"/>
      </w:pPr>
    </w:lvl>
    <w:lvl w:ilvl="4" w:tplc="BBA2C65A">
      <w:start w:val="1"/>
      <w:numFmt w:val="lowerLetter"/>
      <w:lvlText w:val="%5."/>
      <w:lvlJc w:val="left"/>
      <w:pPr>
        <w:ind w:left="3600" w:hanging="360"/>
      </w:pPr>
    </w:lvl>
    <w:lvl w:ilvl="5" w:tplc="167E3780">
      <w:start w:val="1"/>
      <w:numFmt w:val="lowerRoman"/>
      <w:lvlText w:val="%6."/>
      <w:lvlJc w:val="right"/>
      <w:pPr>
        <w:ind w:left="4320" w:hanging="180"/>
      </w:pPr>
    </w:lvl>
    <w:lvl w:ilvl="6" w:tplc="7B5E4C22">
      <w:start w:val="1"/>
      <w:numFmt w:val="decimal"/>
      <w:lvlText w:val="%7."/>
      <w:lvlJc w:val="left"/>
      <w:pPr>
        <w:ind w:left="5040" w:hanging="360"/>
      </w:pPr>
    </w:lvl>
    <w:lvl w:ilvl="7" w:tplc="35B4CBD2">
      <w:start w:val="1"/>
      <w:numFmt w:val="lowerLetter"/>
      <w:lvlText w:val="%8."/>
      <w:lvlJc w:val="left"/>
      <w:pPr>
        <w:ind w:left="5760" w:hanging="360"/>
      </w:pPr>
    </w:lvl>
    <w:lvl w:ilvl="8" w:tplc="B2284C62">
      <w:start w:val="1"/>
      <w:numFmt w:val="lowerRoman"/>
      <w:lvlText w:val="%9."/>
      <w:lvlJc w:val="right"/>
      <w:pPr>
        <w:ind w:left="6480" w:hanging="180"/>
      </w:pPr>
    </w:lvl>
  </w:abstractNum>
  <w:abstractNum w:abstractNumId="3" w15:restartNumberingAfterBreak="0">
    <w:nsid w:val="193B2A6A"/>
    <w:multiLevelType w:val="hybridMultilevel"/>
    <w:tmpl w:val="C5D0396C"/>
    <w:lvl w:ilvl="0" w:tplc="5CA6E4B6">
      <w:start w:val="1"/>
      <w:numFmt w:val="decimal"/>
      <w:lvlText w:val="%1."/>
      <w:lvlJc w:val="left"/>
      <w:pPr>
        <w:ind w:left="720" w:hanging="360"/>
      </w:pPr>
    </w:lvl>
    <w:lvl w:ilvl="1" w:tplc="B24480AA">
      <w:start w:val="1"/>
      <w:numFmt w:val="lowerLetter"/>
      <w:lvlText w:val="%2."/>
      <w:lvlJc w:val="left"/>
      <w:pPr>
        <w:ind w:left="1440" w:hanging="360"/>
      </w:pPr>
    </w:lvl>
    <w:lvl w:ilvl="2" w:tplc="67E2A984">
      <w:start w:val="1"/>
      <w:numFmt w:val="lowerRoman"/>
      <w:lvlText w:val="%3."/>
      <w:lvlJc w:val="right"/>
      <w:pPr>
        <w:ind w:left="2160" w:hanging="180"/>
      </w:pPr>
    </w:lvl>
    <w:lvl w:ilvl="3" w:tplc="BD1445B4">
      <w:start w:val="1"/>
      <w:numFmt w:val="decimal"/>
      <w:lvlText w:val="%4."/>
      <w:lvlJc w:val="left"/>
      <w:pPr>
        <w:ind w:left="2880" w:hanging="360"/>
      </w:pPr>
    </w:lvl>
    <w:lvl w:ilvl="4" w:tplc="8EAE0E68">
      <w:start w:val="1"/>
      <w:numFmt w:val="lowerLetter"/>
      <w:lvlText w:val="%5."/>
      <w:lvlJc w:val="left"/>
      <w:pPr>
        <w:ind w:left="3600" w:hanging="360"/>
      </w:pPr>
    </w:lvl>
    <w:lvl w:ilvl="5" w:tplc="2840A08A">
      <w:start w:val="1"/>
      <w:numFmt w:val="lowerRoman"/>
      <w:lvlText w:val="%6."/>
      <w:lvlJc w:val="right"/>
      <w:pPr>
        <w:ind w:left="4320" w:hanging="180"/>
      </w:pPr>
    </w:lvl>
    <w:lvl w:ilvl="6" w:tplc="3E489F6C">
      <w:start w:val="1"/>
      <w:numFmt w:val="decimal"/>
      <w:lvlText w:val="%7."/>
      <w:lvlJc w:val="left"/>
      <w:pPr>
        <w:ind w:left="5040" w:hanging="360"/>
      </w:pPr>
    </w:lvl>
    <w:lvl w:ilvl="7" w:tplc="9D706B56">
      <w:start w:val="1"/>
      <w:numFmt w:val="lowerLetter"/>
      <w:lvlText w:val="%8."/>
      <w:lvlJc w:val="left"/>
      <w:pPr>
        <w:ind w:left="5760" w:hanging="360"/>
      </w:pPr>
    </w:lvl>
    <w:lvl w:ilvl="8" w:tplc="3612DA66">
      <w:start w:val="1"/>
      <w:numFmt w:val="lowerRoman"/>
      <w:lvlText w:val="%9."/>
      <w:lvlJc w:val="right"/>
      <w:pPr>
        <w:ind w:left="6480" w:hanging="180"/>
      </w:pPr>
    </w:lvl>
  </w:abstractNum>
  <w:abstractNum w:abstractNumId="4" w15:restartNumberingAfterBreak="0">
    <w:nsid w:val="19A2063E"/>
    <w:multiLevelType w:val="hybridMultilevel"/>
    <w:tmpl w:val="461277E8"/>
    <w:lvl w:ilvl="0" w:tplc="5BBEF4BA">
      <w:start w:val="1"/>
      <w:numFmt w:val="decimal"/>
      <w:lvlText w:val="%1."/>
      <w:lvlJc w:val="left"/>
      <w:pPr>
        <w:ind w:left="720" w:hanging="360"/>
      </w:pPr>
    </w:lvl>
    <w:lvl w:ilvl="1" w:tplc="362478F8">
      <w:start w:val="1"/>
      <w:numFmt w:val="lowerLetter"/>
      <w:lvlText w:val="%2."/>
      <w:lvlJc w:val="left"/>
      <w:pPr>
        <w:ind w:left="1440" w:hanging="360"/>
      </w:pPr>
    </w:lvl>
    <w:lvl w:ilvl="2" w:tplc="57C826A4">
      <w:start w:val="1"/>
      <w:numFmt w:val="lowerRoman"/>
      <w:lvlText w:val="%3."/>
      <w:lvlJc w:val="right"/>
      <w:pPr>
        <w:ind w:left="2160" w:hanging="180"/>
      </w:pPr>
    </w:lvl>
    <w:lvl w:ilvl="3" w:tplc="EBBAF078">
      <w:start w:val="1"/>
      <w:numFmt w:val="decimal"/>
      <w:lvlText w:val="%4."/>
      <w:lvlJc w:val="left"/>
      <w:pPr>
        <w:ind w:left="2880" w:hanging="360"/>
      </w:pPr>
    </w:lvl>
    <w:lvl w:ilvl="4" w:tplc="D092F3A2">
      <w:start w:val="1"/>
      <w:numFmt w:val="lowerLetter"/>
      <w:lvlText w:val="%5."/>
      <w:lvlJc w:val="left"/>
      <w:pPr>
        <w:ind w:left="3600" w:hanging="360"/>
      </w:pPr>
    </w:lvl>
    <w:lvl w:ilvl="5" w:tplc="15CC9386">
      <w:start w:val="1"/>
      <w:numFmt w:val="lowerRoman"/>
      <w:lvlText w:val="%6."/>
      <w:lvlJc w:val="right"/>
      <w:pPr>
        <w:ind w:left="4320" w:hanging="180"/>
      </w:pPr>
    </w:lvl>
    <w:lvl w:ilvl="6" w:tplc="EC0C496C">
      <w:start w:val="1"/>
      <w:numFmt w:val="decimal"/>
      <w:lvlText w:val="%7."/>
      <w:lvlJc w:val="left"/>
      <w:pPr>
        <w:ind w:left="5040" w:hanging="360"/>
      </w:pPr>
    </w:lvl>
    <w:lvl w:ilvl="7" w:tplc="41B2AF44">
      <w:start w:val="1"/>
      <w:numFmt w:val="lowerLetter"/>
      <w:lvlText w:val="%8."/>
      <w:lvlJc w:val="left"/>
      <w:pPr>
        <w:ind w:left="5760" w:hanging="360"/>
      </w:pPr>
    </w:lvl>
    <w:lvl w:ilvl="8" w:tplc="56FC781A">
      <w:start w:val="1"/>
      <w:numFmt w:val="lowerRoman"/>
      <w:lvlText w:val="%9."/>
      <w:lvlJc w:val="right"/>
      <w:pPr>
        <w:ind w:left="6480" w:hanging="180"/>
      </w:pPr>
    </w:lvl>
  </w:abstractNum>
  <w:abstractNum w:abstractNumId="5" w15:restartNumberingAfterBreak="0">
    <w:nsid w:val="1BDF79A8"/>
    <w:multiLevelType w:val="hybridMultilevel"/>
    <w:tmpl w:val="0A362920"/>
    <w:lvl w:ilvl="0" w:tplc="1090EB94">
      <w:start w:val="1"/>
      <w:numFmt w:val="decimal"/>
      <w:lvlText w:val="%1."/>
      <w:lvlJc w:val="left"/>
      <w:pPr>
        <w:ind w:left="720" w:hanging="360"/>
      </w:pPr>
    </w:lvl>
    <w:lvl w:ilvl="1" w:tplc="45D21010">
      <w:start w:val="1"/>
      <w:numFmt w:val="lowerLetter"/>
      <w:lvlText w:val="%2."/>
      <w:lvlJc w:val="left"/>
      <w:pPr>
        <w:ind w:left="1440" w:hanging="360"/>
      </w:pPr>
    </w:lvl>
    <w:lvl w:ilvl="2" w:tplc="BBA8D3E0">
      <w:start w:val="1"/>
      <w:numFmt w:val="lowerRoman"/>
      <w:lvlText w:val="%3."/>
      <w:lvlJc w:val="right"/>
      <w:pPr>
        <w:ind w:left="2160" w:hanging="180"/>
      </w:pPr>
    </w:lvl>
    <w:lvl w:ilvl="3" w:tplc="E81058C8">
      <w:start w:val="1"/>
      <w:numFmt w:val="decimal"/>
      <w:lvlText w:val="%4."/>
      <w:lvlJc w:val="left"/>
      <w:pPr>
        <w:ind w:left="2880" w:hanging="360"/>
      </w:pPr>
    </w:lvl>
    <w:lvl w:ilvl="4" w:tplc="82547130">
      <w:start w:val="1"/>
      <w:numFmt w:val="lowerLetter"/>
      <w:lvlText w:val="%5."/>
      <w:lvlJc w:val="left"/>
      <w:pPr>
        <w:ind w:left="3600" w:hanging="360"/>
      </w:pPr>
    </w:lvl>
    <w:lvl w:ilvl="5" w:tplc="DA22D8B2">
      <w:start w:val="1"/>
      <w:numFmt w:val="lowerRoman"/>
      <w:lvlText w:val="%6."/>
      <w:lvlJc w:val="right"/>
      <w:pPr>
        <w:ind w:left="4320" w:hanging="180"/>
      </w:pPr>
    </w:lvl>
    <w:lvl w:ilvl="6" w:tplc="AA228A10">
      <w:start w:val="1"/>
      <w:numFmt w:val="decimal"/>
      <w:lvlText w:val="%7."/>
      <w:lvlJc w:val="left"/>
      <w:pPr>
        <w:ind w:left="5040" w:hanging="360"/>
      </w:pPr>
    </w:lvl>
    <w:lvl w:ilvl="7" w:tplc="304C3F26">
      <w:start w:val="1"/>
      <w:numFmt w:val="lowerLetter"/>
      <w:lvlText w:val="%8."/>
      <w:lvlJc w:val="left"/>
      <w:pPr>
        <w:ind w:left="5760" w:hanging="360"/>
      </w:pPr>
    </w:lvl>
    <w:lvl w:ilvl="8" w:tplc="29E6D912">
      <w:start w:val="1"/>
      <w:numFmt w:val="lowerRoman"/>
      <w:lvlText w:val="%9."/>
      <w:lvlJc w:val="right"/>
      <w:pPr>
        <w:ind w:left="6480" w:hanging="180"/>
      </w:pPr>
    </w:lvl>
  </w:abstractNum>
  <w:abstractNum w:abstractNumId="6" w15:restartNumberingAfterBreak="0">
    <w:nsid w:val="280F7735"/>
    <w:multiLevelType w:val="hybridMultilevel"/>
    <w:tmpl w:val="E08255EE"/>
    <w:lvl w:ilvl="0" w:tplc="1E7608FE">
      <w:start w:val="1"/>
      <w:numFmt w:val="decimal"/>
      <w:lvlText w:val="%1."/>
      <w:lvlJc w:val="left"/>
      <w:pPr>
        <w:ind w:left="720" w:hanging="360"/>
      </w:pPr>
    </w:lvl>
    <w:lvl w:ilvl="1" w:tplc="3A70608C">
      <w:start w:val="1"/>
      <w:numFmt w:val="lowerLetter"/>
      <w:lvlText w:val="%2."/>
      <w:lvlJc w:val="left"/>
      <w:pPr>
        <w:ind w:left="1440" w:hanging="360"/>
      </w:pPr>
    </w:lvl>
    <w:lvl w:ilvl="2" w:tplc="2E42EE30">
      <w:start w:val="1"/>
      <w:numFmt w:val="lowerRoman"/>
      <w:lvlText w:val="%3."/>
      <w:lvlJc w:val="right"/>
      <w:pPr>
        <w:ind w:left="2160" w:hanging="180"/>
      </w:pPr>
    </w:lvl>
    <w:lvl w:ilvl="3" w:tplc="603072B8">
      <w:start w:val="1"/>
      <w:numFmt w:val="decimal"/>
      <w:lvlText w:val="%4."/>
      <w:lvlJc w:val="left"/>
      <w:pPr>
        <w:ind w:left="2880" w:hanging="360"/>
      </w:pPr>
    </w:lvl>
    <w:lvl w:ilvl="4" w:tplc="7202429A">
      <w:start w:val="1"/>
      <w:numFmt w:val="lowerLetter"/>
      <w:lvlText w:val="%5."/>
      <w:lvlJc w:val="left"/>
      <w:pPr>
        <w:ind w:left="3600" w:hanging="360"/>
      </w:pPr>
    </w:lvl>
    <w:lvl w:ilvl="5" w:tplc="70168BD0">
      <w:start w:val="1"/>
      <w:numFmt w:val="lowerRoman"/>
      <w:lvlText w:val="%6."/>
      <w:lvlJc w:val="right"/>
      <w:pPr>
        <w:ind w:left="4320" w:hanging="180"/>
      </w:pPr>
    </w:lvl>
    <w:lvl w:ilvl="6" w:tplc="2FFC32E0">
      <w:start w:val="1"/>
      <w:numFmt w:val="decimal"/>
      <w:lvlText w:val="%7."/>
      <w:lvlJc w:val="left"/>
      <w:pPr>
        <w:ind w:left="5040" w:hanging="360"/>
      </w:pPr>
    </w:lvl>
    <w:lvl w:ilvl="7" w:tplc="0C22CE5C">
      <w:start w:val="1"/>
      <w:numFmt w:val="lowerLetter"/>
      <w:lvlText w:val="%8."/>
      <w:lvlJc w:val="left"/>
      <w:pPr>
        <w:ind w:left="5760" w:hanging="360"/>
      </w:pPr>
    </w:lvl>
    <w:lvl w:ilvl="8" w:tplc="28B04994">
      <w:start w:val="1"/>
      <w:numFmt w:val="lowerRoman"/>
      <w:lvlText w:val="%9."/>
      <w:lvlJc w:val="right"/>
      <w:pPr>
        <w:ind w:left="6480" w:hanging="180"/>
      </w:pPr>
    </w:lvl>
  </w:abstractNum>
  <w:abstractNum w:abstractNumId="7" w15:restartNumberingAfterBreak="0">
    <w:nsid w:val="49190CEE"/>
    <w:multiLevelType w:val="hybridMultilevel"/>
    <w:tmpl w:val="89B6B0BA"/>
    <w:lvl w:ilvl="0" w:tplc="4C8AB122">
      <w:start w:val="1"/>
      <w:numFmt w:val="decimal"/>
      <w:lvlText w:val="%1."/>
      <w:lvlJc w:val="left"/>
      <w:pPr>
        <w:ind w:left="720" w:hanging="360"/>
      </w:pPr>
    </w:lvl>
    <w:lvl w:ilvl="1" w:tplc="05A61E94">
      <w:start w:val="1"/>
      <w:numFmt w:val="lowerLetter"/>
      <w:lvlText w:val="%2."/>
      <w:lvlJc w:val="left"/>
      <w:pPr>
        <w:ind w:left="1440" w:hanging="360"/>
      </w:pPr>
    </w:lvl>
    <w:lvl w:ilvl="2" w:tplc="99D4E35C">
      <w:start w:val="1"/>
      <w:numFmt w:val="lowerRoman"/>
      <w:lvlText w:val="%3."/>
      <w:lvlJc w:val="right"/>
      <w:pPr>
        <w:ind w:left="2160" w:hanging="180"/>
      </w:pPr>
    </w:lvl>
    <w:lvl w:ilvl="3" w:tplc="CE345FF4">
      <w:start w:val="1"/>
      <w:numFmt w:val="decimal"/>
      <w:lvlText w:val="%4."/>
      <w:lvlJc w:val="left"/>
      <w:pPr>
        <w:ind w:left="2880" w:hanging="360"/>
      </w:pPr>
    </w:lvl>
    <w:lvl w:ilvl="4" w:tplc="6B3E9432">
      <w:start w:val="1"/>
      <w:numFmt w:val="lowerLetter"/>
      <w:lvlText w:val="%5."/>
      <w:lvlJc w:val="left"/>
      <w:pPr>
        <w:ind w:left="3600" w:hanging="360"/>
      </w:pPr>
    </w:lvl>
    <w:lvl w:ilvl="5" w:tplc="D72E961A">
      <w:start w:val="1"/>
      <w:numFmt w:val="lowerRoman"/>
      <w:lvlText w:val="%6."/>
      <w:lvlJc w:val="right"/>
      <w:pPr>
        <w:ind w:left="4320" w:hanging="180"/>
      </w:pPr>
    </w:lvl>
    <w:lvl w:ilvl="6" w:tplc="E2C687EC">
      <w:start w:val="1"/>
      <w:numFmt w:val="decimal"/>
      <w:lvlText w:val="%7."/>
      <w:lvlJc w:val="left"/>
      <w:pPr>
        <w:ind w:left="5040" w:hanging="360"/>
      </w:pPr>
    </w:lvl>
    <w:lvl w:ilvl="7" w:tplc="E89E842C">
      <w:start w:val="1"/>
      <w:numFmt w:val="lowerLetter"/>
      <w:lvlText w:val="%8."/>
      <w:lvlJc w:val="left"/>
      <w:pPr>
        <w:ind w:left="5760" w:hanging="360"/>
      </w:pPr>
    </w:lvl>
    <w:lvl w:ilvl="8" w:tplc="27380BC2">
      <w:start w:val="1"/>
      <w:numFmt w:val="lowerRoman"/>
      <w:lvlText w:val="%9."/>
      <w:lvlJc w:val="right"/>
      <w:pPr>
        <w:ind w:left="6480" w:hanging="180"/>
      </w:pPr>
    </w:lvl>
  </w:abstractNum>
  <w:abstractNum w:abstractNumId="8" w15:restartNumberingAfterBreak="0">
    <w:nsid w:val="54F9276E"/>
    <w:multiLevelType w:val="hybridMultilevel"/>
    <w:tmpl w:val="6066C506"/>
    <w:lvl w:ilvl="0" w:tplc="4A9EF292">
      <w:start w:val="1"/>
      <w:numFmt w:val="decimal"/>
      <w:lvlText w:val="%1)"/>
      <w:lvlJc w:val="left"/>
      <w:pPr>
        <w:ind w:left="735" w:hanging="375"/>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DE666A"/>
    <w:multiLevelType w:val="hybridMultilevel"/>
    <w:tmpl w:val="7B4A4234"/>
    <w:lvl w:ilvl="0" w:tplc="26D29006">
      <w:start w:val="1"/>
      <w:numFmt w:val="decimal"/>
      <w:lvlText w:val="%1."/>
      <w:lvlJc w:val="left"/>
      <w:pPr>
        <w:ind w:left="720" w:hanging="360"/>
      </w:pPr>
    </w:lvl>
    <w:lvl w:ilvl="1" w:tplc="D2E084D4">
      <w:start w:val="1"/>
      <w:numFmt w:val="lowerLetter"/>
      <w:lvlText w:val="%2."/>
      <w:lvlJc w:val="left"/>
      <w:pPr>
        <w:ind w:left="1440" w:hanging="360"/>
      </w:pPr>
    </w:lvl>
    <w:lvl w:ilvl="2" w:tplc="3BA23480">
      <w:start w:val="1"/>
      <w:numFmt w:val="lowerRoman"/>
      <w:lvlText w:val="%3."/>
      <w:lvlJc w:val="right"/>
      <w:pPr>
        <w:ind w:left="2160" w:hanging="180"/>
      </w:pPr>
    </w:lvl>
    <w:lvl w:ilvl="3" w:tplc="9BA81418">
      <w:start w:val="1"/>
      <w:numFmt w:val="decimal"/>
      <w:lvlText w:val="%4."/>
      <w:lvlJc w:val="left"/>
      <w:pPr>
        <w:ind w:left="2880" w:hanging="360"/>
      </w:pPr>
    </w:lvl>
    <w:lvl w:ilvl="4" w:tplc="4112E116">
      <w:start w:val="1"/>
      <w:numFmt w:val="lowerLetter"/>
      <w:lvlText w:val="%5."/>
      <w:lvlJc w:val="left"/>
      <w:pPr>
        <w:ind w:left="3600" w:hanging="360"/>
      </w:pPr>
    </w:lvl>
    <w:lvl w:ilvl="5" w:tplc="BEB262E8">
      <w:start w:val="1"/>
      <w:numFmt w:val="lowerRoman"/>
      <w:lvlText w:val="%6."/>
      <w:lvlJc w:val="right"/>
      <w:pPr>
        <w:ind w:left="4320" w:hanging="180"/>
      </w:pPr>
    </w:lvl>
    <w:lvl w:ilvl="6" w:tplc="DC08A4CE">
      <w:start w:val="1"/>
      <w:numFmt w:val="decimal"/>
      <w:lvlText w:val="%7."/>
      <w:lvlJc w:val="left"/>
      <w:pPr>
        <w:ind w:left="5040" w:hanging="360"/>
      </w:pPr>
    </w:lvl>
    <w:lvl w:ilvl="7" w:tplc="22E4E564">
      <w:start w:val="1"/>
      <w:numFmt w:val="lowerLetter"/>
      <w:lvlText w:val="%8."/>
      <w:lvlJc w:val="left"/>
      <w:pPr>
        <w:ind w:left="5760" w:hanging="360"/>
      </w:pPr>
    </w:lvl>
    <w:lvl w:ilvl="8" w:tplc="CC94F9AC">
      <w:start w:val="1"/>
      <w:numFmt w:val="lowerRoman"/>
      <w:lvlText w:val="%9."/>
      <w:lvlJc w:val="right"/>
      <w:pPr>
        <w:ind w:left="6480" w:hanging="180"/>
      </w:pPr>
    </w:lvl>
  </w:abstractNum>
  <w:abstractNum w:abstractNumId="10" w15:restartNumberingAfterBreak="0">
    <w:nsid w:val="733E6B86"/>
    <w:multiLevelType w:val="hybridMultilevel"/>
    <w:tmpl w:val="5F7A5E84"/>
    <w:lvl w:ilvl="0" w:tplc="65EA2B98">
      <w:start w:val="1"/>
      <w:numFmt w:val="decimal"/>
      <w:lvlText w:val="%1."/>
      <w:lvlJc w:val="left"/>
      <w:pPr>
        <w:ind w:left="720" w:hanging="360"/>
      </w:pPr>
    </w:lvl>
    <w:lvl w:ilvl="1" w:tplc="BE02C5E0">
      <w:start w:val="1"/>
      <w:numFmt w:val="lowerLetter"/>
      <w:lvlText w:val="%2."/>
      <w:lvlJc w:val="left"/>
      <w:pPr>
        <w:ind w:left="1440" w:hanging="360"/>
      </w:pPr>
    </w:lvl>
    <w:lvl w:ilvl="2" w:tplc="D4F65B5E">
      <w:start w:val="1"/>
      <w:numFmt w:val="lowerRoman"/>
      <w:lvlText w:val="%3."/>
      <w:lvlJc w:val="right"/>
      <w:pPr>
        <w:ind w:left="2160" w:hanging="180"/>
      </w:pPr>
    </w:lvl>
    <w:lvl w:ilvl="3" w:tplc="91063E7E">
      <w:start w:val="1"/>
      <w:numFmt w:val="decimal"/>
      <w:lvlText w:val="%4."/>
      <w:lvlJc w:val="left"/>
      <w:pPr>
        <w:ind w:left="2880" w:hanging="360"/>
      </w:pPr>
    </w:lvl>
    <w:lvl w:ilvl="4" w:tplc="B6D487DE">
      <w:start w:val="1"/>
      <w:numFmt w:val="lowerLetter"/>
      <w:lvlText w:val="%5."/>
      <w:lvlJc w:val="left"/>
      <w:pPr>
        <w:ind w:left="3600" w:hanging="360"/>
      </w:pPr>
    </w:lvl>
    <w:lvl w:ilvl="5" w:tplc="F27AEB64">
      <w:start w:val="1"/>
      <w:numFmt w:val="lowerRoman"/>
      <w:lvlText w:val="%6."/>
      <w:lvlJc w:val="right"/>
      <w:pPr>
        <w:ind w:left="4320" w:hanging="180"/>
      </w:pPr>
    </w:lvl>
    <w:lvl w:ilvl="6" w:tplc="207CA940">
      <w:start w:val="1"/>
      <w:numFmt w:val="decimal"/>
      <w:lvlText w:val="%7."/>
      <w:lvlJc w:val="left"/>
      <w:pPr>
        <w:ind w:left="5040" w:hanging="360"/>
      </w:pPr>
    </w:lvl>
    <w:lvl w:ilvl="7" w:tplc="8048C710">
      <w:start w:val="1"/>
      <w:numFmt w:val="lowerLetter"/>
      <w:lvlText w:val="%8."/>
      <w:lvlJc w:val="left"/>
      <w:pPr>
        <w:ind w:left="5760" w:hanging="360"/>
      </w:pPr>
    </w:lvl>
    <w:lvl w:ilvl="8" w:tplc="277E5356">
      <w:start w:val="1"/>
      <w:numFmt w:val="lowerRoman"/>
      <w:lvlText w:val="%9."/>
      <w:lvlJc w:val="right"/>
      <w:pPr>
        <w:ind w:left="6480" w:hanging="180"/>
      </w:pPr>
    </w:lvl>
  </w:abstractNum>
  <w:abstractNum w:abstractNumId="11" w15:restartNumberingAfterBreak="0">
    <w:nsid w:val="7E776502"/>
    <w:multiLevelType w:val="hybridMultilevel"/>
    <w:tmpl w:val="B1AC8CB6"/>
    <w:lvl w:ilvl="0" w:tplc="CBB8CC0C">
      <w:start w:val="1"/>
      <w:numFmt w:val="decimal"/>
      <w:lvlText w:val="%1."/>
      <w:lvlJc w:val="left"/>
      <w:pPr>
        <w:ind w:left="720" w:hanging="360"/>
      </w:pPr>
    </w:lvl>
    <w:lvl w:ilvl="1" w:tplc="A21A6A90">
      <w:start w:val="1"/>
      <w:numFmt w:val="lowerLetter"/>
      <w:lvlText w:val="%2."/>
      <w:lvlJc w:val="left"/>
      <w:pPr>
        <w:ind w:left="1440" w:hanging="360"/>
      </w:pPr>
    </w:lvl>
    <w:lvl w:ilvl="2" w:tplc="6FA801DE">
      <w:start w:val="1"/>
      <w:numFmt w:val="lowerRoman"/>
      <w:lvlText w:val="%3."/>
      <w:lvlJc w:val="right"/>
      <w:pPr>
        <w:ind w:left="2160" w:hanging="180"/>
      </w:pPr>
    </w:lvl>
    <w:lvl w:ilvl="3" w:tplc="E6A60C48">
      <w:start w:val="1"/>
      <w:numFmt w:val="decimal"/>
      <w:lvlText w:val="%4."/>
      <w:lvlJc w:val="left"/>
      <w:pPr>
        <w:ind w:left="2880" w:hanging="360"/>
      </w:pPr>
    </w:lvl>
    <w:lvl w:ilvl="4" w:tplc="99DC149A">
      <w:start w:val="1"/>
      <w:numFmt w:val="lowerLetter"/>
      <w:lvlText w:val="%5."/>
      <w:lvlJc w:val="left"/>
      <w:pPr>
        <w:ind w:left="3600" w:hanging="360"/>
      </w:pPr>
    </w:lvl>
    <w:lvl w:ilvl="5" w:tplc="CBC4C7DC">
      <w:start w:val="1"/>
      <w:numFmt w:val="lowerRoman"/>
      <w:lvlText w:val="%6."/>
      <w:lvlJc w:val="right"/>
      <w:pPr>
        <w:ind w:left="4320" w:hanging="180"/>
      </w:pPr>
    </w:lvl>
    <w:lvl w:ilvl="6" w:tplc="BE160D62">
      <w:start w:val="1"/>
      <w:numFmt w:val="decimal"/>
      <w:lvlText w:val="%7."/>
      <w:lvlJc w:val="left"/>
      <w:pPr>
        <w:ind w:left="5040" w:hanging="360"/>
      </w:pPr>
    </w:lvl>
    <w:lvl w:ilvl="7" w:tplc="DD48C5D6">
      <w:start w:val="1"/>
      <w:numFmt w:val="lowerLetter"/>
      <w:lvlText w:val="%8."/>
      <w:lvlJc w:val="left"/>
      <w:pPr>
        <w:ind w:left="5760" w:hanging="360"/>
      </w:pPr>
    </w:lvl>
    <w:lvl w:ilvl="8" w:tplc="3F7AAAE4">
      <w:start w:val="1"/>
      <w:numFmt w:val="lowerRoman"/>
      <w:lvlText w:val="%9."/>
      <w:lvlJc w:val="right"/>
      <w:pPr>
        <w:ind w:left="6480" w:hanging="180"/>
      </w:pPr>
    </w:lvl>
  </w:abstractNum>
  <w:num w:numId="1" w16cid:durableId="825708271">
    <w:abstractNumId w:val="3"/>
  </w:num>
  <w:num w:numId="2" w16cid:durableId="1880703867">
    <w:abstractNumId w:val="9"/>
  </w:num>
  <w:num w:numId="3" w16cid:durableId="2046903778">
    <w:abstractNumId w:val="7"/>
  </w:num>
  <w:num w:numId="4" w16cid:durableId="1405372440">
    <w:abstractNumId w:val="11"/>
  </w:num>
  <w:num w:numId="5" w16cid:durableId="650331899">
    <w:abstractNumId w:val="5"/>
  </w:num>
  <w:num w:numId="6" w16cid:durableId="958804131">
    <w:abstractNumId w:val="0"/>
  </w:num>
  <w:num w:numId="7" w16cid:durableId="386294679">
    <w:abstractNumId w:val="6"/>
  </w:num>
  <w:num w:numId="8" w16cid:durableId="844976230">
    <w:abstractNumId w:val="2"/>
  </w:num>
  <w:num w:numId="9" w16cid:durableId="601961729">
    <w:abstractNumId w:val="4"/>
  </w:num>
  <w:num w:numId="10" w16cid:durableId="160782584">
    <w:abstractNumId w:val="10"/>
  </w:num>
  <w:num w:numId="11" w16cid:durableId="1601329016">
    <w:abstractNumId w:val="1"/>
  </w:num>
  <w:num w:numId="12" w16cid:durableId="2055422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12"/>
    <w:rsid w:val="0000595E"/>
    <w:rsid w:val="00011F5F"/>
    <w:rsid w:val="000A26B3"/>
    <w:rsid w:val="000C0213"/>
    <w:rsid w:val="000C2137"/>
    <w:rsid w:val="001251D2"/>
    <w:rsid w:val="001332C6"/>
    <w:rsid w:val="00134D45"/>
    <w:rsid w:val="00151D93"/>
    <w:rsid w:val="00194DBF"/>
    <w:rsid w:val="001F01DE"/>
    <w:rsid w:val="002064BD"/>
    <w:rsid w:val="002A4C06"/>
    <w:rsid w:val="002B7590"/>
    <w:rsid w:val="002D3756"/>
    <w:rsid w:val="002E305C"/>
    <w:rsid w:val="00313341"/>
    <w:rsid w:val="00376752"/>
    <w:rsid w:val="00377326"/>
    <w:rsid w:val="00396078"/>
    <w:rsid w:val="003C67FD"/>
    <w:rsid w:val="003D382E"/>
    <w:rsid w:val="003E5BE4"/>
    <w:rsid w:val="0044223C"/>
    <w:rsid w:val="0045667E"/>
    <w:rsid w:val="00461F23"/>
    <w:rsid w:val="00486C76"/>
    <w:rsid w:val="004A366F"/>
    <w:rsid w:val="004D0C42"/>
    <w:rsid w:val="004E402C"/>
    <w:rsid w:val="004E7CE9"/>
    <w:rsid w:val="005026B2"/>
    <w:rsid w:val="00522259"/>
    <w:rsid w:val="0052797B"/>
    <w:rsid w:val="00527A9D"/>
    <w:rsid w:val="005547A9"/>
    <w:rsid w:val="00590114"/>
    <w:rsid w:val="00591073"/>
    <w:rsid w:val="005A7E53"/>
    <w:rsid w:val="005B1BB3"/>
    <w:rsid w:val="005B2CB7"/>
    <w:rsid w:val="005D366A"/>
    <w:rsid w:val="00616398"/>
    <w:rsid w:val="006547B6"/>
    <w:rsid w:val="00675ADD"/>
    <w:rsid w:val="006B5BAC"/>
    <w:rsid w:val="00701C3A"/>
    <w:rsid w:val="007045D9"/>
    <w:rsid w:val="00713C9C"/>
    <w:rsid w:val="00751AFB"/>
    <w:rsid w:val="00752E60"/>
    <w:rsid w:val="00762E3F"/>
    <w:rsid w:val="00764061"/>
    <w:rsid w:val="00777F6D"/>
    <w:rsid w:val="007A09DB"/>
    <w:rsid w:val="007A69CF"/>
    <w:rsid w:val="007B17F5"/>
    <w:rsid w:val="007D7B6F"/>
    <w:rsid w:val="00805B2D"/>
    <w:rsid w:val="00833904"/>
    <w:rsid w:val="00854D71"/>
    <w:rsid w:val="00857C8D"/>
    <w:rsid w:val="0086044C"/>
    <w:rsid w:val="00861B0E"/>
    <w:rsid w:val="00897298"/>
    <w:rsid w:val="00903E64"/>
    <w:rsid w:val="0092466F"/>
    <w:rsid w:val="00925075"/>
    <w:rsid w:val="00927656"/>
    <w:rsid w:val="00975000"/>
    <w:rsid w:val="00976474"/>
    <w:rsid w:val="009846CF"/>
    <w:rsid w:val="0099595D"/>
    <w:rsid w:val="009A1EFE"/>
    <w:rsid w:val="009C52AC"/>
    <w:rsid w:val="009D041A"/>
    <w:rsid w:val="009E015E"/>
    <w:rsid w:val="00A02135"/>
    <w:rsid w:val="00A17582"/>
    <w:rsid w:val="00A23539"/>
    <w:rsid w:val="00A47F6B"/>
    <w:rsid w:val="00A54AE5"/>
    <w:rsid w:val="00A776D2"/>
    <w:rsid w:val="00A97CCF"/>
    <w:rsid w:val="00AA7793"/>
    <w:rsid w:val="00AA7E52"/>
    <w:rsid w:val="00AD194B"/>
    <w:rsid w:val="00AD7AF5"/>
    <w:rsid w:val="00B10E45"/>
    <w:rsid w:val="00B13830"/>
    <w:rsid w:val="00B54FA0"/>
    <w:rsid w:val="00B80EE0"/>
    <w:rsid w:val="00BC5AF5"/>
    <w:rsid w:val="00BC6886"/>
    <w:rsid w:val="00BF7A51"/>
    <w:rsid w:val="00C03DB3"/>
    <w:rsid w:val="00C2035C"/>
    <w:rsid w:val="00CB65FC"/>
    <w:rsid w:val="00CD36A7"/>
    <w:rsid w:val="00CD74C0"/>
    <w:rsid w:val="00D137E1"/>
    <w:rsid w:val="00D23DAD"/>
    <w:rsid w:val="00D571F3"/>
    <w:rsid w:val="00D91C1C"/>
    <w:rsid w:val="00D93814"/>
    <w:rsid w:val="00DD0664"/>
    <w:rsid w:val="00DD6CFD"/>
    <w:rsid w:val="00DE5852"/>
    <w:rsid w:val="00E1580F"/>
    <w:rsid w:val="00E17298"/>
    <w:rsid w:val="00E207DD"/>
    <w:rsid w:val="00E40527"/>
    <w:rsid w:val="00E42975"/>
    <w:rsid w:val="00E70270"/>
    <w:rsid w:val="00E71CAE"/>
    <w:rsid w:val="00ED4DA8"/>
    <w:rsid w:val="00F00812"/>
    <w:rsid w:val="00F01ECD"/>
    <w:rsid w:val="00F13C85"/>
    <w:rsid w:val="00F33627"/>
    <w:rsid w:val="00F41E84"/>
    <w:rsid w:val="00F75495"/>
    <w:rsid w:val="00F82B65"/>
    <w:rsid w:val="00F87AFA"/>
    <w:rsid w:val="00F9489D"/>
    <w:rsid w:val="00FA38AF"/>
    <w:rsid w:val="00FA4864"/>
    <w:rsid w:val="00FC3CFC"/>
    <w:rsid w:val="00FE1573"/>
    <w:rsid w:val="00FE4597"/>
    <w:rsid w:val="05859844"/>
    <w:rsid w:val="0751FB74"/>
    <w:rsid w:val="0DAFF8A9"/>
    <w:rsid w:val="0F53D0BF"/>
    <w:rsid w:val="1477F4A8"/>
    <w:rsid w:val="14B06577"/>
    <w:rsid w:val="17F8E277"/>
    <w:rsid w:val="1A7D73AB"/>
    <w:rsid w:val="1B0046C9"/>
    <w:rsid w:val="1CD3A8AD"/>
    <w:rsid w:val="1D43F2C2"/>
    <w:rsid w:val="1FF41456"/>
    <w:rsid w:val="2131998A"/>
    <w:rsid w:val="2225BB16"/>
    <w:rsid w:val="229C5AB5"/>
    <w:rsid w:val="248932D8"/>
    <w:rsid w:val="24CAB821"/>
    <w:rsid w:val="250B6E7E"/>
    <w:rsid w:val="2587EAC3"/>
    <w:rsid w:val="261AD90B"/>
    <w:rsid w:val="28A701D3"/>
    <w:rsid w:val="2A2275CA"/>
    <w:rsid w:val="344AF3C1"/>
    <w:rsid w:val="3771E7AC"/>
    <w:rsid w:val="37FF0750"/>
    <w:rsid w:val="396F2367"/>
    <w:rsid w:val="3976FF22"/>
    <w:rsid w:val="39BB234B"/>
    <w:rsid w:val="3C11584D"/>
    <w:rsid w:val="3C2C6CBB"/>
    <w:rsid w:val="3EC9BFC8"/>
    <w:rsid w:val="3F9DCA0F"/>
    <w:rsid w:val="4031C35A"/>
    <w:rsid w:val="418F9EEA"/>
    <w:rsid w:val="46A838D2"/>
    <w:rsid w:val="48A83473"/>
    <w:rsid w:val="49B3F950"/>
    <w:rsid w:val="4CB2D040"/>
    <w:rsid w:val="509D00BF"/>
    <w:rsid w:val="56DC9E46"/>
    <w:rsid w:val="587FA29B"/>
    <w:rsid w:val="5D8B90A9"/>
    <w:rsid w:val="5DD3CBF2"/>
    <w:rsid w:val="6018E12E"/>
    <w:rsid w:val="610CBAE6"/>
    <w:rsid w:val="61A31211"/>
    <w:rsid w:val="641D08DD"/>
    <w:rsid w:val="6447C03F"/>
    <w:rsid w:val="65DCAC31"/>
    <w:rsid w:val="67382F58"/>
    <w:rsid w:val="696FE225"/>
    <w:rsid w:val="6CF4B96F"/>
    <w:rsid w:val="7017561C"/>
    <w:rsid w:val="7063FCB3"/>
    <w:rsid w:val="70681DE5"/>
    <w:rsid w:val="734A9AB2"/>
    <w:rsid w:val="741B333A"/>
    <w:rsid w:val="753CB480"/>
    <w:rsid w:val="78118BDC"/>
    <w:rsid w:val="7AB35626"/>
    <w:rsid w:val="7F089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3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1D93"/>
    <w:pPr>
      <w:ind w:left="720"/>
      <w:contextualSpacing/>
    </w:pPr>
  </w:style>
  <w:style w:type="character" w:styleId="Verwijzingopmerking">
    <w:name w:val="annotation reference"/>
    <w:basedOn w:val="Standaardalinea-lettertype"/>
    <w:uiPriority w:val="99"/>
    <w:semiHidden/>
    <w:unhideWhenUsed/>
    <w:rsid w:val="00E70270"/>
    <w:rPr>
      <w:sz w:val="16"/>
      <w:szCs w:val="16"/>
    </w:rPr>
  </w:style>
  <w:style w:type="paragraph" w:styleId="Tekstopmerking">
    <w:name w:val="annotation text"/>
    <w:basedOn w:val="Standaard"/>
    <w:link w:val="TekstopmerkingChar"/>
    <w:uiPriority w:val="99"/>
    <w:unhideWhenUsed/>
    <w:rsid w:val="00E70270"/>
    <w:pPr>
      <w:spacing w:line="240" w:lineRule="auto"/>
    </w:pPr>
    <w:rPr>
      <w:sz w:val="20"/>
      <w:szCs w:val="20"/>
    </w:rPr>
  </w:style>
  <w:style w:type="character" w:customStyle="1" w:styleId="TekstopmerkingChar">
    <w:name w:val="Tekst opmerking Char"/>
    <w:basedOn w:val="Standaardalinea-lettertype"/>
    <w:link w:val="Tekstopmerking"/>
    <w:uiPriority w:val="99"/>
    <w:rsid w:val="00E70270"/>
    <w:rPr>
      <w:sz w:val="20"/>
      <w:szCs w:val="20"/>
    </w:rPr>
  </w:style>
  <w:style w:type="paragraph" w:styleId="Onderwerpvanopmerking">
    <w:name w:val="annotation subject"/>
    <w:basedOn w:val="Tekstopmerking"/>
    <w:next w:val="Tekstopmerking"/>
    <w:link w:val="OnderwerpvanopmerkingChar"/>
    <w:uiPriority w:val="99"/>
    <w:semiHidden/>
    <w:unhideWhenUsed/>
    <w:rsid w:val="00E70270"/>
    <w:rPr>
      <w:b/>
      <w:bCs/>
    </w:rPr>
  </w:style>
  <w:style w:type="character" w:customStyle="1" w:styleId="OnderwerpvanopmerkingChar">
    <w:name w:val="Onderwerp van opmerking Char"/>
    <w:basedOn w:val="TekstopmerkingChar"/>
    <w:link w:val="Onderwerpvanopmerking"/>
    <w:uiPriority w:val="99"/>
    <w:semiHidden/>
    <w:rsid w:val="00E70270"/>
    <w:rPr>
      <w:b/>
      <w:bCs/>
      <w:sz w:val="20"/>
      <w:szCs w:val="20"/>
    </w:rPr>
  </w:style>
  <w:style w:type="paragraph" w:styleId="Voetnoottekst">
    <w:name w:val="footnote text"/>
    <w:basedOn w:val="Standaard"/>
    <w:link w:val="VoetnoottekstChar"/>
    <w:semiHidden/>
    <w:unhideWhenUsed/>
    <w:rsid w:val="005A7E53"/>
    <w:pPr>
      <w:spacing w:after="0" w:line="240" w:lineRule="auto"/>
    </w:pPr>
    <w:rPr>
      <w:sz w:val="20"/>
      <w:szCs w:val="20"/>
    </w:rPr>
  </w:style>
  <w:style w:type="character" w:customStyle="1" w:styleId="VoetnoottekstChar">
    <w:name w:val="Voetnoottekst Char"/>
    <w:basedOn w:val="Standaardalinea-lettertype"/>
    <w:link w:val="Voetnoottekst"/>
    <w:semiHidden/>
    <w:rsid w:val="005A7E53"/>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5A7E53"/>
    <w:rPr>
      <w:vertAlign w:val="superscript"/>
    </w:rPr>
  </w:style>
  <w:style w:type="paragraph" w:styleId="Koptekst">
    <w:name w:val="header"/>
    <w:basedOn w:val="Standaard"/>
    <w:link w:val="KoptekstChar"/>
    <w:uiPriority w:val="99"/>
    <w:semiHidden/>
    <w:unhideWhenUsed/>
    <w:rsid w:val="003D38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D382E"/>
  </w:style>
  <w:style w:type="paragraph" w:styleId="Voettekst">
    <w:name w:val="footer"/>
    <w:basedOn w:val="Standaard"/>
    <w:link w:val="VoettekstChar"/>
    <w:uiPriority w:val="99"/>
    <w:semiHidden/>
    <w:unhideWhenUsed/>
    <w:rsid w:val="003D38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D382E"/>
  </w:style>
  <w:style w:type="character" w:styleId="Hyperlink">
    <w:name w:val="Hyperlink"/>
    <w:basedOn w:val="Standaardalinea-lettertype"/>
    <w:uiPriority w:val="99"/>
    <w:unhideWhenUsed/>
    <w:rsid w:val="003D382E"/>
    <w:rPr>
      <w:color w:val="467886" w:themeColor="hyperlink"/>
      <w:u w:val="single"/>
    </w:rPr>
  </w:style>
  <w:style w:type="character" w:styleId="Onopgelostemelding">
    <w:name w:val="Unresolved Mention"/>
    <w:basedOn w:val="Standaardalinea-lettertype"/>
    <w:uiPriority w:val="99"/>
    <w:semiHidden/>
    <w:unhideWhenUsed/>
    <w:rsid w:val="003D382E"/>
    <w:rPr>
      <w:color w:val="605E5C"/>
      <w:shd w:val="clear" w:color="auto" w:fill="E1DFDD"/>
    </w:rPr>
  </w:style>
  <w:style w:type="paragraph" w:styleId="Revisie">
    <w:name w:val="Revision"/>
    <w:hidden/>
    <w:uiPriority w:val="99"/>
    <w:semiHidden/>
    <w:rsid w:val="003D3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7095">
      <w:bodyDiv w:val="1"/>
      <w:marLeft w:val="0"/>
      <w:marRight w:val="0"/>
      <w:marTop w:val="0"/>
      <w:marBottom w:val="0"/>
      <w:divBdr>
        <w:top w:val="none" w:sz="0" w:space="0" w:color="auto"/>
        <w:left w:val="none" w:sz="0" w:space="0" w:color="auto"/>
        <w:bottom w:val="none" w:sz="0" w:space="0" w:color="auto"/>
        <w:right w:val="none" w:sz="0" w:space="0" w:color="auto"/>
      </w:divBdr>
    </w:div>
    <w:div w:id="777988130">
      <w:bodyDiv w:val="1"/>
      <w:marLeft w:val="0"/>
      <w:marRight w:val="0"/>
      <w:marTop w:val="0"/>
      <w:marBottom w:val="0"/>
      <w:divBdr>
        <w:top w:val="none" w:sz="0" w:space="0" w:color="auto"/>
        <w:left w:val="none" w:sz="0" w:space="0" w:color="auto"/>
        <w:bottom w:val="none" w:sz="0" w:space="0" w:color="auto"/>
        <w:right w:val="none" w:sz="0" w:space="0" w:color="auto"/>
      </w:divBdr>
    </w:div>
    <w:div w:id="788280769">
      <w:bodyDiv w:val="1"/>
      <w:marLeft w:val="0"/>
      <w:marRight w:val="0"/>
      <w:marTop w:val="0"/>
      <w:marBottom w:val="0"/>
      <w:divBdr>
        <w:top w:val="none" w:sz="0" w:space="0" w:color="auto"/>
        <w:left w:val="none" w:sz="0" w:space="0" w:color="auto"/>
        <w:bottom w:val="none" w:sz="0" w:space="0" w:color="auto"/>
        <w:right w:val="none" w:sz="0" w:space="0" w:color="auto"/>
      </w:divBdr>
    </w:div>
    <w:div w:id="980962471">
      <w:bodyDiv w:val="1"/>
      <w:marLeft w:val="0"/>
      <w:marRight w:val="0"/>
      <w:marTop w:val="0"/>
      <w:marBottom w:val="0"/>
      <w:divBdr>
        <w:top w:val="none" w:sz="0" w:space="0" w:color="auto"/>
        <w:left w:val="none" w:sz="0" w:space="0" w:color="auto"/>
        <w:bottom w:val="none" w:sz="0" w:space="0" w:color="auto"/>
        <w:right w:val="none" w:sz="0" w:space="0" w:color="auto"/>
      </w:divBdr>
    </w:div>
    <w:div w:id="1020356707">
      <w:bodyDiv w:val="1"/>
      <w:marLeft w:val="0"/>
      <w:marRight w:val="0"/>
      <w:marTop w:val="0"/>
      <w:marBottom w:val="0"/>
      <w:divBdr>
        <w:top w:val="none" w:sz="0" w:space="0" w:color="auto"/>
        <w:left w:val="none" w:sz="0" w:space="0" w:color="auto"/>
        <w:bottom w:val="none" w:sz="0" w:space="0" w:color="auto"/>
        <w:right w:val="none" w:sz="0" w:space="0" w:color="auto"/>
      </w:divBdr>
    </w:div>
    <w:div w:id="1078283714">
      <w:bodyDiv w:val="1"/>
      <w:marLeft w:val="0"/>
      <w:marRight w:val="0"/>
      <w:marTop w:val="0"/>
      <w:marBottom w:val="0"/>
      <w:divBdr>
        <w:top w:val="none" w:sz="0" w:space="0" w:color="auto"/>
        <w:left w:val="none" w:sz="0" w:space="0" w:color="auto"/>
        <w:bottom w:val="none" w:sz="0" w:space="0" w:color="auto"/>
        <w:right w:val="none" w:sz="0" w:space="0" w:color="auto"/>
      </w:divBdr>
    </w:div>
    <w:div w:id="1177694280">
      <w:bodyDiv w:val="1"/>
      <w:marLeft w:val="0"/>
      <w:marRight w:val="0"/>
      <w:marTop w:val="0"/>
      <w:marBottom w:val="0"/>
      <w:divBdr>
        <w:top w:val="none" w:sz="0" w:space="0" w:color="auto"/>
        <w:left w:val="none" w:sz="0" w:space="0" w:color="auto"/>
        <w:bottom w:val="none" w:sz="0" w:space="0" w:color="auto"/>
        <w:right w:val="none" w:sz="0" w:space="0" w:color="auto"/>
      </w:divBdr>
    </w:div>
    <w:div w:id="1734497847">
      <w:bodyDiv w:val="1"/>
      <w:marLeft w:val="0"/>
      <w:marRight w:val="0"/>
      <w:marTop w:val="0"/>
      <w:marBottom w:val="0"/>
      <w:divBdr>
        <w:top w:val="none" w:sz="0" w:space="0" w:color="auto"/>
        <w:left w:val="none" w:sz="0" w:space="0" w:color="auto"/>
        <w:bottom w:val="none" w:sz="0" w:space="0" w:color="auto"/>
        <w:right w:val="none" w:sz="0" w:space="0" w:color="auto"/>
      </w:divBdr>
    </w:div>
    <w:div w:id="21167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4068</ap:Words>
  <ap:Characters>22375</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2025-09-29T08:53:00.0000000Z</dcterms:created>
  <dcterms:modified xsi:type="dcterms:W3CDTF">2025-09-29T08:53:00.0000000Z</dcterms:modified>
  <version/>
  <category/>
</coreProperties>
</file>