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550E0B" w14:textId="77777777">
        <w:tc>
          <w:tcPr>
            <w:tcW w:w="6379" w:type="dxa"/>
            <w:gridSpan w:val="2"/>
            <w:tcBorders>
              <w:top w:val="nil"/>
              <w:left w:val="nil"/>
              <w:bottom w:val="nil"/>
              <w:right w:val="nil"/>
            </w:tcBorders>
            <w:vAlign w:val="center"/>
          </w:tcPr>
          <w:p w:rsidR="004330ED" w:rsidP="00EA1CE4" w:rsidRDefault="004330ED" w14:paraId="6676F2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C4237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58CA3F" w14:textId="77777777">
        <w:trPr>
          <w:cantSplit/>
        </w:trPr>
        <w:tc>
          <w:tcPr>
            <w:tcW w:w="10348" w:type="dxa"/>
            <w:gridSpan w:val="3"/>
            <w:tcBorders>
              <w:top w:val="single" w:color="auto" w:sz="4" w:space="0"/>
              <w:left w:val="nil"/>
              <w:bottom w:val="nil"/>
              <w:right w:val="nil"/>
            </w:tcBorders>
          </w:tcPr>
          <w:p w:rsidR="004330ED" w:rsidP="004A1E29" w:rsidRDefault="004330ED" w14:paraId="41086D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2D02B5C" w14:textId="77777777">
        <w:trPr>
          <w:cantSplit/>
        </w:trPr>
        <w:tc>
          <w:tcPr>
            <w:tcW w:w="10348" w:type="dxa"/>
            <w:gridSpan w:val="3"/>
            <w:tcBorders>
              <w:top w:val="nil"/>
              <w:left w:val="nil"/>
              <w:bottom w:val="nil"/>
              <w:right w:val="nil"/>
            </w:tcBorders>
          </w:tcPr>
          <w:p w:rsidR="004330ED" w:rsidP="00BF623B" w:rsidRDefault="004330ED" w14:paraId="1853D2F1" w14:textId="77777777">
            <w:pPr>
              <w:pStyle w:val="Amendement"/>
              <w:tabs>
                <w:tab w:val="clear" w:pos="3310"/>
                <w:tab w:val="clear" w:pos="3600"/>
              </w:tabs>
              <w:rPr>
                <w:rFonts w:ascii="Times New Roman" w:hAnsi="Times New Roman"/>
                <w:b w:val="0"/>
              </w:rPr>
            </w:pPr>
          </w:p>
        </w:tc>
      </w:tr>
      <w:tr w:rsidR="004330ED" w:rsidTr="00EA1CE4" w14:paraId="445D1C89" w14:textId="77777777">
        <w:trPr>
          <w:cantSplit/>
        </w:trPr>
        <w:tc>
          <w:tcPr>
            <w:tcW w:w="10348" w:type="dxa"/>
            <w:gridSpan w:val="3"/>
            <w:tcBorders>
              <w:top w:val="nil"/>
              <w:left w:val="nil"/>
              <w:bottom w:val="single" w:color="auto" w:sz="4" w:space="0"/>
              <w:right w:val="nil"/>
            </w:tcBorders>
          </w:tcPr>
          <w:p w:rsidR="004330ED" w:rsidP="00BF623B" w:rsidRDefault="004330ED" w14:paraId="671C5105" w14:textId="77777777">
            <w:pPr>
              <w:pStyle w:val="Amendement"/>
              <w:tabs>
                <w:tab w:val="clear" w:pos="3310"/>
                <w:tab w:val="clear" w:pos="3600"/>
              </w:tabs>
              <w:rPr>
                <w:rFonts w:ascii="Times New Roman" w:hAnsi="Times New Roman"/>
              </w:rPr>
            </w:pPr>
          </w:p>
        </w:tc>
      </w:tr>
      <w:tr w:rsidR="004330ED" w:rsidTr="00EA1CE4" w14:paraId="78B51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1C86F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7196DB" w14:textId="77777777">
            <w:pPr>
              <w:suppressAutoHyphens/>
              <w:ind w:left="-70"/>
              <w:rPr>
                <w:b/>
              </w:rPr>
            </w:pPr>
          </w:p>
        </w:tc>
      </w:tr>
      <w:tr w:rsidR="003C21AC" w:rsidTr="00EA1CE4" w14:paraId="27473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70AC1" w14:paraId="5669FD9A" w14:textId="404A9243">
            <w:pPr>
              <w:pStyle w:val="Amendement"/>
              <w:tabs>
                <w:tab w:val="clear" w:pos="3310"/>
                <w:tab w:val="clear" w:pos="3600"/>
              </w:tabs>
              <w:rPr>
                <w:rFonts w:ascii="Times New Roman" w:hAnsi="Times New Roman"/>
              </w:rPr>
            </w:pPr>
            <w:r>
              <w:rPr>
                <w:rFonts w:ascii="Times New Roman" w:hAnsi="Times New Roman"/>
              </w:rPr>
              <w:t>36 766</w:t>
            </w:r>
          </w:p>
        </w:tc>
        <w:tc>
          <w:tcPr>
            <w:tcW w:w="7371" w:type="dxa"/>
            <w:gridSpan w:val="2"/>
          </w:tcPr>
          <w:p w:rsidRPr="00170AC1" w:rsidR="003C21AC" w:rsidP="00170AC1" w:rsidRDefault="00170AC1" w14:paraId="3B32CF4B" w14:textId="4A3091FF">
            <w:pPr>
              <w:rPr>
                <w:b/>
                <w:bCs/>
                <w:szCs w:val="24"/>
              </w:rPr>
            </w:pPr>
            <w:r w:rsidRPr="00170AC1">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3C21AC" w:rsidTr="00EA1CE4" w14:paraId="680C6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C73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D4213F" w14:textId="77777777">
            <w:pPr>
              <w:pStyle w:val="Amendement"/>
              <w:tabs>
                <w:tab w:val="clear" w:pos="3310"/>
                <w:tab w:val="clear" w:pos="3600"/>
              </w:tabs>
              <w:ind w:left="-70"/>
              <w:rPr>
                <w:rFonts w:ascii="Times New Roman" w:hAnsi="Times New Roman"/>
              </w:rPr>
            </w:pPr>
          </w:p>
        </w:tc>
      </w:tr>
      <w:tr w:rsidR="003C21AC" w:rsidTr="00EA1CE4" w14:paraId="28C44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D446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9F426D" w14:textId="77777777">
            <w:pPr>
              <w:pStyle w:val="Amendement"/>
              <w:tabs>
                <w:tab w:val="clear" w:pos="3310"/>
                <w:tab w:val="clear" w:pos="3600"/>
              </w:tabs>
              <w:ind w:left="-70"/>
              <w:rPr>
                <w:rFonts w:ascii="Times New Roman" w:hAnsi="Times New Roman"/>
              </w:rPr>
            </w:pPr>
          </w:p>
        </w:tc>
      </w:tr>
      <w:tr w:rsidR="003C21AC" w:rsidTr="00EA1CE4" w14:paraId="4CA76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4AD0E" w14:textId="7CA326B8">
            <w:pPr>
              <w:pStyle w:val="Amendement"/>
              <w:tabs>
                <w:tab w:val="clear" w:pos="3310"/>
                <w:tab w:val="clear" w:pos="3600"/>
              </w:tabs>
              <w:rPr>
                <w:rFonts w:ascii="Times New Roman" w:hAnsi="Times New Roman"/>
              </w:rPr>
            </w:pPr>
            <w:r w:rsidRPr="00C035D4">
              <w:rPr>
                <w:rFonts w:ascii="Times New Roman" w:hAnsi="Times New Roman"/>
              </w:rPr>
              <w:t xml:space="preserve">Nr. </w:t>
            </w:r>
            <w:r w:rsidR="00F4756C">
              <w:rPr>
                <w:rFonts w:ascii="Times New Roman" w:hAnsi="Times New Roman"/>
                <w:caps/>
              </w:rPr>
              <w:t>9</w:t>
            </w:r>
          </w:p>
        </w:tc>
        <w:tc>
          <w:tcPr>
            <w:tcW w:w="7371" w:type="dxa"/>
            <w:gridSpan w:val="2"/>
          </w:tcPr>
          <w:p w:rsidRPr="00C035D4" w:rsidR="003C21AC" w:rsidP="006E0971" w:rsidRDefault="003C21AC" w14:paraId="55FFAD47" w14:textId="276EF6A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70AC1">
              <w:rPr>
                <w:rFonts w:ascii="Times New Roman" w:hAnsi="Times New Roman"/>
                <w:caps/>
              </w:rPr>
              <w:t>de leden van Groningen</w:t>
            </w:r>
            <w:r w:rsidR="00364745">
              <w:rPr>
                <w:rFonts w:ascii="Times New Roman" w:hAnsi="Times New Roman"/>
                <w:caps/>
              </w:rPr>
              <w:t xml:space="preserve"> en veltman</w:t>
            </w:r>
          </w:p>
        </w:tc>
      </w:tr>
      <w:tr w:rsidR="003C21AC" w:rsidTr="00EA1CE4" w14:paraId="565E1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D8D75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E83C4C" w14:textId="6FB327A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4DF2">
              <w:rPr>
                <w:rFonts w:ascii="Times New Roman" w:hAnsi="Times New Roman"/>
                <w:b w:val="0"/>
              </w:rPr>
              <w:t>29 september 2025</w:t>
            </w:r>
          </w:p>
        </w:tc>
      </w:tr>
      <w:tr w:rsidR="00B01BA6" w:rsidTr="00EA1CE4" w14:paraId="574EC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A2E6A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788338" w14:textId="77777777">
            <w:pPr>
              <w:pStyle w:val="Amendement"/>
              <w:tabs>
                <w:tab w:val="clear" w:pos="3310"/>
                <w:tab w:val="clear" w:pos="3600"/>
              </w:tabs>
              <w:ind w:left="-70"/>
              <w:rPr>
                <w:rFonts w:ascii="Times New Roman" w:hAnsi="Times New Roman"/>
                <w:b w:val="0"/>
              </w:rPr>
            </w:pPr>
          </w:p>
        </w:tc>
      </w:tr>
      <w:tr w:rsidRPr="00EA69AC" w:rsidR="00B01BA6" w:rsidTr="00EA1CE4" w14:paraId="3CDEF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F3D92B" w14:textId="79737C89">
            <w:pPr>
              <w:ind w:firstLine="284"/>
            </w:pPr>
            <w:r w:rsidRPr="00EA69AC">
              <w:t>De ondergetekende</w:t>
            </w:r>
            <w:r w:rsidR="00170AC1">
              <w:t>n</w:t>
            </w:r>
            <w:r w:rsidRPr="00EA69AC">
              <w:t xml:space="preserve"> stel</w:t>
            </w:r>
            <w:r w:rsidR="00170AC1">
              <w:t>len</w:t>
            </w:r>
            <w:r w:rsidRPr="00EA69AC">
              <w:t xml:space="preserve"> het volgende amendement voor:</w:t>
            </w:r>
          </w:p>
        </w:tc>
      </w:tr>
    </w:tbl>
    <w:p w:rsidR="00B0616E" w:rsidP="00C225E3" w:rsidRDefault="00B0616E" w14:paraId="20DADAF8" w14:textId="0145B327">
      <w:pPr>
        <w:rPr>
          <w:color w:val="000000" w:themeColor="text1"/>
        </w:rPr>
      </w:pPr>
    </w:p>
    <w:p w:rsidRPr="0057358E" w:rsidR="00B0616E" w:rsidP="0091446F" w:rsidRDefault="00B0616E" w14:paraId="78539ECE" w14:textId="17C8BB81">
      <w:pPr>
        <w:ind w:firstLine="284"/>
        <w:rPr>
          <w:color w:val="000000" w:themeColor="text1"/>
        </w:rPr>
      </w:pPr>
      <w:r>
        <w:rPr>
          <w:color w:val="000000" w:themeColor="text1"/>
        </w:rPr>
        <w:t xml:space="preserve">In artikel I, onderdeel F, wordt </w:t>
      </w:r>
      <w:r w:rsidR="00680A35">
        <w:rPr>
          <w:color w:val="000000" w:themeColor="text1"/>
        </w:rPr>
        <w:t>aan</w:t>
      </w:r>
      <w:r>
        <w:rPr>
          <w:color w:val="000000" w:themeColor="text1"/>
        </w:rPr>
        <w:t xml:space="preserve"> </w:t>
      </w:r>
      <w:r w:rsidR="00C225E3">
        <w:rPr>
          <w:color w:val="000000" w:themeColor="text1"/>
        </w:rPr>
        <w:t xml:space="preserve">het voorgestelde </w:t>
      </w:r>
      <w:r>
        <w:rPr>
          <w:color w:val="000000" w:themeColor="text1"/>
        </w:rPr>
        <w:t xml:space="preserve">artikel 9.7.2.1, vierde lid, toegevoegd </w:t>
      </w:r>
      <w:r w:rsidR="00C225E3">
        <w:rPr>
          <w:color w:val="000000" w:themeColor="text1"/>
        </w:rPr>
        <w:t>“</w:t>
      </w:r>
      <w:r>
        <w:rPr>
          <w:color w:val="000000" w:themeColor="text1"/>
        </w:rPr>
        <w:t xml:space="preserve">en geldt </w:t>
      </w:r>
      <w:r w:rsidR="00680A35">
        <w:rPr>
          <w:color w:val="000000" w:themeColor="text1"/>
        </w:rPr>
        <w:t xml:space="preserve">de vermenigvuldigingsfactor één </w:t>
      </w:r>
      <w:r>
        <w:rPr>
          <w:color w:val="000000" w:themeColor="text1"/>
        </w:rPr>
        <w:t>tot in ieder geval 2030</w:t>
      </w:r>
      <w:r w:rsidR="00C225E3">
        <w:rPr>
          <w:color w:val="000000" w:themeColor="text1"/>
        </w:rPr>
        <w:t>”.</w:t>
      </w:r>
    </w:p>
    <w:p w:rsidR="00C67A32" w:rsidP="00EA1CE4" w:rsidRDefault="00C67A32" w14:paraId="542A08AB" w14:textId="77777777">
      <w:pPr>
        <w:rPr>
          <w:b/>
        </w:rPr>
      </w:pPr>
    </w:p>
    <w:p w:rsidRPr="00EA69AC" w:rsidR="003C21AC" w:rsidP="00EA1CE4" w:rsidRDefault="003C21AC" w14:paraId="7BEA11B6" w14:textId="6F7E1CF6">
      <w:pPr>
        <w:rPr>
          <w:b/>
        </w:rPr>
      </w:pPr>
      <w:r w:rsidRPr="00EA69AC">
        <w:rPr>
          <w:b/>
        </w:rPr>
        <w:t>Toelichting</w:t>
      </w:r>
    </w:p>
    <w:p w:rsidRPr="00EA69AC" w:rsidR="003C21AC" w:rsidP="00BF623B" w:rsidRDefault="003C21AC" w14:paraId="5DB669BA" w14:textId="77777777"/>
    <w:p w:rsidRPr="00190550" w:rsidR="00170AC1" w:rsidP="00170AC1" w:rsidRDefault="00170AC1" w14:paraId="4FE5A493" w14:textId="26BCE20B">
      <w:pPr>
        <w:rPr>
          <w:color w:val="000000" w:themeColor="text1"/>
        </w:rPr>
      </w:pPr>
      <w:r w:rsidRPr="00190550">
        <w:rPr>
          <w:color w:val="000000" w:themeColor="text1"/>
        </w:rPr>
        <w:t>Het wetsvoorstel laat ruimte voor een correctiefactor kleiner dan 1,0 in de raffinageroute voor hernieuwbare waterstof. Het kabinet heeft eerder toegezegd de factor op 1,0 te zetten, maar regelt dit niet expliciet in de wet.</w:t>
      </w:r>
      <w:r w:rsidRPr="00B7710A" w:rsidR="00F62BC5">
        <w:rPr>
          <w:rStyle w:val="Voetnootmarkering"/>
          <w:color w:val="000000" w:themeColor="text1"/>
          <w:sz w:val="20"/>
        </w:rPr>
        <w:footnoteReference w:id="1"/>
      </w:r>
      <w:r w:rsidRPr="00190550">
        <w:rPr>
          <w:color w:val="000000" w:themeColor="text1"/>
        </w:rPr>
        <w:t xml:space="preserve"> Voor investeerders in elektrolyse en hernieuwbare waterstofprojecten is langjarige zekerheid over de waardering essentieel.</w:t>
      </w:r>
    </w:p>
    <w:p w:rsidR="00170AC1" w:rsidP="00170AC1" w:rsidRDefault="00170AC1" w14:paraId="3E13F83C" w14:textId="77777777">
      <w:pPr>
        <w:rPr>
          <w:color w:val="000000" w:themeColor="text1"/>
        </w:rPr>
      </w:pPr>
    </w:p>
    <w:p w:rsidRPr="00F274B9" w:rsidR="00170AC1" w:rsidP="00170AC1" w:rsidRDefault="00170AC1" w14:paraId="37E775FE" w14:textId="05E52AE4">
      <w:pPr>
        <w:rPr>
          <w:color w:val="000000" w:themeColor="text1"/>
        </w:rPr>
      </w:pPr>
      <w:r w:rsidRPr="00190550">
        <w:rPr>
          <w:color w:val="000000" w:themeColor="text1"/>
        </w:rPr>
        <w:t xml:space="preserve">Met dit amendement wordt die zekerheid wettelijk vastgelegd: </w:t>
      </w:r>
      <w:r w:rsidR="00E92253">
        <w:rPr>
          <w:color w:val="000000" w:themeColor="text1"/>
        </w:rPr>
        <w:t xml:space="preserve">tot in ieder geval 2030 bedraagt </w:t>
      </w:r>
      <w:r w:rsidRPr="00190550">
        <w:rPr>
          <w:color w:val="000000" w:themeColor="text1"/>
        </w:rPr>
        <w:t xml:space="preserve">de correctiefactor 1,0 en kan </w:t>
      </w:r>
      <w:r w:rsidR="00E92253">
        <w:rPr>
          <w:color w:val="000000" w:themeColor="text1"/>
        </w:rPr>
        <w:t xml:space="preserve">deze </w:t>
      </w:r>
      <w:r w:rsidRPr="00190550">
        <w:rPr>
          <w:color w:val="000000" w:themeColor="text1"/>
        </w:rPr>
        <w:t>niet bij lagere regelgeving worden verlaagd. Zo wordt voorkomen dat investeringen ondermijnd worden door latere beleidswijzigingen en ontstaat het benodigde vertrouwen om in Nederland grootschalig in hernieuwbare waterstof te investeren.</w:t>
      </w:r>
      <w:r w:rsidR="00C67A32">
        <w:rPr>
          <w:color w:val="000000" w:themeColor="text1"/>
        </w:rPr>
        <w:t xml:space="preserve"> </w:t>
      </w:r>
    </w:p>
    <w:p w:rsidRPr="00EA69AC" w:rsidR="005B1DCC" w:rsidP="00BF623B" w:rsidRDefault="005B1DCC" w14:paraId="1E349020" w14:textId="77777777"/>
    <w:p w:rsidR="00170AC1" w:rsidP="00EA1CE4" w:rsidRDefault="00170AC1" w14:paraId="06B298BF" w14:textId="336E73F9">
      <w:r>
        <w:t>Van Groningen</w:t>
      </w:r>
    </w:p>
    <w:p w:rsidRPr="00EA69AC" w:rsidR="0091446F" w:rsidP="00EA1CE4" w:rsidRDefault="000B52BA" w14:paraId="59F1E7E8" w14:textId="141B5FA4">
      <w:r>
        <w:t>Veltman</w:t>
      </w:r>
    </w:p>
    <w:sectPr w:rsidRPr="00EA69AC" w:rsidR="0091446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A8FF" w14:textId="77777777" w:rsidR="00757390" w:rsidRDefault="00757390">
      <w:pPr>
        <w:spacing w:line="20" w:lineRule="exact"/>
      </w:pPr>
    </w:p>
  </w:endnote>
  <w:endnote w:type="continuationSeparator" w:id="0">
    <w:p w14:paraId="35F22A3C" w14:textId="77777777" w:rsidR="00757390" w:rsidRDefault="00757390">
      <w:pPr>
        <w:pStyle w:val="Amendement"/>
      </w:pPr>
      <w:r>
        <w:rPr>
          <w:b w:val="0"/>
        </w:rPr>
        <w:t xml:space="preserve"> </w:t>
      </w:r>
    </w:p>
  </w:endnote>
  <w:endnote w:type="continuationNotice" w:id="1">
    <w:p w14:paraId="2AA1CE33" w14:textId="77777777" w:rsidR="00757390" w:rsidRDefault="007573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063A" w14:textId="77777777" w:rsidR="00757390" w:rsidRDefault="00757390">
      <w:pPr>
        <w:pStyle w:val="Amendement"/>
      </w:pPr>
      <w:r>
        <w:rPr>
          <w:b w:val="0"/>
        </w:rPr>
        <w:separator/>
      </w:r>
    </w:p>
  </w:footnote>
  <w:footnote w:type="continuationSeparator" w:id="0">
    <w:p w14:paraId="55CDB77E" w14:textId="77777777" w:rsidR="00757390" w:rsidRDefault="00757390">
      <w:r>
        <w:continuationSeparator/>
      </w:r>
    </w:p>
  </w:footnote>
  <w:footnote w:id="1">
    <w:p w14:paraId="373888D4" w14:textId="656F1F9F" w:rsidR="00F62BC5" w:rsidRPr="00237394" w:rsidRDefault="00F62BC5">
      <w:pPr>
        <w:pStyle w:val="Voetnoottekst"/>
        <w:rPr>
          <w:sz w:val="20"/>
        </w:rPr>
      </w:pPr>
      <w:r w:rsidRPr="00237394">
        <w:rPr>
          <w:rStyle w:val="Voetnootmarkering"/>
          <w:sz w:val="20"/>
        </w:rPr>
        <w:footnoteRef/>
      </w:r>
      <w:r w:rsidRPr="00237394">
        <w:rPr>
          <w:sz w:val="20"/>
        </w:rPr>
        <w:t xml:space="preserve"> Kamerstukken II </w:t>
      </w:r>
      <w:r w:rsidR="00285C0C" w:rsidRPr="00237394">
        <w:rPr>
          <w:sz w:val="20"/>
        </w:rPr>
        <w:t>2024/25</w:t>
      </w:r>
      <w:r w:rsidR="00237394" w:rsidRPr="00237394">
        <w:rPr>
          <w:sz w:val="20"/>
        </w:rPr>
        <w:t xml:space="preserve">, 32813, nr. 1511.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C1"/>
    <w:rsid w:val="00052244"/>
    <w:rsid w:val="0007471A"/>
    <w:rsid w:val="000B52BA"/>
    <w:rsid w:val="000D17BF"/>
    <w:rsid w:val="00122565"/>
    <w:rsid w:val="00157CAF"/>
    <w:rsid w:val="001656EE"/>
    <w:rsid w:val="0016653D"/>
    <w:rsid w:val="00170AC1"/>
    <w:rsid w:val="001973A2"/>
    <w:rsid w:val="001D56AF"/>
    <w:rsid w:val="001E0E21"/>
    <w:rsid w:val="001E1328"/>
    <w:rsid w:val="00212DD7"/>
    <w:rsid w:val="00212E0A"/>
    <w:rsid w:val="002153B0"/>
    <w:rsid w:val="0021777F"/>
    <w:rsid w:val="00237394"/>
    <w:rsid w:val="00241DD0"/>
    <w:rsid w:val="0026392C"/>
    <w:rsid w:val="00285C0C"/>
    <w:rsid w:val="002A0713"/>
    <w:rsid w:val="0034216A"/>
    <w:rsid w:val="00364745"/>
    <w:rsid w:val="00394953"/>
    <w:rsid w:val="003C21AC"/>
    <w:rsid w:val="003C5218"/>
    <w:rsid w:val="003C7876"/>
    <w:rsid w:val="003D1098"/>
    <w:rsid w:val="003E2308"/>
    <w:rsid w:val="003E2F98"/>
    <w:rsid w:val="00413B00"/>
    <w:rsid w:val="0042574B"/>
    <w:rsid w:val="004330ED"/>
    <w:rsid w:val="00467287"/>
    <w:rsid w:val="00481C91"/>
    <w:rsid w:val="004911E3"/>
    <w:rsid w:val="00497D57"/>
    <w:rsid w:val="004A1E29"/>
    <w:rsid w:val="004A7DD4"/>
    <w:rsid w:val="004B1068"/>
    <w:rsid w:val="004B50D8"/>
    <w:rsid w:val="004B5B90"/>
    <w:rsid w:val="004D219D"/>
    <w:rsid w:val="00500F5C"/>
    <w:rsid w:val="00501109"/>
    <w:rsid w:val="0056571B"/>
    <w:rsid w:val="005703C9"/>
    <w:rsid w:val="0057358E"/>
    <w:rsid w:val="00597703"/>
    <w:rsid w:val="005A6097"/>
    <w:rsid w:val="005B1DCC"/>
    <w:rsid w:val="005B558D"/>
    <w:rsid w:val="005B7323"/>
    <w:rsid w:val="005C25B9"/>
    <w:rsid w:val="00602CD1"/>
    <w:rsid w:val="00610C4A"/>
    <w:rsid w:val="006267E6"/>
    <w:rsid w:val="006558D2"/>
    <w:rsid w:val="00672D25"/>
    <w:rsid w:val="006738BC"/>
    <w:rsid w:val="00680A35"/>
    <w:rsid w:val="00694DEF"/>
    <w:rsid w:val="006D3E69"/>
    <w:rsid w:val="006E0971"/>
    <w:rsid w:val="00757390"/>
    <w:rsid w:val="007709F6"/>
    <w:rsid w:val="00783215"/>
    <w:rsid w:val="007965FC"/>
    <w:rsid w:val="007C266C"/>
    <w:rsid w:val="007D2608"/>
    <w:rsid w:val="008164E5"/>
    <w:rsid w:val="00824DF2"/>
    <w:rsid w:val="00830081"/>
    <w:rsid w:val="008467D7"/>
    <w:rsid w:val="00852541"/>
    <w:rsid w:val="00865D47"/>
    <w:rsid w:val="0088452C"/>
    <w:rsid w:val="008D193E"/>
    <w:rsid w:val="008D7DCB"/>
    <w:rsid w:val="009055DB"/>
    <w:rsid w:val="00905ECB"/>
    <w:rsid w:val="0091446F"/>
    <w:rsid w:val="00951D8D"/>
    <w:rsid w:val="0096165D"/>
    <w:rsid w:val="00993E91"/>
    <w:rsid w:val="009A409F"/>
    <w:rsid w:val="009B5845"/>
    <w:rsid w:val="009C0C1F"/>
    <w:rsid w:val="00A10505"/>
    <w:rsid w:val="00A1288B"/>
    <w:rsid w:val="00A4064F"/>
    <w:rsid w:val="00A53203"/>
    <w:rsid w:val="00A772EB"/>
    <w:rsid w:val="00AD0F85"/>
    <w:rsid w:val="00AD28DB"/>
    <w:rsid w:val="00B01BA6"/>
    <w:rsid w:val="00B0616E"/>
    <w:rsid w:val="00B4708A"/>
    <w:rsid w:val="00B52549"/>
    <w:rsid w:val="00B7710A"/>
    <w:rsid w:val="00BF284F"/>
    <w:rsid w:val="00BF623B"/>
    <w:rsid w:val="00C035D4"/>
    <w:rsid w:val="00C225E3"/>
    <w:rsid w:val="00C679BF"/>
    <w:rsid w:val="00C67A32"/>
    <w:rsid w:val="00C81BBD"/>
    <w:rsid w:val="00CC70E9"/>
    <w:rsid w:val="00CD3132"/>
    <w:rsid w:val="00CE27CD"/>
    <w:rsid w:val="00D134F3"/>
    <w:rsid w:val="00D150CE"/>
    <w:rsid w:val="00D37DF2"/>
    <w:rsid w:val="00D47D01"/>
    <w:rsid w:val="00D774B3"/>
    <w:rsid w:val="00DB386C"/>
    <w:rsid w:val="00DD35A5"/>
    <w:rsid w:val="00DE2948"/>
    <w:rsid w:val="00DF68BE"/>
    <w:rsid w:val="00DF712A"/>
    <w:rsid w:val="00E25765"/>
    <w:rsid w:val="00E25DF4"/>
    <w:rsid w:val="00E3485D"/>
    <w:rsid w:val="00E37DE6"/>
    <w:rsid w:val="00E6619B"/>
    <w:rsid w:val="00E75B33"/>
    <w:rsid w:val="00E908D7"/>
    <w:rsid w:val="00E92253"/>
    <w:rsid w:val="00EA1CE4"/>
    <w:rsid w:val="00EA69AC"/>
    <w:rsid w:val="00EB40A1"/>
    <w:rsid w:val="00EC3112"/>
    <w:rsid w:val="00ED5E57"/>
    <w:rsid w:val="00EE1BD8"/>
    <w:rsid w:val="00F37F3C"/>
    <w:rsid w:val="00F4756C"/>
    <w:rsid w:val="00F62BC5"/>
    <w:rsid w:val="00F85AA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9E1FF"/>
  <w15:docId w15:val="{CD514944-EE78-4865-BAFD-5CE9AB99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70AC1"/>
    <w:rPr>
      <w:sz w:val="16"/>
      <w:szCs w:val="16"/>
    </w:rPr>
  </w:style>
  <w:style w:type="paragraph" w:styleId="Tekstopmerking">
    <w:name w:val="annotation text"/>
    <w:basedOn w:val="Standaard"/>
    <w:link w:val="TekstopmerkingChar"/>
    <w:unhideWhenUsed/>
    <w:rsid w:val="00170AC1"/>
    <w:rPr>
      <w:sz w:val="20"/>
    </w:rPr>
  </w:style>
  <w:style w:type="character" w:customStyle="1" w:styleId="TekstopmerkingChar">
    <w:name w:val="Tekst opmerking Char"/>
    <w:basedOn w:val="Standaardalinea-lettertype"/>
    <w:link w:val="Tekstopmerking"/>
    <w:rsid w:val="00170AC1"/>
  </w:style>
  <w:style w:type="paragraph" w:styleId="Onderwerpvanopmerking">
    <w:name w:val="annotation subject"/>
    <w:basedOn w:val="Tekstopmerking"/>
    <w:next w:val="Tekstopmerking"/>
    <w:link w:val="OnderwerpvanopmerkingChar"/>
    <w:semiHidden/>
    <w:unhideWhenUsed/>
    <w:rsid w:val="00170AC1"/>
    <w:rPr>
      <w:b/>
      <w:bCs/>
    </w:rPr>
  </w:style>
  <w:style w:type="character" w:customStyle="1" w:styleId="OnderwerpvanopmerkingChar">
    <w:name w:val="Onderwerp van opmerking Char"/>
    <w:basedOn w:val="TekstopmerkingChar"/>
    <w:link w:val="Onderwerpvanopmerking"/>
    <w:semiHidden/>
    <w:rsid w:val="00170AC1"/>
    <w:rPr>
      <w:b/>
      <w:bCs/>
    </w:rPr>
  </w:style>
  <w:style w:type="character" w:styleId="Voetnootmarkering">
    <w:name w:val="footnote reference"/>
    <w:basedOn w:val="Standaardalinea-lettertype"/>
    <w:semiHidden/>
    <w:unhideWhenUsed/>
    <w:rsid w:val="00F62BC5"/>
    <w:rPr>
      <w:vertAlign w:val="superscript"/>
    </w:rPr>
  </w:style>
  <w:style w:type="paragraph" w:styleId="Revisie">
    <w:name w:val="Revision"/>
    <w:hidden/>
    <w:uiPriority w:val="99"/>
    <w:semiHidden/>
    <w:rsid w:val="00BF28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2025-09-29T12:12:00.0000000Z</dcterms:created>
  <dcterms:modified xsi:type="dcterms:W3CDTF">2025-09-29T12:12:00.0000000Z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0x010100786AFA686E8B2C4FADDF55517A520FA2</vt:lpwstr>
  </property>
</Properties>
</file>