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CF" w:rsidP="009D74CF" w:rsidRDefault="009D74CF" w14:paraId="0BF1A07E" w14:textId="77777777">
      <w:bookmarkStart w:name="_GoBack" w:id="0"/>
      <w:bookmarkEnd w:id="0"/>
      <w:r>
        <w:t>Geachte voorzitter,</w:t>
      </w:r>
    </w:p>
    <w:p w:rsidR="009D74CF" w:rsidP="009D74CF" w:rsidRDefault="009D74CF" w14:paraId="4FA6B001" w14:textId="77777777"/>
    <w:p w:rsidR="00C12E3A" w:rsidP="00C12E3A" w:rsidRDefault="00827BDA" w14:paraId="05ED2C52" w14:textId="41DBB3A5">
      <w:r>
        <w:t>Bijgaan</w:t>
      </w:r>
      <w:r w:rsidR="001720CE">
        <w:t>d</w:t>
      </w:r>
      <w:r>
        <w:t xml:space="preserve"> vindt u </w:t>
      </w:r>
      <w:r w:rsidR="00C12E3A">
        <w:t xml:space="preserve">de voortgangsrapportage </w:t>
      </w:r>
      <w:r w:rsidR="006E1922">
        <w:t xml:space="preserve">van het </w:t>
      </w:r>
      <w:r w:rsidR="00C12E3A">
        <w:t xml:space="preserve">Programma Hoogfrequent Spoorvervoer (PHS) over de </w:t>
      </w:r>
      <w:r w:rsidR="00937136">
        <w:t>eerst</w:t>
      </w:r>
      <w:r w:rsidR="001C20FB">
        <w:t>e</w:t>
      </w:r>
      <w:r w:rsidR="00C12E3A">
        <w:t xml:space="preserve"> helft van 202</w:t>
      </w:r>
      <w:r w:rsidR="00937136">
        <w:t>5</w:t>
      </w:r>
      <w:r w:rsidR="00C12E3A">
        <w:t xml:space="preserve">. </w:t>
      </w:r>
      <w:r w:rsidR="0082506F">
        <w:t>D</w:t>
      </w:r>
      <w:r w:rsidR="00C12E3A">
        <w:t xml:space="preserve">it is de </w:t>
      </w:r>
      <w:r w:rsidR="00937136">
        <w:t>dertiende</w:t>
      </w:r>
      <w:r w:rsidR="00C12E3A">
        <w:t xml:space="preserve"> voortgangsrapportage (VGR1</w:t>
      </w:r>
      <w:r w:rsidR="00937136">
        <w:t>3</w:t>
      </w:r>
      <w:r w:rsidR="00C12E3A">
        <w:t>)</w:t>
      </w:r>
      <w:r w:rsidR="00937136">
        <w:t>,</w:t>
      </w:r>
      <w:r w:rsidR="00C12E3A">
        <w:t xml:space="preserve"> gebaseerd op de basisrapportage die op 26 april 2019 aan uw Kamer is </w:t>
      </w:r>
      <w:r w:rsidRPr="00CB5DF7" w:rsidR="00CB5DF7">
        <w:t>aangeboden</w:t>
      </w:r>
      <w:r w:rsidRPr="00CB5DF7" w:rsidR="00CB5DF7">
        <w:rPr>
          <w:vertAlign w:val="superscript"/>
        </w:rPr>
        <w:footnoteReference w:id="2"/>
      </w:r>
      <w:r>
        <w:t>.</w:t>
      </w:r>
    </w:p>
    <w:p w:rsidR="00520BFB" w:rsidP="009D74CF" w:rsidRDefault="00520BFB" w14:paraId="5DC4F6DC" w14:textId="77777777"/>
    <w:p w:rsidRPr="00B57F41" w:rsidR="009D74CF" w:rsidP="009D74CF" w:rsidRDefault="009D74CF" w14:paraId="7874B612" w14:textId="74E73389">
      <w:pPr>
        <w:rPr>
          <w:b/>
          <w:bCs/>
        </w:rPr>
      </w:pPr>
      <w:r w:rsidRPr="00B57F41">
        <w:rPr>
          <w:b/>
          <w:bCs/>
        </w:rPr>
        <w:t>Programma Hoogfrequent Spoorvervoer</w:t>
      </w:r>
    </w:p>
    <w:p w:rsidR="00C12E3A" w:rsidP="00C12E3A" w:rsidRDefault="00C12E3A" w14:paraId="3997DB1A" w14:textId="0D2968C0">
      <w:r>
        <w:t xml:space="preserve">PHS heeft </w:t>
      </w:r>
      <w:r w:rsidR="00827BDA">
        <w:t>als</w:t>
      </w:r>
      <w:r>
        <w:t xml:space="preserve"> doel </w:t>
      </w:r>
      <w:r w:rsidR="00827BDA">
        <w:t xml:space="preserve">om </w:t>
      </w:r>
      <w:r>
        <w:t xml:space="preserve">op zeven corridors te komen tot hoogfrequent spoorvervoer voor reizigers en extra ruimte voor goederenvervoer. Het programma is in uitvoering: de extra capaciteit </w:t>
      </w:r>
      <w:r w:rsidR="00E930A7">
        <w:t xml:space="preserve">als gevolg van de spoorinfrastructuur die binnen PHS is opgeleverd, </w:t>
      </w:r>
      <w:r>
        <w:t>is deels al gerealiseerd en zal komende jaren stap voor stap verder beschikbaar komen.</w:t>
      </w:r>
      <w:r w:rsidR="00A10CF0">
        <w:t xml:space="preserve"> </w:t>
      </w:r>
      <w:r>
        <w:t xml:space="preserve">De resultaten </w:t>
      </w:r>
      <w:r w:rsidR="00A10CF0">
        <w:t xml:space="preserve">van PHS </w:t>
      </w:r>
      <w:r>
        <w:t xml:space="preserve">zijn van groot belang om </w:t>
      </w:r>
      <w:r w:rsidR="00F52206">
        <w:t>het</w:t>
      </w:r>
      <w:r>
        <w:t xml:space="preserve"> reizigers</w:t>
      </w:r>
      <w:r w:rsidR="00F52206">
        <w:t>-</w:t>
      </w:r>
      <w:r>
        <w:t xml:space="preserve"> en goederenvervoer ook in de toekomst te kunnen faciliteren. </w:t>
      </w:r>
      <w:r w:rsidR="00A10CF0">
        <w:t>Het programma</w:t>
      </w:r>
      <w:r>
        <w:t xml:space="preserve"> legt mede de basis voor ontsluiting van de zeventien woningbouw</w:t>
      </w:r>
      <w:r w:rsidR="00C55D7F">
        <w:t>-</w:t>
      </w:r>
      <w:r>
        <w:t xml:space="preserve">gebieden en maakt </w:t>
      </w:r>
      <w:r w:rsidR="0037672A">
        <w:t xml:space="preserve">een toekomstbestendige </w:t>
      </w:r>
      <w:r>
        <w:t xml:space="preserve">doorontwikkeling mogelijk. </w:t>
      </w:r>
    </w:p>
    <w:p w:rsidR="00FE3D86" w:rsidP="00C12E3A" w:rsidRDefault="00FE3D86" w14:paraId="0725F35F" w14:textId="77777777"/>
    <w:p w:rsidRPr="009D74CF" w:rsidR="009D74CF" w:rsidP="009D74CF" w:rsidRDefault="009D74CF" w14:paraId="2D5675CE" w14:textId="4CF592DD">
      <w:pPr>
        <w:rPr>
          <w:b/>
          <w:bCs/>
        </w:rPr>
      </w:pPr>
      <w:r w:rsidRPr="009D74CF">
        <w:rPr>
          <w:b/>
          <w:bCs/>
        </w:rPr>
        <w:t>Relevante ontwikkelingen</w:t>
      </w:r>
    </w:p>
    <w:p w:rsidR="00B57F41" w:rsidP="006E1922" w:rsidRDefault="00FE3D86" w14:paraId="55887235" w14:textId="03EAD4FB">
      <w:pPr>
        <w:spacing w:after="60"/>
      </w:pPr>
      <w:r>
        <w:t xml:space="preserve">Het programma is </w:t>
      </w:r>
      <w:r w:rsidR="005F6B2A">
        <w:t xml:space="preserve">volop </w:t>
      </w:r>
      <w:r>
        <w:t xml:space="preserve">in realisatie. </w:t>
      </w:r>
      <w:r w:rsidR="00A64C1C">
        <w:t>De belangrijkste</w:t>
      </w:r>
      <w:r w:rsidR="00B57F41">
        <w:t xml:space="preserve"> ontwikkelingen</w:t>
      </w:r>
      <w:r w:rsidR="00A64C1C">
        <w:t xml:space="preserve"> </w:t>
      </w:r>
      <w:r w:rsidRPr="00540347" w:rsidR="00540347">
        <w:t xml:space="preserve">in deze verslagperiode </w:t>
      </w:r>
      <w:r w:rsidR="00A64C1C">
        <w:t>zijn</w:t>
      </w:r>
      <w:r w:rsidR="00B57F41">
        <w:t>:</w:t>
      </w:r>
    </w:p>
    <w:p w:rsidR="00433E36" w:rsidP="006E1922" w:rsidRDefault="00CB5DF7" w14:paraId="4F6F57C6" w14:textId="43A025DA">
      <w:pPr>
        <w:pStyle w:val="ListParagraph"/>
        <w:numPr>
          <w:ilvl w:val="0"/>
          <w:numId w:val="28"/>
        </w:numPr>
        <w:autoSpaceDN/>
        <w:spacing w:after="60" w:line="259" w:lineRule="auto"/>
        <w:ind w:left="426"/>
        <w:contextualSpacing w:val="0"/>
        <w:textAlignment w:val="auto"/>
      </w:pPr>
      <w:r w:rsidRPr="00CB5DF7">
        <w:t>Op de corridor Den Haag-Rotterdam-Breda z</w:t>
      </w:r>
      <w:r w:rsidR="0027496E">
        <w:t xml:space="preserve">ijn </w:t>
      </w:r>
      <w:r w:rsidRPr="00CB5DF7">
        <w:t>alle infrastructuurmaatregelen gereed en rijd</w:t>
      </w:r>
      <w:r w:rsidR="0027496E">
        <w:t>en alle extra treinen</w:t>
      </w:r>
      <w:r w:rsidR="00447563">
        <w:t>.</w:t>
      </w:r>
      <w:r w:rsidR="0090512B">
        <w:t xml:space="preserve"> </w:t>
      </w:r>
      <w:r w:rsidR="00880BC1">
        <w:t>Daarmee is de eerste PHS-corri</w:t>
      </w:r>
      <w:r w:rsidR="0090512B">
        <w:t>dor</w:t>
      </w:r>
      <w:r w:rsidR="00880BC1">
        <w:t xml:space="preserve"> in zijn geheel opgeleverd</w:t>
      </w:r>
      <w:r w:rsidR="0027496E">
        <w:t>, op tijd en binnen budget</w:t>
      </w:r>
      <w:r w:rsidR="0090512B">
        <w:t>.</w:t>
      </w:r>
      <w:r w:rsidR="007830F8">
        <w:t xml:space="preserve"> Dit is een mooi resultaat dat in april gevierd is met </w:t>
      </w:r>
      <w:r w:rsidR="00880BC1">
        <w:t xml:space="preserve">de </w:t>
      </w:r>
      <w:r w:rsidR="007830F8">
        <w:t>betrokken bestuurders en sectorpartners.</w:t>
      </w:r>
    </w:p>
    <w:p w:rsidR="001D5E63" w:rsidP="00350738" w:rsidRDefault="00D65E2A" w14:paraId="6CDD123E" w14:textId="7A8BDAED">
      <w:pPr>
        <w:pStyle w:val="ListParagraph"/>
        <w:numPr>
          <w:ilvl w:val="0"/>
          <w:numId w:val="28"/>
        </w:numPr>
        <w:autoSpaceDN/>
        <w:spacing w:after="60" w:line="259" w:lineRule="auto"/>
        <w:ind w:left="426"/>
        <w:contextualSpacing w:val="0"/>
        <w:textAlignment w:val="auto"/>
      </w:pPr>
      <w:r>
        <w:t xml:space="preserve">Op Amsterdam Centraal </w:t>
      </w:r>
      <w:r w:rsidR="00551C68">
        <w:t>is de uitvoering van het werk in volle gang</w:t>
      </w:r>
      <w:r w:rsidR="00544868">
        <w:t xml:space="preserve">. </w:t>
      </w:r>
      <w:r>
        <w:t xml:space="preserve">In april zijn </w:t>
      </w:r>
      <w:r w:rsidR="0090512B">
        <w:t>twee</w:t>
      </w:r>
      <w:r>
        <w:t xml:space="preserve"> </w:t>
      </w:r>
      <w:r w:rsidR="000875FA">
        <w:t xml:space="preserve">vernieuwde </w:t>
      </w:r>
      <w:r>
        <w:t xml:space="preserve">sporen in gebruik genomen, evenals de eerste nieuwe brug over de Oostertoegang. </w:t>
      </w:r>
      <w:r w:rsidR="00350738">
        <w:t>In</w:t>
      </w:r>
      <w:r w:rsidR="000875FA">
        <w:t xml:space="preserve"> juni </w:t>
      </w:r>
      <w:r w:rsidR="00350738">
        <w:t xml:space="preserve">is </w:t>
      </w:r>
      <w:r>
        <w:t>de entree van de westelijke reizigers</w:t>
      </w:r>
      <w:r w:rsidR="005C2170">
        <w:t>-</w:t>
      </w:r>
      <w:r>
        <w:t>tunnel heropend</w:t>
      </w:r>
      <w:r w:rsidR="00350738">
        <w:t>, met extra ruimte voor reizigers.</w:t>
      </w:r>
      <w:r w:rsidR="00BA7BBA">
        <w:t xml:space="preserve"> </w:t>
      </w:r>
      <w:r w:rsidR="00551C68">
        <w:t xml:space="preserve">Het project </w:t>
      </w:r>
      <w:r w:rsidR="00447563">
        <w:t xml:space="preserve">op Amsterdam Centraal </w:t>
      </w:r>
      <w:r w:rsidR="00350738">
        <w:t xml:space="preserve">houdt </w:t>
      </w:r>
      <w:r w:rsidR="001D5E63">
        <w:t xml:space="preserve">een hoog risicoprofiel </w:t>
      </w:r>
      <w:r w:rsidR="00551C68">
        <w:t xml:space="preserve">door de </w:t>
      </w:r>
      <w:r w:rsidR="005C2170">
        <w:t xml:space="preserve">omvang, </w:t>
      </w:r>
      <w:r w:rsidR="00551C68">
        <w:t>complexiteit en beperkte ruimte</w:t>
      </w:r>
      <w:r w:rsidR="006F5CB3">
        <w:t xml:space="preserve"> voor werkzaamheden </w:t>
      </w:r>
      <w:r w:rsidR="00804106">
        <w:t xml:space="preserve">in </w:t>
      </w:r>
      <w:r w:rsidR="006F5CB3">
        <w:t>een volledig operationeel station</w:t>
      </w:r>
      <w:r w:rsidR="0090512B">
        <w:t xml:space="preserve">. </w:t>
      </w:r>
    </w:p>
    <w:p w:rsidR="005F6B2A" w:rsidP="005F6B2A" w:rsidRDefault="1320ADB3" w14:paraId="628B8294" w14:textId="18BF1867">
      <w:pPr>
        <w:pStyle w:val="ListParagraph"/>
        <w:numPr>
          <w:ilvl w:val="0"/>
          <w:numId w:val="28"/>
        </w:numPr>
        <w:autoSpaceDN/>
        <w:spacing w:after="60" w:line="259" w:lineRule="auto"/>
        <w:ind w:left="426"/>
        <w:contextualSpacing w:val="0"/>
        <w:textAlignment w:val="auto"/>
      </w:pPr>
      <w:r>
        <w:t>In Nijmegen is op 11 juni de starthandeling verricht voor de flinke uitbreiding en vernieuwing van station Nijmegen; de werkzaamheden zijn nu goed zichtbaar. Het is het laatste station op de corridor Schiphol-Utrecht-Nijmegen dat ProRail ingrijpend aanpast.</w:t>
      </w:r>
    </w:p>
    <w:p w:rsidRPr="006B6E31" w:rsidR="009C32B6" w:rsidP="006E1922" w:rsidRDefault="005C46F4" w14:paraId="5F09819F" w14:textId="5D40013D">
      <w:pPr>
        <w:pStyle w:val="ListParagraph"/>
        <w:numPr>
          <w:ilvl w:val="0"/>
          <w:numId w:val="28"/>
        </w:numPr>
        <w:autoSpaceDN/>
        <w:spacing w:after="60" w:line="259" w:lineRule="auto"/>
        <w:ind w:left="426"/>
        <w:contextualSpacing w:val="0"/>
        <w:textAlignment w:val="auto"/>
      </w:pPr>
      <w:r w:rsidRPr="006B6E31">
        <w:rPr>
          <w:color w:val="auto"/>
        </w:rPr>
        <w:lastRenderedPageBreak/>
        <w:t>Op de corridor Breda-Eindhoven blijft de voortgang op het maatregelenpakket in Boxtel achter als gevolg van vertraging van de planologische procedures</w:t>
      </w:r>
      <w:r w:rsidRPr="006B6E31" w:rsidR="00E12052">
        <w:rPr>
          <w:color w:val="auto"/>
        </w:rPr>
        <w:t>, o</w:t>
      </w:r>
      <w:r w:rsidR="00827BDA">
        <w:rPr>
          <w:color w:val="auto"/>
        </w:rPr>
        <w:t>nder andere</w:t>
      </w:r>
      <w:r w:rsidRPr="006B6E31" w:rsidR="00E12052">
        <w:rPr>
          <w:color w:val="auto"/>
        </w:rPr>
        <w:t xml:space="preserve"> gerelateerd aan de stikstofproblematiek</w:t>
      </w:r>
      <w:r w:rsidRPr="006B6E31">
        <w:rPr>
          <w:color w:val="auto"/>
        </w:rPr>
        <w:t>.</w:t>
      </w:r>
      <w:r w:rsidRPr="006B6E31" w:rsidR="00A209A7">
        <w:rPr>
          <w:color w:val="auto"/>
        </w:rPr>
        <w:t xml:space="preserve"> </w:t>
      </w:r>
      <w:r w:rsidR="00E00737">
        <w:rPr>
          <w:color w:val="auto"/>
        </w:rPr>
        <w:t>Samen</w:t>
      </w:r>
      <w:r w:rsidRPr="006B6E31" w:rsidR="00E00737">
        <w:rPr>
          <w:color w:val="auto"/>
        </w:rPr>
        <w:t xml:space="preserve"> </w:t>
      </w:r>
      <w:r w:rsidR="00E00737">
        <w:rPr>
          <w:color w:val="auto"/>
        </w:rPr>
        <w:t>met</w:t>
      </w:r>
      <w:r w:rsidRPr="006B6E31" w:rsidR="00274414">
        <w:rPr>
          <w:color w:val="auto"/>
        </w:rPr>
        <w:t xml:space="preserve"> </w:t>
      </w:r>
      <w:r w:rsidR="00E00737">
        <w:rPr>
          <w:color w:val="auto"/>
        </w:rPr>
        <w:t xml:space="preserve">de </w:t>
      </w:r>
      <w:r w:rsidRPr="006B6E31" w:rsidR="00274414">
        <w:rPr>
          <w:color w:val="auto"/>
        </w:rPr>
        <w:t xml:space="preserve">regio </w:t>
      </w:r>
      <w:r w:rsidR="00E00737">
        <w:rPr>
          <w:color w:val="auto"/>
        </w:rPr>
        <w:t xml:space="preserve">wordt </w:t>
      </w:r>
      <w:r w:rsidRPr="006B6E31" w:rsidR="00E12052">
        <w:rPr>
          <w:color w:val="auto"/>
        </w:rPr>
        <w:t>de mogelijkheid van een tussentijdse oplossing</w:t>
      </w:r>
      <w:r w:rsidR="00E00737">
        <w:rPr>
          <w:color w:val="auto"/>
        </w:rPr>
        <w:t xml:space="preserve"> onderzocht</w:t>
      </w:r>
      <w:r w:rsidRPr="006B6E31" w:rsidR="00A209A7">
        <w:rPr>
          <w:color w:val="auto"/>
        </w:rPr>
        <w:t>.</w:t>
      </w:r>
    </w:p>
    <w:p w:rsidRPr="00416385" w:rsidR="00416385" w:rsidP="00416385" w:rsidRDefault="00416385" w14:paraId="18153A71" w14:textId="4C4F5CA9">
      <w:pPr>
        <w:pStyle w:val="ListParagraph"/>
        <w:numPr>
          <w:ilvl w:val="0"/>
          <w:numId w:val="28"/>
        </w:numPr>
        <w:autoSpaceDN/>
        <w:spacing w:after="60" w:line="259" w:lineRule="auto"/>
        <w:ind w:left="426"/>
        <w:contextualSpacing w:val="0"/>
        <w:textAlignment w:val="auto"/>
      </w:pPr>
      <w:r>
        <w:t>Op de goederencorridor Zuid-Nederland</w:t>
      </w:r>
      <w:r w:rsidRPr="00957046">
        <w:t xml:space="preserve"> wordt gewerkt aan </w:t>
      </w:r>
      <w:r>
        <w:t>een</w:t>
      </w:r>
      <w:r w:rsidRPr="00957046">
        <w:t xml:space="preserve"> aftakking van de Betuweroute</w:t>
      </w:r>
      <w:r>
        <w:t>. Door de aanleg van de boog bij Meteren kunnen</w:t>
      </w:r>
      <w:r w:rsidRPr="00957046">
        <w:t xml:space="preserve"> </w:t>
      </w:r>
      <w:r>
        <w:t>reizigers</w:t>
      </w:r>
      <w:r w:rsidRPr="00957046">
        <w:t xml:space="preserve">- en goederentreinen </w:t>
      </w:r>
      <w:r>
        <w:t xml:space="preserve">straks </w:t>
      </w:r>
      <w:r w:rsidRPr="00957046">
        <w:t>meer gescheiden rijden</w:t>
      </w:r>
      <w:r w:rsidR="00350738">
        <w:t xml:space="preserve"> en ontstaat ruimte voor meer reizigerstreinen op de corridor Breda-Eindhoven</w:t>
      </w:r>
      <w:r w:rsidRPr="00957046" w:rsidR="00350738">
        <w:t>.</w:t>
      </w:r>
    </w:p>
    <w:p w:rsidRPr="003D2B8C" w:rsidR="001D2FB6" w:rsidP="006E1922" w:rsidRDefault="001945DD" w14:paraId="0588F679" w14:textId="373D3F4F">
      <w:pPr>
        <w:pStyle w:val="ListParagraph"/>
        <w:numPr>
          <w:ilvl w:val="0"/>
          <w:numId w:val="28"/>
        </w:numPr>
        <w:autoSpaceDN/>
        <w:spacing w:after="60" w:line="259" w:lineRule="auto"/>
        <w:ind w:left="426"/>
        <w:contextualSpacing w:val="0"/>
        <w:textAlignment w:val="auto"/>
      </w:pPr>
      <w:r w:rsidRPr="003D2B8C">
        <w:rPr>
          <w:rFonts w:eastAsia="Verdana" w:cs="Verdana"/>
        </w:rPr>
        <w:t xml:space="preserve">Op de </w:t>
      </w:r>
      <w:r w:rsidR="0037672A">
        <w:rPr>
          <w:rFonts w:eastAsia="Verdana" w:cs="Verdana"/>
        </w:rPr>
        <w:t>Schiphol-Amsterdam-Almere-Lelystad (</w:t>
      </w:r>
      <w:r w:rsidRPr="003D2B8C">
        <w:rPr>
          <w:rFonts w:eastAsia="Verdana" w:cs="Verdana"/>
        </w:rPr>
        <w:t>SAAL</w:t>
      </w:r>
      <w:r w:rsidR="0037672A">
        <w:rPr>
          <w:rFonts w:eastAsia="Verdana" w:cs="Verdana"/>
        </w:rPr>
        <w:t>)-</w:t>
      </w:r>
      <w:r w:rsidRPr="003D2B8C">
        <w:rPr>
          <w:rFonts w:eastAsia="Verdana" w:cs="Verdana"/>
        </w:rPr>
        <w:t xml:space="preserve">corridor is </w:t>
      </w:r>
      <w:r w:rsidRPr="003D2B8C" w:rsidR="003D2B8C">
        <w:rPr>
          <w:rFonts w:eastAsia="Verdana" w:cs="Verdana"/>
        </w:rPr>
        <w:t xml:space="preserve">de aanbesteding voor de </w:t>
      </w:r>
      <w:r w:rsidRPr="003D2B8C">
        <w:rPr>
          <w:rFonts w:eastAsia="Verdana" w:cs="Verdana"/>
        </w:rPr>
        <w:t xml:space="preserve">verbeterde transfervoorzieningen in Weesp </w:t>
      </w:r>
      <w:r w:rsidRPr="003D2B8C" w:rsidR="003D2B8C">
        <w:rPr>
          <w:rFonts w:eastAsia="Verdana" w:cs="Verdana"/>
        </w:rPr>
        <w:t xml:space="preserve">gestart </w:t>
      </w:r>
      <w:r w:rsidRPr="003D2B8C">
        <w:rPr>
          <w:rFonts w:eastAsia="Verdana" w:cs="Verdana"/>
        </w:rPr>
        <w:t xml:space="preserve">en </w:t>
      </w:r>
      <w:r w:rsidRPr="003D2B8C" w:rsidR="001C20FB">
        <w:rPr>
          <w:rFonts w:eastAsia="Verdana" w:cs="Verdana"/>
        </w:rPr>
        <w:t>is de projectbeslissing voor de verbeterde transfervoorzieningen bij station</w:t>
      </w:r>
      <w:r w:rsidRPr="003D2B8C">
        <w:rPr>
          <w:rFonts w:eastAsia="Verdana" w:cs="Verdana"/>
        </w:rPr>
        <w:t xml:space="preserve"> </w:t>
      </w:r>
      <w:r w:rsidR="00E930A7">
        <w:rPr>
          <w:rFonts w:eastAsia="Verdana" w:cs="Verdana"/>
        </w:rPr>
        <w:t xml:space="preserve">Amsterdam </w:t>
      </w:r>
      <w:r w:rsidRPr="003D2B8C" w:rsidR="001C20FB">
        <w:rPr>
          <w:rFonts w:eastAsia="Verdana" w:cs="Verdana"/>
        </w:rPr>
        <w:t>Muiderpoort</w:t>
      </w:r>
      <w:r w:rsidR="0019381A">
        <w:rPr>
          <w:rFonts w:eastAsia="Verdana" w:cs="Verdana"/>
        </w:rPr>
        <w:t xml:space="preserve"> genomen</w:t>
      </w:r>
      <w:r w:rsidRPr="003D2B8C">
        <w:rPr>
          <w:rFonts w:eastAsia="Verdana" w:cs="Verdana"/>
        </w:rPr>
        <w:t>.</w:t>
      </w:r>
    </w:p>
    <w:p w:rsidR="001C20FB" w:rsidP="00416385" w:rsidRDefault="001C20FB" w14:paraId="204238AF" w14:textId="7B7C6197">
      <w:pPr>
        <w:pStyle w:val="ListParagraph"/>
        <w:numPr>
          <w:ilvl w:val="0"/>
          <w:numId w:val="28"/>
        </w:numPr>
        <w:autoSpaceDN/>
        <w:spacing w:after="60" w:line="259" w:lineRule="auto"/>
        <w:ind w:left="426"/>
        <w:contextualSpacing w:val="0"/>
        <w:textAlignment w:val="auto"/>
      </w:pPr>
      <w:r>
        <w:t>Op 30 juni vond de zitting bij de Raad van State plaats inzake het Tracébesluit voor het traject Alkmaar-Amsterdam. Op 23 juli volgde de uitspraak</w:t>
      </w:r>
      <w:r w:rsidR="00E930A7">
        <w:t>,</w:t>
      </w:r>
      <w:r w:rsidR="00594385">
        <w:t xml:space="preserve"> die</w:t>
      </w:r>
      <w:r>
        <w:t xml:space="preserve"> groen licht </w:t>
      </w:r>
      <w:r w:rsidR="00594385">
        <w:t xml:space="preserve">geeft </w:t>
      </w:r>
      <w:r>
        <w:t>voor de aanpassingen aan het spoor</w:t>
      </w:r>
      <w:r w:rsidR="002B51F4">
        <w:t xml:space="preserve"> en station Uitgeest</w:t>
      </w:r>
      <w:r>
        <w:t>.</w:t>
      </w:r>
    </w:p>
    <w:p w:rsidRPr="00A71FAB" w:rsidR="00A5331A" w:rsidP="00416385" w:rsidRDefault="00421702" w14:paraId="089CDB44" w14:textId="78B126C4">
      <w:pPr>
        <w:pStyle w:val="ListParagraph"/>
        <w:numPr>
          <w:ilvl w:val="0"/>
          <w:numId w:val="28"/>
        </w:numPr>
        <w:autoSpaceDN/>
        <w:spacing w:after="60" w:line="259" w:lineRule="auto"/>
        <w:ind w:left="426"/>
        <w:contextualSpacing w:val="0"/>
        <w:textAlignment w:val="auto"/>
      </w:pPr>
      <w:r>
        <w:t xml:space="preserve">Het belangrijkste risico voor PHS </w:t>
      </w:r>
      <w:r w:rsidR="002F549F">
        <w:t>blijft</w:t>
      </w:r>
      <w:r>
        <w:t xml:space="preserve"> de personele schaarste bij aannemers in de spoorsector. Dit raakt de planning en uitvoering van werkzaamheden</w:t>
      </w:r>
      <w:r w:rsidR="004B1986">
        <w:t>, onder andere door beperkte beschikbaarheid van treinvrije periodes</w:t>
      </w:r>
      <w:r w:rsidR="00594385">
        <w:t xml:space="preserve">. Dit is </w:t>
      </w:r>
      <w:r>
        <w:t xml:space="preserve">een </w:t>
      </w:r>
      <w:r w:rsidR="0037672A">
        <w:t>toenemend</w:t>
      </w:r>
      <w:r w:rsidR="002F549F">
        <w:t xml:space="preserve">e </w:t>
      </w:r>
      <w:r>
        <w:t>uitdaging in de realisatiefase.</w:t>
      </w:r>
    </w:p>
    <w:p w:rsidRPr="00D5576E" w:rsidR="00575E8C" w:rsidP="003A6ECE" w:rsidRDefault="00575E8C" w14:paraId="1AFFEC74" w14:textId="77777777"/>
    <w:p w:rsidRPr="00684E7A" w:rsidR="00575E8C" w:rsidP="00575E8C" w:rsidRDefault="00575E8C" w14:paraId="23CEF690" w14:textId="77777777">
      <w:pPr>
        <w:rPr>
          <w:i/>
          <w:iCs/>
        </w:rPr>
      </w:pPr>
      <w:bookmarkStart w:name="_Hlk205902661" w:id="1"/>
      <w:r w:rsidRPr="00684E7A">
        <w:rPr>
          <w:i/>
          <w:iCs/>
        </w:rPr>
        <w:t>ERTMS en SAAL</w:t>
      </w:r>
    </w:p>
    <w:p w:rsidR="00506EE2" w:rsidP="00506EE2" w:rsidRDefault="00575E8C" w14:paraId="4E9F9DE2" w14:textId="0AD27BC8">
      <w:pPr>
        <w:spacing w:after="60"/>
      </w:pPr>
      <w:r w:rsidRPr="00F97E9E">
        <w:t xml:space="preserve">De Kamer ontvangt binnenkort ook de </w:t>
      </w:r>
      <w:r w:rsidRPr="00F97E9E" w:rsidR="006004A7">
        <w:t>2</w:t>
      </w:r>
      <w:r w:rsidRPr="00F97E9E" w:rsidR="00F97E9E">
        <w:t>3</w:t>
      </w:r>
      <w:r w:rsidRPr="00F97E9E" w:rsidR="006004A7">
        <w:rPr>
          <w:vertAlign w:val="superscript"/>
        </w:rPr>
        <w:t>e</w:t>
      </w:r>
      <w:r w:rsidRPr="00F97E9E" w:rsidR="006004A7">
        <w:t xml:space="preserve"> </w:t>
      </w:r>
      <w:r w:rsidRPr="00F97E9E">
        <w:t>voortgangsrapportage van ERTMS.</w:t>
      </w:r>
      <w:r w:rsidR="00F97E9E">
        <w:t xml:space="preserve"> Hierin wordt </w:t>
      </w:r>
      <w:r w:rsidR="00CB5DF7">
        <w:t xml:space="preserve">ingegaan op de voortgang van het </w:t>
      </w:r>
      <w:r w:rsidR="00F97E9E">
        <w:t>programma ERTMS</w:t>
      </w:r>
      <w:r w:rsidR="007104FB">
        <w:t xml:space="preserve"> </w:t>
      </w:r>
      <w:r w:rsidR="00CB5DF7">
        <w:t>en</w:t>
      </w:r>
      <w:r w:rsidR="00F97E9E">
        <w:t xml:space="preserve"> de samenhang met PHS. </w:t>
      </w:r>
      <w:r w:rsidRPr="00350738" w:rsidR="00350738">
        <w:t xml:space="preserve">Voor het realiseren van hoogfrequent spoorvervoer, onder andere op de SAAL-corridor, is de invoering van </w:t>
      </w:r>
      <w:r w:rsidRPr="00F97E9E" w:rsidR="00251DA5">
        <w:t>ERTMS noodzakelijk</w:t>
      </w:r>
      <w:r w:rsidR="00350738">
        <w:t>.</w:t>
      </w:r>
    </w:p>
    <w:p w:rsidRPr="00427B4E" w:rsidR="002D4805" w:rsidP="00506EE2" w:rsidRDefault="00350738" w14:paraId="7EC78644" w14:textId="3CF20133">
      <w:pPr>
        <w:spacing w:after="60"/>
      </w:pPr>
      <w:r>
        <w:t>I</w:t>
      </w:r>
      <w:r w:rsidRPr="000A7AA5">
        <w:t>n de HRN-concessie 2025-2033</w:t>
      </w:r>
      <w:r>
        <w:t xml:space="preserve"> is opgenomen dat het </w:t>
      </w:r>
      <w:r w:rsidRPr="00427B4E" w:rsidR="002D4805">
        <w:t>SAAL</w:t>
      </w:r>
      <w:r w:rsidRPr="00427B4E" w:rsidR="00A71FAB">
        <w:t>-</w:t>
      </w:r>
      <w:r w:rsidRPr="00427B4E" w:rsidR="002D4805">
        <w:t>dienstregeling</w:t>
      </w:r>
      <w:r>
        <w:t>smodel uiterlijk in 2033 gerealiseerd wordt.</w:t>
      </w:r>
      <w:r w:rsidRPr="00427B4E" w:rsidR="002D4805">
        <w:t xml:space="preserve"> </w:t>
      </w:r>
      <w:r>
        <w:t xml:space="preserve">Ook hebben Rijk en regio </w:t>
      </w:r>
      <w:r w:rsidR="000117BF">
        <w:t>over deze mijlpaal een</w:t>
      </w:r>
      <w:r>
        <w:t xml:space="preserve"> bestuurlijke afspraak gemaakt</w:t>
      </w:r>
      <w:r w:rsidR="000117BF">
        <w:t xml:space="preserve">. </w:t>
      </w:r>
      <w:r w:rsidR="0037672A">
        <w:t xml:space="preserve">Zoals aan </w:t>
      </w:r>
      <w:r w:rsidR="006E6BE2">
        <w:t>de</w:t>
      </w:r>
      <w:r w:rsidR="0037672A">
        <w:t xml:space="preserve"> Kamer gemeld</w:t>
      </w:r>
      <w:r w:rsidR="00804106">
        <w:t>,</w:t>
      </w:r>
      <w:r w:rsidRPr="00C607D5" w:rsidR="0037672A">
        <w:t xml:space="preserve"> </w:t>
      </w:r>
      <w:r w:rsidRPr="00C607D5" w:rsidR="00C607D5">
        <w:t xml:space="preserve">is de SAAL-corridor geen onderdeel van de eerste tranche van het </w:t>
      </w:r>
      <w:r>
        <w:t>ERTMS</w:t>
      </w:r>
      <w:r w:rsidR="004B1986">
        <w:t>-</w:t>
      </w:r>
      <w:r w:rsidRPr="00C607D5" w:rsidR="00C607D5">
        <w:t>programma</w:t>
      </w:r>
      <w:r w:rsidR="006E6BE2">
        <w:rPr>
          <w:rStyle w:val="FootnoteReference"/>
        </w:rPr>
        <w:footnoteReference w:id="3"/>
      </w:r>
      <w:r w:rsidRPr="00C607D5" w:rsidR="00C607D5">
        <w:t>.</w:t>
      </w:r>
      <w:r w:rsidR="00C607D5">
        <w:t xml:space="preserve"> </w:t>
      </w:r>
      <w:r w:rsidR="0037672A">
        <w:t>H</w:t>
      </w:r>
      <w:r w:rsidRPr="00C607D5" w:rsidR="00C607D5">
        <w:t xml:space="preserve">et uitgangspunt blijft dat de invoering van </w:t>
      </w:r>
      <w:r w:rsidR="0037672A">
        <w:t xml:space="preserve">de beoogde </w:t>
      </w:r>
      <w:r w:rsidR="000117BF">
        <w:t>dienstregeling</w:t>
      </w:r>
      <w:r w:rsidRPr="00C607D5" w:rsidR="00C607D5">
        <w:t xml:space="preserve"> uiterlijk in 2033 plaatsvindt, </w:t>
      </w:r>
      <w:r w:rsidR="00DA0B1E">
        <w:t xml:space="preserve">maar </w:t>
      </w:r>
      <w:r w:rsidR="0037672A">
        <w:t xml:space="preserve">het </w:t>
      </w:r>
      <w:r w:rsidRPr="00C607D5" w:rsidR="00C607D5">
        <w:t>is</w:t>
      </w:r>
      <w:r>
        <w:t xml:space="preserve"> </w:t>
      </w:r>
      <w:r w:rsidRPr="00C607D5" w:rsidR="00C607D5">
        <w:t>onzeker of dit gehaald</w:t>
      </w:r>
      <w:r>
        <w:t xml:space="preserve"> kan worden</w:t>
      </w:r>
      <w:r w:rsidRPr="00C607D5" w:rsidR="00C607D5">
        <w:t>.</w:t>
      </w:r>
      <w:r>
        <w:t xml:space="preserve"> </w:t>
      </w:r>
      <w:r w:rsidRPr="00B606F7">
        <w:t>De komende periode word</w:t>
      </w:r>
      <w:r w:rsidR="0090512B">
        <w:t xml:space="preserve">en </w:t>
      </w:r>
      <w:r w:rsidR="00D234E3">
        <w:t xml:space="preserve">de </w:t>
      </w:r>
      <w:r w:rsidRPr="00B606F7">
        <w:t xml:space="preserve">betrokken </w:t>
      </w:r>
      <w:r w:rsidR="0090512B">
        <w:t xml:space="preserve">partijen meegenomen </w:t>
      </w:r>
      <w:r w:rsidRPr="00B606F7">
        <w:t>bij de afwegingen over de vervolgstappen in de uitrol</w:t>
      </w:r>
      <w:r w:rsidR="00F84D1B">
        <w:t xml:space="preserve"> van ERTMS</w:t>
      </w:r>
      <w:r w:rsidR="000117BF">
        <w:t>.</w:t>
      </w:r>
    </w:p>
    <w:bookmarkEnd w:id="1"/>
    <w:p w:rsidRPr="00D5576E" w:rsidR="00D84F2B" w:rsidP="00E56273" w:rsidRDefault="00D84F2B" w14:paraId="286C934C" w14:textId="279758E1"/>
    <w:p w:rsidR="009D74CF" w:rsidP="009D74CF" w:rsidRDefault="009D74CF" w14:paraId="12649819" w14:textId="77777777">
      <w:pPr>
        <w:rPr>
          <w:b/>
          <w:bCs/>
        </w:rPr>
      </w:pPr>
      <w:r w:rsidRPr="003A6ECE">
        <w:rPr>
          <w:b/>
          <w:bCs/>
        </w:rPr>
        <w:t>Financiële stand van zaken</w:t>
      </w:r>
    </w:p>
    <w:p w:rsidR="00421702" w:rsidP="000C4836" w:rsidRDefault="009B0110" w14:paraId="1EBE5D90" w14:textId="2B24E4F5">
      <w:pPr>
        <w:spacing w:after="60"/>
      </w:pPr>
      <w:r>
        <w:t xml:space="preserve">PHS is een omvangrijk programma met een budget van </w:t>
      </w:r>
      <w:r w:rsidR="00BC7935">
        <w:t>ca.</w:t>
      </w:r>
      <w:r>
        <w:t xml:space="preserve"> </w:t>
      </w:r>
      <w:r w:rsidRPr="00FD3AA2">
        <w:t xml:space="preserve">€ </w:t>
      </w:r>
      <w:r>
        <w:t>5 m</w:t>
      </w:r>
      <w:r w:rsidR="00BE6790">
        <w:t>iljard</w:t>
      </w:r>
      <w:r>
        <w:t xml:space="preserve"> waarvan het merendeel </w:t>
      </w:r>
      <w:r w:rsidR="00BC7935">
        <w:t xml:space="preserve">al </w:t>
      </w:r>
      <w:r>
        <w:t>besteed of verplicht is.</w:t>
      </w:r>
      <w:r w:rsidR="00421702">
        <w:t xml:space="preserve"> </w:t>
      </w:r>
      <w:r w:rsidRPr="00CB5DF7" w:rsidR="00CB5DF7">
        <w:t xml:space="preserve">In </w:t>
      </w:r>
      <w:r w:rsidR="00E56273">
        <w:t xml:space="preserve">deze verslagperiode is het potentieel tekort van het programma afgenomen van </w:t>
      </w:r>
      <w:r w:rsidR="00324DB0">
        <w:t xml:space="preserve">€ </w:t>
      </w:r>
      <w:r w:rsidR="001C20FB">
        <w:t>15</w:t>
      </w:r>
      <w:r w:rsidR="00E56273">
        <w:t xml:space="preserve">0 </w:t>
      </w:r>
      <w:r w:rsidR="001A38CD">
        <w:t>m</w:t>
      </w:r>
      <w:r w:rsidR="00BE6790">
        <w:t>iljoen</w:t>
      </w:r>
      <w:r w:rsidR="00E56273">
        <w:t xml:space="preserve"> naar </w:t>
      </w:r>
      <w:r w:rsidR="00324DB0">
        <w:t xml:space="preserve">€ </w:t>
      </w:r>
      <w:r w:rsidR="00E56273">
        <w:t>10</w:t>
      </w:r>
      <w:r w:rsidR="001C20FB">
        <w:t>6</w:t>
      </w:r>
      <w:r w:rsidR="00E56273">
        <w:t xml:space="preserve"> m</w:t>
      </w:r>
      <w:r w:rsidR="00BE6790">
        <w:t>iljoen</w:t>
      </w:r>
      <w:r w:rsidR="00E56273">
        <w:t>. D</w:t>
      </w:r>
      <w:r w:rsidR="006712A5">
        <w:t>it</w:t>
      </w:r>
      <w:r w:rsidR="004956DE">
        <w:t xml:space="preserve"> </w:t>
      </w:r>
      <w:r w:rsidR="00E56273">
        <w:t xml:space="preserve">is </w:t>
      </w:r>
      <w:r w:rsidR="0019381A">
        <w:t xml:space="preserve">met name </w:t>
      </w:r>
      <w:r w:rsidR="00E56273">
        <w:t xml:space="preserve">het gevolg van </w:t>
      </w:r>
      <w:r w:rsidR="001C20FB">
        <w:t>de afronding van de corridor Den Haag-Rotterdam-Breda</w:t>
      </w:r>
      <w:r w:rsidR="00BA7BBA">
        <w:t xml:space="preserve"> met </w:t>
      </w:r>
      <w:r w:rsidR="00C66410">
        <w:t xml:space="preserve">een </w:t>
      </w:r>
      <w:r w:rsidR="00BA7BBA">
        <w:t>positief resultaat</w:t>
      </w:r>
      <w:r w:rsidR="00AB0937">
        <w:t xml:space="preserve"> en lager</w:t>
      </w:r>
      <w:r w:rsidR="00DA2299">
        <w:t xml:space="preserve"> uitgevallen </w:t>
      </w:r>
      <w:r w:rsidR="00AB0937">
        <w:t xml:space="preserve">kosten voor </w:t>
      </w:r>
      <w:r w:rsidR="00C42C0A">
        <w:t>sein</w:t>
      </w:r>
      <w:r w:rsidR="002B51F4">
        <w:t>optimalisatie op de corridor Schiphol-Utrecht-Nijmegen</w:t>
      </w:r>
      <w:r w:rsidR="00AB0937">
        <w:t xml:space="preserve">. Ook is een budgetcompensatie voor eerdere excessieve prijsstijgingen verkregen als gevolg van </w:t>
      </w:r>
      <w:r w:rsidR="00E56273">
        <w:t>keuzes in de begroting 2025</w:t>
      </w:r>
      <w:r w:rsidR="00AB0937">
        <w:t>.</w:t>
      </w:r>
      <w:r w:rsidR="00DA2299">
        <w:t xml:space="preserve"> </w:t>
      </w:r>
    </w:p>
    <w:p w:rsidR="00880BC1" w:rsidP="00880BC1" w:rsidRDefault="00DA3754" w14:paraId="7BC27550" w14:textId="12A48F7C">
      <w:pPr>
        <w:spacing w:after="60"/>
      </w:pPr>
      <w:bookmarkStart w:name="_Hlk208487906" w:id="2"/>
      <w:r>
        <w:t xml:space="preserve">Naast deze positieve </w:t>
      </w:r>
      <w:r w:rsidR="004641D5">
        <w:t xml:space="preserve">financiële </w:t>
      </w:r>
      <w:r>
        <w:t xml:space="preserve">ontwikkeling wordt </w:t>
      </w:r>
      <w:r w:rsidR="00FE6E1E">
        <w:t xml:space="preserve">PHS </w:t>
      </w:r>
      <w:r w:rsidR="00DC005A">
        <w:t xml:space="preserve">ook </w:t>
      </w:r>
      <w:r w:rsidR="00FE6E1E">
        <w:t>geraakt door de in de Voorjaars</w:t>
      </w:r>
      <w:r w:rsidR="00BC71D0">
        <w:t xml:space="preserve">nota </w:t>
      </w:r>
      <w:r w:rsidR="003212FE">
        <w:t xml:space="preserve">2025 </w:t>
      </w:r>
      <w:r w:rsidRPr="00CA077E" w:rsidR="003212FE">
        <w:t>doorgevoerde</w:t>
      </w:r>
      <w:r w:rsidR="00FE6E1E">
        <w:t xml:space="preserve"> </w:t>
      </w:r>
      <w:r w:rsidR="003212FE">
        <w:t>korting op de prijsbijstelling op het Mobiliteits-fonds</w:t>
      </w:r>
      <w:r w:rsidR="00FE6E1E">
        <w:t>.</w:t>
      </w:r>
      <w:r w:rsidR="009B0110">
        <w:t xml:space="preserve"> </w:t>
      </w:r>
      <w:r w:rsidR="0079227A">
        <w:t>Als gevolg van de</w:t>
      </w:r>
      <w:r w:rsidR="009A5FC8">
        <w:t xml:space="preserve"> </w:t>
      </w:r>
      <w:r w:rsidR="006532B0">
        <w:t>toedeling van deze korting</w:t>
      </w:r>
      <w:r w:rsidR="001445E6">
        <w:t xml:space="preserve"> </w:t>
      </w:r>
      <w:r w:rsidR="009A5FC8">
        <w:t>in de</w:t>
      </w:r>
      <w:r w:rsidR="00880BC1">
        <w:t xml:space="preserve"> </w:t>
      </w:r>
      <w:r w:rsidR="003212FE">
        <w:t>O</w:t>
      </w:r>
      <w:r w:rsidR="00880BC1">
        <w:t>ntwerpbegroting</w:t>
      </w:r>
      <w:r w:rsidR="00CE74B2">
        <w:t xml:space="preserve"> </w:t>
      </w:r>
      <w:r w:rsidR="003212FE">
        <w:t xml:space="preserve">2026 </w:t>
      </w:r>
      <w:r w:rsidR="00CE74B2">
        <w:t xml:space="preserve">is de </w:t>
      </w:r>
      <w:r w:rsidR="003212FE">
        <w:t xml:space="preserve">verwachte </w:t>
      </w:r>
      <w:r w:rsidR="00CE74B2">
        <w:t>impact</w:t>
      </w:r>
      <w:r w:rsidR="001445E6">
        <w:t xml:space="preserve"> </w:t>
      </w:r>
      <w:r w:rsidR="0079227A">
        <w:t>van</w:t>
      </w:r>
      <w:r w:rsidR="00E44139">
        <w:t xml:space="preserve"> de</w:t>
      </w:r>
      <w:r w:rsidR="003212FE">
        <w:t>ze</w:t>
      </w:r>
      <w:r w:rsidR="00E44139">
        <w:t xml:space="preserve"> taakstelling </w:t>
      </w:r>
      <w:r w:rsidRPr="00331285" w:rsidR="00880BC1">
        <w:t xml:space="preserve">een </w:t>
      </w:r>
      <w:r w:rsidR="007717A6">
        <w:t>toename</w:t>
      </w:r>
      <w:r w:rsidRPr="00331285" w:rsidR="00880BC1">
        <w:t xml:space="preserve"> </w:t>
      </w:r>
      <w:r w:rsidRPr="00331285" w:rsidR="00CE74B2">
        <w:t xml:space="preserve">van het potentieel tekort </w:t>
      </w:r>
      <w:r w:rsidRPr="00331285" w:rsidR="00880BC1">
        <w:t xml:space="preserve">van </w:t>
      </w:r>
      <w:r w:rsidRPr="00331285" w:rsidR="00E45C2A">
        <w:t xml:space="preserve">ca. </w:t>
      </w:r>
      <w:r w:rsidRPr="00331285" w:rsidR="009A5FC8">
        <w:t>€ 4</w:t>
      </w:r>
      <w:r w:rsidR="001679AA">
        <w:t>4</w:t>
      </w:r>
      <w:r w:rsidRPr="00331285" w:rsidR="009A5FC8">
        <w:t xml:space="preserve"> </w:t>
      </w:r>
      <w:r w:rsidR="00BE6790">
        <w:t>miljoen</w:t>
      </w:r>
      <w:r w:rsidRPr="00331285" w:rsidR="00E930A7">
        <w:t>,</w:t>
      </w:r>
      <w:r w:rsidRPr="00331285" w:rsidR="0037672A">
        <w:t xml:space="preserve"> </w:t>
      </w:r>
      <w:r w:rsidR="003212FE">
        <w:t>die in de volgende verslagperiode zichtbaar wordt.</w:t>
      </w:r>
    </w:p>
    <w:bookmarkEnd w:id="2"/>
    <w:p w:rsidR="00CB5DF7" w:rsidP="00880BC1" w:rsidRDefault="00E56273" w14:paraId="3705668B" w14:textId="5348CF7B">
      <w:r>
        <w:t xml:space="preserve">Het niveau van het potentieel tekort is </w:t>
      </w:r>
      <w:r w:rsidR="00F641B5">
        <w:t xml:space="preserve">op dit moment </w:t>
      </w:r>
      <w:r>
        <w:t>passend bij de financiële omvang van PHS en de vergevorderde fase waarin het programma zich bevindt.</w:t>
      </w:r>
      <w:r w:rsidR="006712A5">
        <w:t xml:space="preserve"> </w:t>
      </w:r>
      <w:r>
        <w:t>Naast het potentieel tekort bestaan er exogene risico’s</w:t>
      </w:r>
      <w:r w:rsidR="00DC005A">
        <w:t xml:space="preserve"> </w:t>
      </w:r>
      <w:r>
        <w:t xml:space="preserve">waarvan de mogelijke impact geschat wordt op </w:t>
      </w:r>
      <w:r w:rsidRPr="00FD3AA2">
        <w:t xml:space="preserve">ca. </w:t>
      </w:r>
      <w:r w:rsidRPr="00FD3AA2" w:rsidR="00324DB0">
        <w:t xml:space="preserve">€ </w:t>
      </w:r>
      <w:r w:rsidRPr="00FD3AA2">
        <w:t>12</w:t>
      </w:r>
      <w:r w:rsidRPr="00FD3AA2" w:rsidR="00FD3AA2">
        <w:t>6</w:t>
      </w:r>
      <w:r w:rsidRPr="00FD3AA2">
        <w:t xml:space="preserve"> m</w:t>
      </w:r>
      <w:r w:rsidR="00BE6790">
        <w:t>iljoen</w:t>
      </w:r>
      <w:r w:rsidRPr="00FD3AA2">
        <w:t>. Tegenover</w:t>
      </w:r>
      <w:r>
        <w:t xml:space="preserve"> het potentieel tekort en de exogene risico’s staat een reservering in het Mobiliteitsfonds</w:t>
      </w:r>
      <w:r w:rsidR="00A71FAB">
        <w:t>.</w:t>
      </w:r>
      <w:r w:rsidR="00E44139">
        <w:t xml:space="preserve"> </w:t>
      </w:r>
    </w:p>
    <w:p w:rsidR="0037672A" w:rsidP="00880BC1" w:rsidRDefault="0037672A" w14:paraId="7CE0CABD" w14:textId="77777777"/>
    <w:p w:rsidRPr="006712A5" w:rsidR="00CB5DF7" w:rsidP="00906701" w:rsidRDefault="00CB5DF7" w14:paraId="0083A0F0" w14:textId="1E696524">
      <w:pPr>
        <w:rPr>
          <w:b/>
          <w:bCs/>
        </w:rPr>
      </w:pPr>
      <w:r w:rsidRPr="006712A5">
        <w:rPr>
          <w:b/>
          <w:bCs/>
        </w:rPr>
        <w:t>Vooruitblik</w:t>
      </w:r>
    </w:p>
    <w:p w:rsidRPr="00906701" w:rsidR="00906701" w:rsidP="00906701" w:rsidRDefault="00AB0937" w14:paraId="17DA3D88" w14:textId="3BFCF9C6">
      <w:pPr>
        <w:pStyle w:val="ListParagraph"/>
        <w:numPr>
          <w:ilvl w:val="0"/>
          <w:numId w:val="28"/>
        </w:numPr>
        <w:spacing w:after="60"/>
        <w:ind w:left="426" w:hanging="284"/>
        <w:contextualSpacing w:val="0"/>
      </w:pPr>
      <w:r w:rsidRPr="00906701">
        <w:t>Eind oktober</w:t>
      </w:r>
      <w:r>
        <w:t xml:space="preserve"> wordt naar verwachting het tijdelijk</w:t>
      </w:r>
      <w:r w:rsidR="00E930A7">
        <w:t>e</w:t>
      </w:r>
      <w:r>
        <w:t xml:space="preserve"> spoor in Vught opgeleverd. Dit </w:t>
      </w:r>
      <w:r w:rsidR="00DF564D">
        <w:t xml:space="preserve">is </w:t>
      </w:r>
      <w:r>
        <w:t>een belangrijke mijlpaal, waarna gestart kan worden met de aanleg van de verdiepte ligging van het spoor.</w:t>
      </w:r>
      <w:r w:rsidR="00632912">
        <w:t xml:space="preserve"> </w:t>
      </w:r>
    </w:p>
    <w:p w:rsidR="00CB5DF7" w:rsidP="00906701" w:rsidRDefault="00AB0937" w14:paraId="7BBFCA9D" w14:textId="101BDC2C">
      <w:pPr>
        <w:pStyle w:val="ListParagraph"/>
        <w:numPr>
          <w:ilvl w:val="0"/>
          <w:numId w:val="28"/>
        </w:numPr>
        <w:spacing w:after="60"/>
        <w:ind w:left="426" w:hanging="284"/>
        <w:contextualSpacing w:val="0"/>
      </w:pPr>
      <w:r>
        <w:t xml:space="preserve">In Amsterdam </w:t>
      </w:r>
      <w:r w:rsidR="000A7AA5">
        <w:t xml:space="preserve">wordt </w:t>
      </w:r>
      <w:r w:rsidR="00CB5DF7">
        <w:t xml:space="preserve">doorgewerkt aan de </w:t>
      </w:r>
      <w:r w:rsidR="00D234E3">
        <w:t xml:space="preserve">vernieuwing van de </w:t>
      </w:r>
      <w:r w:rsidR="00CB5DF7">
        <w:t xml:space="preserve">sporen. De perrons worden breder gemaakt en onder de sporen wordt de oostelijke reizigerstunnel verbreed en een nieuwe fietsenstalling </w:t>
      </w:r>
      <w:r w:rsidR="00C71489">
        <w:t>gebouwd</w:t>
      </w:r>
      <w:r w:rsidR="00CB5DF7">
        <w:t>. Daarnaast wordt gewerkt aan een vrije kruising, zodat treinen in de toekomst minder op elkaar hoeven te wachten bij het binnenrijden van Amsterdam Centraal.</w:t>
      </w:r>
    </w:p>
    <w:p w:rsidR="00906701" w:rsidP="00906701" w:rsidRDefault="00906701" w14:paraId="258B63CE" w14:textId="7A101FEE">
      <w:pPr>
        <w:pStyle w:val="ListParagraph"/>
        <w:numPr>
          <w:ilvl w:val="0"/>
          <w:numId w:val="28"/>
        </w:numPr>
        <w:autoSpaceDN/>
        <w:spacing w:after="60" w:line="259" w:lineRule="auto"/>
        <w:ind w:left="425" w:hanging="284"/>
        <w:contextualSpacing w:val="0"/>
        <w:textAlignment w:val="auto"/>
      </w:pPr>
      <w:r>
        <w:t>Voor de maatregelen op de locatie Alkmaar wordt binnenkort gestart met de aanbesteding.</w:t>
      </w:r>
    </w:p>
    <w:p w:rsidR="00587EDB" w:rsidP="00587EDB" w:rsidRDefault="00587EDB" w14:paraId="25784396" w14:textId="77777777">
      <w:pPr>
        <w:pStyle w:val="ListParagraph"/>
        <w:autoSpaceDN/>
        <w:spacing w:line="259" w:lineRule="auto"/>
        <w:ind w:left="426"/>
        <w:textAlignment w:val="auto"/>
      </w:pPr>
    </w:p>
    <w:p w:rsidRPr="003E0D19" w:rsidR="00DF3E34" w:rsidP="009D74CF" w:rsidRDefault="009D74CF" w14:paraId="3DE75DFA" w14:textId="5DDC7A2D">
      <w:pPr>
        <w:rPr>
          <w:b/>
          <w:bCs/>
          <w:color w:val="auto"/>
        </w:rPr>
      </w:pPr>
      <w:r w:rsidRPr="003A6ECE">
        <w:rPr>
          <w:b/>
          <w:bCs/>
          <w:color w:val="auto"/>
        </w:rPr>
        <w:t>Tot slot</w:t>
      </w:r>
    </w:p>
    <w:p w:rsidR="00726967" w:rsidP="009D74CF" w:rsidRDefault="00BC72EA" w14:paraId="62DAF50A" w14:textId="2A2EF3DA">
      <w:r>
        <w:t>Bij</w:t>
      </w:r>
      <w:r w:rsidR="00DF3E34">
        <w:t xml:space="preserve"> mijn aantreden </w:t>
      </w:r>
      <w:r w:rsidR="003E0D19">
        <w:t xml:space="preserve">heb ik </w:t>
      </w:r>
      <w:r w:rsidR="00906701">
        <w:t>vastgesteld</w:t>
      </w:r>
      <w:r w:rsidR="00DF3E34">
        <w:t xml:space="preserve"> </w:t>
      </w:r>
      <w:r w:rsidR="0073255F">
        <w:t xml:space="preserve">dat PHS een </w:t>
      </w:r>
      <w:r w:rsidR="00DA3754">
        <w:t xml:space="preserve">groot, </w:t>
      </w:r>
      <w:r w:rsidR="00DF3E34">
        <w:t>complex</w:t>
      </w:r>
      <w:r w:rsidR="003E0D19">
        <w:t xml:space="preserve"> </w:t>
      </w:r>
      <w:r w:rsidR="00DA3754">
        <w:t xml:space="preserve">en </w:t>
      </w:r>
      <w:r w:rsidR="003E0D19">
        <w:t>uitdagend</w:t>
      </w:r>
      <w:r w:rsidR="00DA3754">
        <w:t xml:space="preserve"> </w:t>
      </w:r>
      <w:r w:rsidR="00DF3E34">
        <w:t>programma is</w:t>
      </w:r>
      <w:r w:rsidR="00DA3754">
        <w:t>, waar</w:t>
      </w:r>
      <w:r w:rsidR="00FD1BCF">
        <w:t>in</w:t>
      </w:r>
      <w:r w:rsidR="00DA3754">
        <w:t xml:space="preserve"> ook deze verslagperiode weer belangrijke stappen zijn gezet</w:t>
      </w:r>
      <w:r w:rsidR="00DF3E34">
        <w:t xml:space="preserve">. </w:t>
      </w:r>
      <w:r w:rsidRPr="00D234E3" w:rsidR="00D234E3">
        <w:t xml:space="preserve">Het is mooi om te zien hoe dit tot zichtbare successen leidt. </w:t>
      </w:r>
      <w:r w:rsidR="001445E6">
        <w:t>Het realiseren van de beoogde frequentieverhogingen is voor een aantal corridors een complexe puzzel</w:t>
      </w:r>
      <w:r w:rsidR="00D234E3">
        <w:t>,</w:t>
      </w:r>
      <w:r w:rsidR="001445E6">
        <w:t xml:space="preserve"> door een veelvoud aan raakvlakken</w:t>
      </w:r>
      <w:r w:rsidR="00D234E3">
        <w:t xml:space="preserve"> en</w:t>
      </w:r>
      <w:r w:rsidR="001445E6">
        <w:t xml:space="preserve"> afhankelijkheden en</w:t>
      </w:r>
      <w:r w:rsidR="00BF5BC6">
        <w:t xml:space="preserve"> de</w:t>
      </w:r>
      <w:r w:rsidR="001445E6">
        <w:t xml:space="preserve"> </w:t>
      </w:r>
      <w:r w:rsidR="00F30DA6">
        <w:t xml:space="preserve">actuele </w:t>
      </w:r>
      <w:r w:rsidR="001445E6">
        <w:t>vervoersontwikkelingen.</w:t>
      </w:r>
      <w:r w:rsidR="00D234E3">
        <w:t xml:space="preserve"> </w:t>
      </w:r>
      <w:r w:rsidR="00DF3E34">
        <w:t xml:space="preserve">De </w:t>
      </w:r>
      <w:r w:rsidR="00FD1BCF">
        <w:t>uitvoering</w:t>
      </w:r>
      <w:r w:rsidR="00A10FCF">
        <w:t xml:space="preserve"> van PHS</w:t>
      </w:r>
      <w:r w:rsidR="00DF3E34">
        <w:t xml:space="preserve"> gaat </w:t>
      </w:r>
      <w:r w:rsidR="00450E17">
        <w:t xml:space="preserve">desondanks </w:t>
      </w:r>
      <w:r w:rsidR="00DF3E34">
        <w:t>onverminderd door</w:t>
      </w:r>
      <w:r w:rsidR="000C4836">
        <w:t>,</w:t>
      </w:r>
      <w:r w:rsidR="00BB7BCD">
        <w:t xml:space="preserve"> </w:t>
      </w:r>
      <w:r w:rsidR="000C4836">
        <w:t xml:space="preserve">met als doel een </w:t>
      </w:r>
      <w:r w:rsidR="00BB7BCD">
        <w:t xml:space="preserve">beter </w:t>
      </w:r>
      <w:r w:rsidR="00DF3E34">
        <w:t xml:space="preserve">spoorproduct voor de reizigers </w:t>
      </w:r>
      <w:r w:rsidR="00BB7BCD">
        <w:t xml:space="preserve">en </w:t>
      </w:r>
      <w:r w:rsidR="000C4836">
        <w:t xml:space="preserve">het mogelijk maken van </w:t>
      </w:r>
      <w:r w:rsidR="00DF3E34">
        <w:t xml:space="preserve">de groei van zowel het </w:t>
      </w:r>
      <w:r w:rsidR="00F30760">
        <w:t>reizigers</w:t>
      </w:r>
      <w:r w:rsidR="00BB7BCD">
        <w:t>-</w:t>
      </w:r>
      <w:r w:rsidR="00DF3E34">
        <w:t xml:space="preserve"> als goederenvervoer o</w:t>
      </w:r>
      <w:r w:rsidR="00BB7BCD">
        <w:t>p</w:t>
      </w:r>
      <w:r w:rsidR="00DF3E34">
        <w:t xml:space="preserve"> </w:t>
      </w:r>
      <w:r w:rsidR="000C4836">
        <w:t>ons</w:t>
      </w:r>
      <w:r w:rsidR="00DF3E34">
        <w:t xml:space="preserve"> </w:t>
      </w:r>
      <w:r w:rsidR="00BB7BCD">
        <w:t>intensief gebruikt</w:t>
      </w:r>
      <w:r w:rsidR="000C4836">
        <w:t>e</w:t>
      </w:r>
      <w:r w:rsidR="00BB7BCD">
        <w:t xml:space="preserve"> </w:t>
      </w:r>
      <w:r w:rsidR="00DF3E34">
        <w:t>spoorwegnet</w:t>
      </w:r>
      <w:r w:rsidR="0073255F">
        <w:t>.</w:t>
      </w:r>
      <w:r w:rsidR="000C4836">
        <w:t xml:space="preserve"> </w:t>
      </w:r>
      <w:r w:rsidRPr="00FE4A5F" w:rsidR="003E0D19">
        <w:t>Samen</w:t>
      </w:r>
      <w:r w:rsidR="00A10FCF">
        <w:t xml:space="preserve"> met de sectorpartijen en medeoverheden</w:t>
      </w:r>
      <w:r w:rsidRPr="00FE4A5F" w:rsidR="003E0D19">
        <w:t xml:space="preserve"> </w:t>
      </w:r>
      <w:r w:rsidR="00A10FCF">
        <w:t>zetten we alles op alles</w:t>
      </w:r>
      <w:r w:rsidRPr="00FE4A5F" w:rsidR="003E0D19">
        <w:t xml:space="preserve"> om het spoor verder klaar te maken voor de toekomst.</w:t>
      </w:r>
    </w:p>
    <w:p w:rsidR="000C4836" w:rsidP="009D74CF" w:rsidRDefault="000C4836" w14:paraId="6A90CCAB" w14:textId="77777777"/>
    <w:p w:rsidR="000C4836" w:rsidP="009D74CF" w:rsidRDefault="000C4836" w14:paraId="5CAFA057" w14:textId="77777777"/>
    <w:p w:rsidR="009D74CF" w:rsidP="009D74CF" w:rsidRDefault="009D74CF" w14:paraId="4B248591" w14:textId="08C8FE8D">
      <w:r>
        <w:t>Hoogachtend</w:t>
      </w:r>
      <w:r w:rsidR="005C6325">
        <w:t>,</w:t>
      </w:r>
    </w:p>
    <w:p w:rsidR="0063073A" w:rsidP="009D74CF" w:rsidRDefault="0063073A" w14:paraId="5E3DFC41" w14:textId="77777777"/>
    <w:p w:rsidR="009D74CF" w:rsidP="009D74CF" w:rsidRDefault="009D74CF" w14:paraId="5324EB35" w14:textId="1218D8B3">
      <w:r>
        <w:t xml:space="preserve">DE STAATSSECRETARIS VAN INFRASTRUCTUUR EN WATERSTAAT – OPENBAAR VERVOER EN MILIEU, </w:t>
      </w:r>
    </w:p>
    <w:p w:rsidR="009D74CF" w:rsidP="009D74CF" w:rsidRDefault="009D74CF" w14:paraId="4A6040CC" w14:textId="77777777"/>
    <w:p w:rsidR="00481E4F" w:rsidP="009D74CF" w:rsidRDefault="00481E4F" w14:paraId="3DABE994" w14:textId="77777777"/>
    <w:p w:rsidR="00481E4F" w:rsidP="009D74CF" w:rsidRDefault="00481E4F" w14:paraId="574B4EF7" w14:textId="77777777"/>
    <w:p w:rsidR="009D74CF" w:rsidP="009D74CF" w:rsidRDefault="009D74CF" w14:paraId="69A2A534" w14:textId="77777777"/>
    <w:p w:rsidR="00014FF9" w:rsidP="009D74CF" w:rsidRDefault="00AB0937" w14:paraId="6E549C58" w14:textId="540E07E0">
      <w:r>
        <w:t>A</w:t>
      </w:r>
      <w:r w:rsidR="009D74CF">
        <w:t xml:space="preserve">.A. </w:t>
      </w:r>
      <w:r w:rsidR="00170489">
        <w:t xml:space="preserve">(Thierry) </w:t>
      </w:r>
      <w:r>
        <w:t>Aartsen</w:t>
      </w:r>
    </w:p>
    <w:p w:rsidR="006047F2" w:rsidP="009D74CF" w:rsidRDefault="006047F2" w14:paraId="6E129633" w14:textId="77777777"/>
    <w:p w:rsidR="006047F2" w:rsidP="009D74CF" w:rsidRDefault="006047F2" w14:paraId="1C94A97D" w14:textId="77777777"/>
    <w:p w:rsidRPr="009D74CF" w:rsidR="006047F2" w:rsidP="009D74CF" w:rsidRDefault="006047F2" w14:paraId="7C0C8A84" w14:textId="77777777"/>
    <w:sectPr w:rsidRPr="009D74CF" w:rsidR="006047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5A058" w14:textId="77777777" w:rsidR="00DB52E9" w:rsidRDefault="00DB52E9">
      <w:pPr>
        <w:spacing w:line="240" w:lineRule="auto"/>
      </w:pPr>
      <w:r>
        <w:separator/>
      </w:r>
    </w:p>
  </w:endnote>
  <w:endnote w:type="continuationSeparator" w:id="0">
    <w:p w14:paraId="7BFC12D5" w14:textId="77777777" w:rsidR="00DB52E9" w:rsidRDefault="00DB52E9">
      <w:pPr>
        <w:spacing w:line="240" w:lineRule="auto"/>
      </w:pPr>
      <w:r>
        <w:continuationSeparator/>
      </w:r>
    </w:p>
  </w:endnote>
  <w:endnote w:type="continuationNotice" w:id="1">
    <w:p w14:paraId="037C9E79" w14:textId="77777777" w:rsidR="00DB52E9" w:rsidRDefault="00DB52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16A00" w14:textId="77777777" w:rsidR="00DE09E4" w:rsidRDefault="00DE0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70713" w14:textId="77777777" w:rsidR="00DE09E4" w:rsidRDefault="00DE09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7D635" w14:textId="77777777" w:rsidR="00DE09E4" w:rsidRDefault="00DE0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78319" w14:textId="77777777" w:rsidR="00DB52E9" w:rsidRDefault="00DB52E9">
      <w:pPr>
        <w:spacing w:line="240" w:lineRule="auto"/>
      </w:pPr>
      <w:r>
        <w:separator/>
      </w:r>
    </w:p>
  </w:footnote>
  <w:footnote w:type="continuationSeparator" w:id="0">
    <w:p w14:paraId="1B7B4786" w14:textId="77777777" w:rsidR="00DB52E9" w:rsidRDefault="00DB52E9">
      <w:pPr>
        <w:spacing w:line="240" w:lineRule="auto"/>
      </w:pPr>
      <w:r>
        <w:continuationSeparator/>
      </w:r>
    </w:p>
  </w:footnote>
  <w:footnote w:type="continuationNotice" w:id="1">
    <w:p w14:paraId="6895A103" w14:textId="77777777" w:rsidR="00DB52E9" w:rsidRDefault="00DB52E9">
      <w:pPr>
        <w:spacing w:line="240" w:lineRule="auto"/>
      </w:pPr>
    </w:p>
  </w:footnote>
  <w:footnote w:id="2">
    <w:p w14:paraId="010BAA80" w14:textId="6863FCA8" w:rsidR="00CB5DF7" w:rsidRPr="00544868" w:rsidRDefault="00CB5DF7" w:rsidP="00CB5DF7">
      <w:pPr>
        <w:pStyle w:val="FootnoteText"/>
        <w:rPr>
          <w:sz w:val="13"/>
          <w:szCs w:val="13"/>
        </w:rPr>
      </w:pPr>
      <w:r w:rsidRPr="00544868">
        <w:rPr>
          <w:rStyle w:val="FootnoteReference"/>
          <w:sz w:val="13"/>
          <w:szCs w:val="13"/>
        </w:rPr>
        <w:footnoteRef/>
      </w:r>
      <w:r w:rsidRPr="00544868">
        <w:rPr>
          <w:sz w:val="13"/>
          <w:szCs w:val="13"/>
        </w:rPr>
        <w:t xml:space="preserve"> Kamerstukken II 2018/19, 32 404, nr. 92</w:t>
      </w:r>
    </w:p>
  </w:footnote>
  <w:footnote w:id="3">
    <w:p w14:paraId="6ABEE38D" w14:textId="77777777" w:rsidR="006E6BE2" w:rsidRPr="00E930A7" w:rsidRDefault="006E6BE2" w:rsidP="006E6BE2">
      <w:pPr>
        <w:pStyle w:val="FootnoteText"/>
        <w:rPr>
          <w:sz w:val="13"/>
          <w:szCs w:val="13"/>
        </w:rPr>
      </w:pPr>
      <w:r w:rsidRPr="00E930A7">
        <w:rPr>
          <w:rStyle w:val="FootnoteReference"/>
          <w:sz w:val="13"/>
          <w:szCs w:val="13"/>
        </w:rPr>
        <w:footnoteRef/>
      </w:r>
      <w:r w:rsidRPr="00E930A7">
        <w:rPr>
          <w:sz w:val="13"/>
          <w:szCs w:val="13"/>
        </w:rPr>
        <w:t xml:space="preserve"> </w:t>
      </w:r>
      <w:r w:rsidRPr="00544868">
        <w:rPr>
          <w:sz w:val="13"/>
          <w:szCs w:val="13"/>
        </w:rPr>
        <w:t>Kamerstukken II 20</w:t>
      </w:r>
      <w:r>
        <w:rPr>
          <w:sz w:val="13"/>
          <w:szCs w:val="13"/>
        </w:rPr>
        <w:t>23</w:t>
      </w:r>
      <w:r w:rsidRPr="00544868">
        <w:rPr>
          <w:sz w:val="13"/>
          <w:szCs w:val="13"/>
        </w:rPr>
        <w:t>/</w:t>
      </w:r>
      <w:r>
        <w:rPr>
          <w:sz w:val="13"/>
          <w:szCs w:val="13"/>
        </w:rPr>
        <w:t>24</w:t>
      </w:r>
      <w:r w:rsidRPr="00544868">
        <w:rPr>
          <w:sz w:val="13"/>
          <w:szCs w:val="13"/>
        </w:rPr>
        <w:t xml:space="preserve">, </w:t>
      </w:r>
      <w:r w:rsidRPr="005877D0">
        <w:rPr>
          <w:sz w:val="13"/>
          <w:szCs w:val="13"/>
        </w:rPr>
        <w:t>33</w:t>
      </w:r>
      <w:r>
        <w:rPr>
          <w:sz w:val="13"/>
          <w:szCs w:val="13"/>
        </w:rPr>
        <w:t xml:space="preserve"> </w:t>
      </w:r>
      <w:r w:rsidRPr="005877D0">
        <w:rPr>
          <w:sz w:val="13"/>
          <w:szCs w:val="13"/>
        </w:rPr>
        <w:t>652, nr. 92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CD75F" w14:textId="77777777" w:rsidR="00DE09E4" w:rsidRDefault="00DE09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8A659" w14:textId="389476E2" w:rsidR="00014FF9" w:rsidRDefault="00DA666F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AD489FA" wp14:editId="26BE1237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AEFA77" w14:textId="77777777" w:rsidR="00014FF9" w:rsidRDefault="00EA3F3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4ECD52C" w14:textId="77777777" w:rsidR="0099006B" w:rsidRPr="00170489" w:rsidRDefault="0099006B" w:rsidP="00170489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CBA996F" w14:textId="77777777" w:rsidR="0099006B" w:rsidRPr="00170489" w:rsidRDefault="0099006B" w:rsidP="00170489">
                          <w:pPr>
                            <w:pStyle w:val="Referentiegegevenskop"/>
                            <w:spacing w:line="276" w:lineRule="auto"/>
                          </w:pPr>
                          <w:r w:rsidRPr="00170489">
                            <w:t>Ons kenmerk</w:t>
                          </w:r>
                        </w:p>
                        <w:p w14:paraId="65659408" w14:textId="295E3670" w:rsidR="0099006B" w:rsidRPr="00170489" w:rsidRDefault="002700FC" w:rsidP="0017048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170489">
                            <w:rPr>
                              <w:bCs/>
                              <w:sz w:val="13"/>
                              <w:szCs w:val="13"/>
                            </w:rPr>
                            <w:t>IENW/BSK-2025/230837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D489FA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68AEFA77" w14:textId="77777777" w:rsidR="00014FF9" w:rsidRDefault="00EA3F3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4ECD52C" w14:textId="77777777" w:rsidR="0099006B" w:rsidRPr="00170489" w:rsidRDefault="0099006B" w:rsidP="00170489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CBA996F" w14:textId="77777777" w:rsidR="0099006B" w:rsidRPr="00170489" w:rsidRDefault="0099006B" w:rsidP="00170489">
                    <w:pPr>
                      <w:pStyle w:val="Referentiegegevenskop"/>
                      <w:spacing w:line="276" w:lineRule="auto"/>
                    </w:pPr>
                    <w:r w:rsidRPr="00170489">
                      <w:t>Ons kenmerk</w:t>
                    </w:r>
                  </w:p>
                  <w:p w14:paraId="65659408" w14:textId="295E3670" w:rsidR="0099006B" w:rsidRPr="00170489" w:rsidRDefault="002700FC" w:rsidP="00170489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170489">
                      <w:rPr>
                        <w:bCs/>
                        <w:sz w:val="13"/>
                        <w:szCs w:val="13"/>
                      </w:rPr>
                      <w:t>IENW/BSK-2025/230837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64CD8C03" wp14:editId="3C814C98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36FDC6" w14:textId="20B68913" w:rsidR="00014FF9" w:rsidRDefault="00EA3F3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74C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D74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CD8C03" id="7268d871-823c-11ee-8554-0242ac120003" o:spid="_x0000_s1027" type="#_x0000_t202" style="position:absolute;margin-left:464.8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C36FDC6" w14:textId="20B68913" w:rsidR="00014FF9" w:rsidRDefault="00EA3F3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74C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D74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7644693" wp14:editId="6CF449B2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80A896" w14:textId="77777777" w:rsidR="001E3F34" w:rsidRDefault="001E3F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44693" id="726221f1-823c-11ee-8554-0242ac120003" o:spid="_x0000_s1028" type="#_x0000_t202" style="position:absolute;margin-left:79.35pt;margin-top:805pt;width:141.75pt;height:14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F80A896" w14:textId="77777777" w:rsidR="001E3F34" w:rsidRDefault="001E3F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2BC18C3" wp14:editId="350EEEA5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81B0ED" w14:textId="77777777" w:rsidR="001E3F34" w:rsidRDefault="001E3F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BC18C3" id="726e58e4-823c-11ee-8554-0242ac120003" o:spid="_x0000_s1029" type="#_x0000_t202" style="position:absolute;margin-left:79.35pt;margin-top:94.45pt;width:187.5pt;height:22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381B0ED" w14:textId="77777777" w:rsidR="001E3F34" w:rsidRDefault="001E3F3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B047E" w14:textId="57A3B760" w:rsidR="00014FF9" w:rsidRDefault="00DA666F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8E608E2" wp14:editId="4BEF90E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DE3E2F" w14:textId="77777777" w:rsidR="001E3F34" w:rsidRDefault="001E3F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E608E2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6DE3E2F" w14:textId="77777777" w:rsidR="001E3F34" w:rsidRDefault="001E3F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095EC38" wp14:editId="5293EA1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BAA4E2" w14:textId="1F777436" w:rsidR="00014FF9" w:rsidRDefault="00EA3F3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150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150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95EC38" id="7268d813-823c-11ee-8554-0242ac120003" o:spid="_x0000_s1031" type="#_x0000_t202" style="position:absolute;margin-left:466.25pt;margin-top:805pt;width:99pt;height:14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CBAA4E2" w14:textId="1F777436" w:rsidR="00014FF9" w:rsidRDefault="00EA3F3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150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150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0F87AA8E" wp14:editId="62A6C048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6E1FAE" w14:textId="77777777" w:rsidR="00014FF9" w:rsidRDefault="00EA3F3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1C242DB" w14:textId="77777777" w:rsidR="00014FF9" w:rsidRDefault="00014FF9">
                          <w:pPr>
                            <w:pStyle w:val="WitregelW1"/>
                          </w:pPr>
                        </w:p>
                        <w:p w14:paraId="448BB3EF" w14:textId="77777777" w:rsidR="00014FF9" w:rsidRDefault="00EA3F3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E82B2B6" w14:textId="109EF19C" w:rsidR="00014FF9" w:rsidRPr="00BE3B1C" w:rsidRDefault="00EA3F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E3B1C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370ED69F" w14:textId="77777777" w:rsidR="00014FF9" w:rsidRPr="009D74CF" w:rsidRDefault="00EA3F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74C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F4C57D2" w14:textId="77777777" w:rsidR="00014FF9" w:rsidRPr="009D74CF" w:rsidRDefault="00EA3F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74C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ED1E6C2" w14:textId="77777777" w:rsidR="00014FF9" w:rsidRPr="009D74CF" w:rsidRDefault="00014FF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58E87A8" w14:textId="77777777" w:rsidR="00014FF9" w:rsidRPr="009D74CF" w:rsidRDefault="00EA3F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74C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7F6F015" w14:textId="77777777" w:rsidR="00014FF9" w:rsidRPr="0099006B" w:rsidRDefault="00EA3F31">
                          <w:pPr>
                            <w:pStyle w:val="Afzendgegevens"/>
                          </w:pPr>
                          <w:r w:rsidRPr="0099006B">
                            <w:t>F   070-456 1111</w:t>
                          </w:r>
                        </w:p>
                        <w:p w14:paraId="77650402" w14:textId="77777777" w:rsidR="00014FF9" w:rsidRPr="00170489" w:rsidRDefault="00014FF9" w:rsidP="00170489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A63F03E" w14:textId="77777777" w:rsidR="0099006B" w:rsidRPr="00170489" w:rsidRDefault="0099006B" w:rsidP="00170489">
                          <w:pPr>
                            <w:pStyle w:val="Referentiegegevenskop"/>
                            <w:spacing w:line="276" w:lineRule="auto"/>
                          </w:pPr>
                          <w:r w:rsidRPr="00170489">
                            <w:t>Ons kenmerk</w:t>
                          </w:r>
                        </w:p>
                        <w:p w14:paraId="131A60D4" w14:textId="1B4AC0B2" w:rsidR="0099006B" w:rsidRPr="00170489" w:rsidRDefault="002700FC" w:rsidP="00170489">
                          <w:pPr>
                            <w:pStyle w:val="Referentiegegevenskop"/>
                            <w:spacing w:line="276" w:lineRule="auto"/>
                            <w:rPr>
                              <w:b w:val="0"/>
                              <w:bCs/>
                            </w:rPr>
                          </w:pPr>
                          <w:r w:rsidRPr="00170489">
                            <w:rPr>
                              <w:b w:val="0"/>
                              <w:bCs/>
                            </w:rPr>
                            <w:t>IENW/BSK-2025/230837</w:t>
                          </w:r>
                        </w:p>
                        <w:p w14:paraId="32CB004E" w14:textId="77777777" w:rsidR="002700FC" w:rsidRPr="00170489" w:rsidRDefault="002700FC" w:rsidP="0017048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957AB45" w14:textId="466E5E09" w:rsidR="00014FF9" w:rsidRPr="00170489" w:rsidRDefault="00EA3F31" w:rsidP="00170489">
                          <w:pPr>
                            <w:pStyle w:val="Referentiegegevenskop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170489">
                            <w:rPr>
                              <w:lang w:val="de-DE"/>
                            </w:rPr>
                            <w:t>Bijlage(n)</w:t>
                          </w:r>
                        </w:p>
                        <w:p w14:paraId="335281A9" w14:textId="23F11D8B" w:rsidR="00014FF9" w:rsidRPr="00170489" w:rsidRDefault="00782EF4" w:rsidP="00170489">
                          <w:pPr>
                            <w:pStyle w:val="Referentiegegevens"/>
                            <w:spacing w:line="276" w:lineRule="auto"/>
                          </w:pPr>
                          <w:r w:rsidRPr="00170489"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87AA8E" id="7268d739-823c-11ee-8554-0242ac120003" o:spid="_x0000_s1032" type="#_x0000_t202" style="position:absolute;margin-left:466.25pt;margin-top:153.05pt;width:99.2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E6E1FAE" w14:textId="77777777" w:rsidR="00014FF9" w:rsidRDefault="00EA3F3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1C242DB" w14:textId="77777777" w:rsidR="00014FF9" w:rsidRDefault="00014FF9">
                    <w:pPr>
                      <w:pStyle w:val="WitregelW1"/>
                    </w:pPr>
                  </w:p>
                  <w:p w14:paraId="448BB3EF" w14:textId="77777777" w:rsidR="00014FF9" w:rsidRDefault="00EA3F31">
                    <w:pPr>
                      <w:pStyle w:val="Afzendgegevens"/>
                    </w:pPr>
                    <w:r>
                      <w:t>Rijnstraat 8</w:t>
                    </w:r>
                  </w:p>
                  <w:p w14:paraId="3E82B2B6" w14:textId="109EF19C" w:rsidR="00014FF9" w:rsidRPr="00BE3B1C" w:rsidRDefault="00EA3F31">
                    <w:pPr>
                      <w:pStyle w:val="Afzendgegevens"/>
                      <w:rPr>
                        <w:lang w:val="de-DE"/>
                      </w:rPr>
                    </w:pPr>
                    <w:r w:rsidRPr="00BE3B1C">
                      <w:rPr>
                        <w:lang w:val="de-DE"/>
                      </w:rPr>
                      <w:t>2515 XP Den Haag</w:t>
                    </w:r>
                  </w:p>
                  <w:p w14:paraId="370ED69F" w14:textId="77777777" w:rsidR="00014FF9" w:rsidRPr="009D74CF" w:rsidRDefault="00EA3F31">
                    <w:pPr>
                      <w:pStyle w:val="Afzendgegevens"/>
                      <w:rPr>
                        <w:lang w:val="de-DE"/>
                      </w:rPr>
                    </w:pPr>
                    <w:r w:rsidRPr="009D74CF">
                      <w:rPr>
                        <w:lang w:val="de-DE"/>
                      </w:rPr>
                      <w:t>Postbus 20901</w:t>
                    </w:r>
                  </w:p>
                  <w:p w14:paraId="4F4C57D2" w14:textId="77777777" w:rsidR="00014FF9" w:rsidRPr="009D74CF" w:rsidRDefault="00EA3F31">
                    <w:pPr>
                      <w:pStyle w:val="Afzendgegevens"/>
                      <w:rPr>
                        <w:lang w:val="de-DE"/>
                      </w:rPr>
                    </w:pPr>
                    <w:r w:rsidRPr="009D74CF">
                      <w:rPr>
                        <w:lang w:val="de-DE"/>
                      </w:rPr>
                      <w:t>2500 EX Den Haag</w:t>
                    </w:r>
                  </w:p>
                  <w:p w14:paraId="3ED1E6C2" w14:textId="77777777" w:rsidR="00014FF9" w:rsidRPr="009D74CF" w:rsidRDefault="00014FF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58E87A8" w14:textId="77777777" w:rsidR="00014FF9" w:rsidRPr="009D74CF" w:rsidRDefault="00EA3F31">
                    <w:pPr>
                      <w:pStyle w:val="Afzendgegevens"/>
                      <w:rPr>
                        <w:lang w:val="de-DE"/>
                      </w:rPr>
                    </w:pPr>
                    <w:r w:rsidRPr="009D74CF">
                      <w:rPr>
                        <w:lang w:val="de-DE"/>
                      </w:rPr>
                      <w:t>T   070-456 0000</w:t>
                    </w:r>
                  </w:p>
                  <w:p w14:paraId="17F6F015" w14:textId="77777777" w:rsidR="00014FF9" w:rsidRPr="0099006B" w:rsidRDefault="00EA3F31">
                    <w:pPr>
                      <w:pStyle w:val="Afzendgegevens"/>
                    </w:pPr>
                    <w:r w:rsidRPr="0099006B">
                      <w:t>F   070-456 1111</w:t>
                    </w:r>
                  </w:p>
                  <w:p w14:paraId="77650402" w14:textId="77777777" w:rsidR="00014FF9" w:rsidRPr="00170489" w:rsidRDefault="00014FF9" w:rsidP="00170489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A63F03E" w14:textId="77777777" w:rsidR="0099006B" w:rsidRPr="00170489" w:rsidRDefault="0099006B" w:rsidP="00170489">
                    <w:pPr>
                      <w:pStyle w:val="Referentiegegevenskop"/>
                      <w:spacing w:line="276" w:lineRule="auto"/>
                    </w:pPr>
                    <w:r w:rsidRPr="00170489">
                      <w:t>Ons kenmerk</w:t>
                    </w:r>
                  </w:p>
                  <w:p w14:paraId="131A60D4" w14:textId="1B4AC0B2" w:rsidR="0099006B" w:rsidRPr="00170489" w:rsidRDefault="002700FC" w:rsidP="00170489">
                    <w:pPr>
                      <w:pStyle w:val="Referentiegegevenskop"/>
                      <w:spacing w:line="276" w:lineRule="auto"/>
                      <w:rPr>
                        <w:b w:val="0"/>
                        <w:bCs/>
                      </w:rPr>
                    </w:pPr>
                    <w:r w:rsidRPr="00170489">
                      <w:rPr>
                        <w:b w:val="0"/>
                        <w:bCs/>
                      </w:rPr>
                      <w:t>IENW/BSK-2025/230837</w:t>
                    </w:r>
                  </w:p>
                  <w:p w14:paraId="32CB004E" w14:textId="77777777" w:rsidR="002700FC" w:rsidRPr="00170489" w:rsidRDefault="002700FC" w:rsidP="00170489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7957AB45" w14:textId="466E5E09" w:rsidR="00014FF9" w:rsidRPr="00170489" w:rsidRDefault="00EA3F31" w:rsidP="00170489">
                    <w:pPr>
                      <w:pStyle w:val="Referentiegegevenskop"/>
                      <w:spacing w:line="276" w:lineRule="auto"/>
                      <w:rPr>
                        <w:lang w:val="de-DE"/>
                      </w:rPr>
                    </w:pPr>
                    <w:r w:rsidRPr="00170489">
                      <w:rPr>
                        <w:lang w:val="de-DE"/>
                      </w:rPr>
                      <w:t>Bijlage(n)</w:t>
                    </w:r>
                  </w:p>
                  <w:p w14:paraId="335281A9" w14:textId="23F11D8B" w:rsidR="00014FF9" w:rsidRPr="00170489" w:rsidRDefault="00782EF4" w:rsidP="00170489">
                    <w:pPr>
                      <w:pStyle w:val="Referentiegegevens"/>
                      <w:spacing w:line="276" w:lineRule="auto"/>
                    </w:pPr>
                    <w:r w:rsidRPr="00170489"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322B7AED" wp14:editId="491797BC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1194E" w14:textId="77777777" w:rsidR="00014FF9" w:rsidRDefault="00EA3F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959ABB8" wp14:editId="601DA229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2B7AED" id="7268d758-823c-11ee-8554-0242ac120003" o:spid="_x0000_s1033" type="#_x0000_t202" style="position:absolute;margin-left:277.75pt;margin-top:0;width:36.85pt;height:124.7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1331194E" w14:textId="77777777" w:rsidR="00014FF9" w:rsidRDefault="00EA3F3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959ABB8" wp14:editId="601DA229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2924E5A2" wp14:editId="078A45A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2E9011" w14:textId="77777777" w:rsidR="00014FF9" w:rsidRDefault="00EA3F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BE2E372" wp14:editId="7A3C8379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24E5A2" id="7268d778-823c-11ee-8554-0242ac120003" o:spid="_x0000_s1034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A2E9011" w14:textId="77777777" w:rsidR="00014FF9" w:rsidRDefault="00EA3F3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BE2E372" wp14:editId="7A3C8379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5E9DF9CB" wp14:editId="6D84C57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29FC7" w14:textId="77777777" w:rsidR="00014FF9" w:rsidRDefault="00EA3F3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9DF9CB" id="7268d797-823c-11ee-8554-0242ac120003" o:spid="_x0000_s1035" type="#_x0000_t202" style="position:absolute;margin-left:79.35pt;margin-top:133.2pt;width:280.6pt;height:11.3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0229FC7" w14:textId="77777777" w:rsidR="00014FF9" w:rsidRDefault="00EA3F3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1997AB6A" wp14:editId="6A97C4D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B301D4" w14:textId="5464267E" w:rsidR="00014FF9" w:rsidRDefault="00EA3F3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2700F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97AB6A" id="7268d7b6-823c-11ee-8554-0242ac120003" o:spid="_x0000_s1036" type="#_x0000_t202" style="position:absolute;margin-left:79.35pt;margin-top:153.05pt;width:274.95pt;height:8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4B301D4" w14:textId="5464267E" w:rsidR="00014FF9" w:rsidRDefault="00EA3F3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2700F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5B685DCD" wp14:editId="69764E9C">
              <wp:simplePos x="0" y="0"/>
              <wp:positionH relativeFrom="margin">
                <wp:align>right</wp:align>
              </wp:positionH>
              <wp:positionV relativeFrom="page">
                <wp:posOffset>3638550</wp:posOffset>
              </wp:positionV>
              <wp:extent cx="4789805" cy="79057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049" cy="790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  <w:gridCol w:w="123"/>
                          </w:tblGrid>
                          <w:tr w:rsidR="00014FF9" w14:paraId="3FACEC30" w14:textId="77777777">
                            <w:trPr>
                              <w:gridAfter w:val="1"/>
                              <w:wAfter w:w="123" w:type="dxa"/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E513290" w14:textId="77777777" w:rsidR="00014FF9" w:rsidRDefault="00014FF9"/>
                            </w:tc>
                            <w:tc>
                              <w:tcPr>
                                <w:tcW w:w="5400" w:type="dxa"/>
                              </w:tcPr>
                              <w:p w14:paraId="4C0D9228" w14:textId="77777777" w:rsidR="00014FF9" w:rsidRDefault="00014FF9"/>
                            </w:tc>
                          </w:tr>
                          <w:tr w:rsidR="00014FF9" w14:paraId="5DC1EA04" w14:textId="77777777">
                            <w:trPr>
                              <w:gridAfter w:val="1"/>
                              <w:wAfter w:w="123" w:type="dxa"/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7EDB73D" w14:textId="77777777" w:rsidR="00014FF9" w:rsidRDefault="00EA3F3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9B9C24" w14:textId="5703D5D5" w:rsidR="00014FF9" w:rsidRDefault="00170489">
                                <w:r>
                                  <w:t>30</w:t>
                                </w:r>
                                <w:r w:rsidR="00E402C5">
                                  <w:t xml:space="preserve"> september 2025</w:t>
                                </w:r>
                              </w:p>
                            </w:tc>
                          </w:tr>
                          <w:tr w:rsidR="00014FF9" w14:paraId="269BA7D5" w14:textId="77777777" w:rsidTr="005F6B2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3B8C98" w14:textId="77777777" w:rsidR="00014FF9" w:rsidRDefault="00EA3F3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523" w:type="dxa"/>
                                <w:gridSpan w:val="2"/>
                              </w:tcPr>
                              <w:p w14:paraId="4E8D87B2" w14:textId="21998D05" w:rsidR="00014FF9" w:rsidRDefault="00937136" w:rsidP="00597319">
                                <w:pPr>
                                  <w:ind w:right="-511"/>
                                </w:pPr>
                                <w:r>
                                  <w:t>Dertiende</w:t>
                                </w:r>
                                <w:r w:rsidR="00520BFB">
                                  <w:t xml:space="preserve"> </w:t>
                                </w:r>
                                <w:r w:rsidR="00EA3F31">
                                  <w:t>voortgangsrapportage P</w:t>
                                </w:r>
                                <w:r w:rsidR="003405A6">
                                  <w:t>rogramma</w:t>
                                </w:r>
                                <w:r w:rsidR="00597319">
                                  <w:t xml:space="preserve"> Hoogfrequent </w:t>
                                </w:r>
                                <w:r w:rsidR="003405A6">
                                  <w:t xml:space="preserve">Spoorvervoer (PHS) over de </w:t>
                                </w:r>
                                <w:r>
                                  <w:t>eerste</w:t>
                                </w:r>
                                <w:r w:rsidR="003405A6">
                                  <w:t xml:space="preserve"> helft van </w:t>
                                </w:r>
                                <w:r>
                                  <w:t>2025</w:t>
                                </w:r>
                              </w:p>
                            </w:tc>
                          </w:tr>
                          <w:tr w:rsidR="00014FF9" w14:paraId="710C378B" w14:textId="77777777">
                            <w:trPr>
                              <w:gridAfter w:val="1"/>
                              <w:wAfter w:w="123" w:type="dxa"/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C826CFF" w14:textId="73D0BEAF" w:rsidR="00014FF9" w:rsidRDefault="00014FF9"/>
                            </w:tc>
                            <w:tc>
                              <w:tcPr>
                                <w:tcW w:w="5400" w:type="dxa"/>
                              </w:tcPr>
                              <w:p w14:paraId="729C4B93" w14:textId="77777777" w:rsidR="00014FF9" w:rsidRDefault="00014FF9"/>
                            </w:tc>
                          </w:tr>
                        </w:tbl>
                        <w:p w14:paraId="7CBBB41F" w14:textId="77777777" w:rsidR="001E3F34" w:rsidRDefault="001E3F3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85DCD" id="7266255e-823c-11ee-8554-0242ac120003" o:spid="_x0000_s1037" type="#_x0000_t202" style="position:absolute;margin-left:325.95pt;margin-top:286.5pt;width:377.15pt;height:62.25pt;z-index:251658251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  <w:gridCol w:w="123"/>
                    </w:tblGrid>
                    <w:tr w:rsidR="00014FF9" w14:paraId="3FACEC30" w14:textId="77777777">
                      <w:trPr>
                        <w:gridAfter w:val="1"/>
                        <w:wAfter w:w="123" w:type="dxa"/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E513290" w14:textId="77777777" w:rsidR="00014FF9" w:rsidRDefault="00014FF9"/>
                      </w:tc>
                      <w:tc>
                        <w:tcPr>
                          <w:tcW w:w="5400" w:type="dxa"/>
                        </w:tcPr>
                        <w:p w14:paraId="4C0D9228" w14:textId="77777777" w:rsidR="00014FF9" w:rsidRDefault="00014FF9"/>
                      </w:tc>
                    </w:tr>
                    <w:tr w:rsidR="00014FF9" w14:paraId="5DC1EA04" w14:textId="77777777">
                      <w:trPr>
                        <w:gridAfter w:val="1"/>
                        <w:wAfter w:w="123" w:type="dxa"/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7EDB73D" w14:textId="77777777" w:rsidR="00014FF9" w:rsidRDefault="00EA3F3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9B9C24" w14:textId="5703D5D5" w:rsidR="00014FF9" w:rsidRDefault="00170489">
                          <w:r>
                            <w:t>30</w:t>
                          </w:r>
                          <w:r w:rsidR="00E402C5">
                            <w:t xml:space="preserve"> september 2025</w:t>
                          </w:r>
                        </w:p>
                      </w:tc>
                    </w:tr>
                    <w:tr w:rsidR="00014FF9" w14:paraId="269BA7D5" w14:textId="77777777" w:rsidTr="005F6B2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3B8C98" w14:textId="77777777" w:rsidR="00014FF9" w:rsidRDefault="00EA3F31">
                          <w:r>
                            <w:t>Betreft</w:t>
                          </w:r>
                        </w:p>
                      </w:tc>
                      <w:tc>
                        <w:tcPr>
                          <w:tcW w:w="5523" w:type="dxa"/>
                          <w:gridSpan w:val="2"/>
                        </w:tcPr>
                        <w:p w14:paraId="4E8D87B2" w14:textId="21998D05" w:rsidR="00014FF9" w:rsidRDefault="00937136" w:rsidP="00597319">
                          <w:pPr>
                            <w:ind w:right="-511"/>
                          </w:pPr>
                          <w:r>
                            <w:t>Dertiende</w:t>
                          </w:r>
                          <w:r w:rsidR="00520BFB">
                            <w:t xml:space="preserve"> </w:t>
                          </w:r>
                          <w:r w:rsidR="00EA3F31">
                            <w:t>voortgangsrapportage P</w:t>
                          </w:r>
                          <w:r w:rsidR="003405A6">
                            <w:t>rogramma</w:t>
                          </w:r>
                          <w:r w:rsidR="00597319">
                            <w:t xml:space="preserve"> Hoogfrequent </w:t>
                          </w:r>
                          <w:r w:rsidR="003405A6">
                            <w:t xml:space="preserve">Spoorvervoer (PHS) over de </w:t>
                          </w:r>
                          <w:r>
                            <w:t>eerste</w:t>
                          </w:r>
                          <w:r w:rsidR="003405A6">
                            <w:t xml:space="preserve"> helft van </w:t>
                          </w:r>
                          <w:r>
                            <w:t>2025</w:t>
                          </w:r>
                        </w:p>
                      </w:tc>
                    </w:tr>
                    <w:tr w:rsidR="00014FF9" w14:paraId="710C378B" w14:textId="77777777">
                      <w:trPr>
                        <w:gridAfter w:val="1"/>
                        <w:wAfter w:w="123" w:type="dxa"/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C826CFF" w14:textId="73D0BEAF" w:rsidR="00014FF9" w:rsidRDefault="00014FF9"/>
                      </w:tc>
                      <w:tc>
                        <w:tcPr>
                          <w:tcW w:w="5400" w:type="dxa"/>
                        </w:tcPr>
                        <w:p w14:paraId="729C4B93" w14:textId="77777777" w:rsidR="00014FF9" w:rsidRDefault="00014FF9"/>
                      </w:tc>
                    </w:tr>
                  </w:tbl>
                  <w:p w14:paraId="7CBBB41F" w14:textId="77777777" w:rsidR="001E3F34" w:rsidRDefault="001E3F3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2" behindDoc="0" locked="1" layoutInCell="1" allowOverlap="1" wp14:anchorId="276F0F83" wp14:editId="6AB2CEA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F96F99" w14:textId="77777777" w:rsidR="001E3F34" w:rsidRDefault="001E3F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6F0F83" id="726e24d6-823c-11ee-8554-0242ac120003" o:spid="_x0000_s1038" type="#_x0000_t202" style="position:absolute;margin-left:79.35pt;margin-top:94.45pt;width:187.5pt;height:22.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DF96F99" w14:textId="77777777" w:rsidR="001E3F34" w:rsidRDefault="001E3F3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751C61"/>
    <w:multiLevelType w:val="multilevel"/>
    <w:tmpl w:val="59FD0CE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A2C1596"/>
    <w:multiLevelType w:val="multilevel"/>
    <w:tmpl w:val="8858AD5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ED82188"/>
    <w:multiLevelType w:val="multilevel"/>
    <w:tmpl w:val="494EC86D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DD34E9C"/>
    <w:multiLevelType w:val="multilevel"/>
    <w:tmpl w:val="B2578C48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4B2C09A"/>
    <w:multiLevelType w:val="multilevel"/>
    <w:tmpl w:val="BED6467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D838A3E"/>
    <w:multiLevelType w:val="multilevel"/>
    <w:tmpl w:val="D1DE778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7671214"/>
    <w:multiLevelType w:val="multilevel"/>
    <w:tmpl w:val="B2CB4AD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8EC2414"/>
    <w:multiLevelType w:val="multilevel"/>
    <w:tmpl w:val="3A29E97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F33B9790"/>
    <w:multiLevelType w:val="multilevel"/>
    <w:tmpl w:val="CD4D646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4649574"/>
    <w:multiLevelType w:val="multilevel"/>
    <w:tmpl w:val="F19208F1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B3437E"/>
    <w:multiLevelType w:val="multilevel"/>
    <w:tmpl w:val="9317DB9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971FE5"/>
    <w:multiLevelType w:val="multilevel"/>
    <w:tmpl w:val="F83EB3B0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5AD3FD"/>
    <w:multiLevelType w:val="multilevel"/>
    <w:tmpl w:val="97A533F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EA5111"/>
    <w:multiLevelType w:val="multilevel"/>
    <w:tmpl w:val="D65481B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5066E1"/>
    <w:multiLevelType w:val="hybridMultilevel"/>
    <w:tmpl w:val="39969B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22AD9"/>
    <w:multiLevelType w:val="hybridMultilevel"/>
    <w:tmpl w:val="7BCE27DA"/>
    <w:lvl w:ilvl="0" w:tplc="726AD128">
      <w:numFmt w:val="bullet"/>
      <w:lvlText w:val="•"/>
      <w:lvlJc w:val="left"/>
      <w:pPr>
        <w:ind w:left="1070" w:hanging="71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C78CA"/>
    <w:multiLevelType w:val="hybridMultilevel"/>
    <w:tmpl w:val="58985830"/>
    <w:lvl w:ilvl="0" w:tplc="15303E1A">
      <w:numFmt w:val="bullet"/>
      <w:lvlText w:val="-"/>
      <w:lvlJc w:val="left"/>
      <w:pPr>
        <w:ind w:left="5888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abstractNum w:abstractNumId="17" w15:restartNumberingAfterBreak="0">
    <w:nsid w:val="33D3FE56"/>
    <w:multiLevelType w:val="multilevel"/>
    <w:tmpl w:val="60DCD395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2D8BD9"/>
    <w:multiLevelType w:val="multilevel"/>
    <w:tmpl w:val="2A8FA8A6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11DF9C"/>
    <w:multiLevelType w:val="multilevel"/>
    <w:tmpl w:val="3BF69E20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CFB86C"/>
    <w:multiLevelType w:val="multilevel"/>
    <w:tmpl w:val="707ED30C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6CC422"/>
    <w:multiLevelType w:val="multilevel"/>
    <w:tmpl w:val="3A93E778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510101"/>
    <w:multiLevelType w:val="hybridMultilevel"/>
    <w:tmpl w:val="717E8DBE"/>
    <w:lvl w:ilvl="0" w:tplc="DEB439A8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ECEECA7"/>
    <w:multiLevelType w:val="multilevel"/>
    <w:tmpl w:val="F828C347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7F6EE9"/>
    <w:multiLevelType w:val="multilevel"/>
    <w:tmpl w:val="023C15E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74C14AE9"/>
    <w:multiLevelType w:val="multilevel"/>
    <w:tmpl w:val="AD5FC569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C23F1C"/>
    <w:multiLevelType w:val="hybridMultilevel"/>
    <w:tmpl w:val="F906E55C"/>
    <w:lvl w:ilvl="0" w:tplc="15303E1A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FB6C1"/>
    <w:multiLevelType w:val="multilevel"/>
    <w:tmpl w:val="9B016CF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1"/>
  </w:num>
  <w:num w:numId="5">
    <w:abstractNumId w:val="24"/>
  </w:num>
  <w:num w:numId="6">
    <w:abstractNumId w:val="20"/>
  </w:num>
  <w:num w:numId="7">
    <w:abstractNumId w:val="0"/>
  </w:num>
  <w:num w:numId="8">
    <w:abstractNumId w:val="11"/>
  </w:num>
  <w:num w:numId="9">
    <w:abstractNumId w:val="21"/>
  </w:num>
  <w:num w:numId="10">
    <w:abstractNumId w:val="25"/>
  </w:num>
  <w:num w:numId="11">
    <w:abstractNumId w:val="4"/>
  </w:num>
  <w:num w:numId="12">
    <w:abstractNumId w:val="7"/>
  </w:num>
  <w:num w:numId="13">
    <w:abstractNumId w:val="8"/>
  </w:num>
  <w:num w:numId="14">
    <w:abstractNumId w:val="27"/>
  </w:num>
  <w:num w:numId="15">
    <w:abstractNumId w:val="13"/>
  </w:num>
  <w:num w:numId="16">
    <w:abstractNumId w:val="23"/>
  </w:num>
  <w:num w:numId="17">
    <w:abstractNumId w:val="6"/>
  </w:num>
  <w:num w:numId="18">
    <w:abstractNumId w:val="5"/>
  </w:num>
  <w:num w:numId="19">
    <w:abstractNumId w:val="18"/>
  </w:num>
  <w:num w:numId="20">
    <w:abstractNumId w:val="3"/>
  </w:num>
  <w:num w:numId="21">
    <w:abstractNumId w:val="12"/>
  </w:num>
  <w:num w:numId="22">
    <w:abstractNumId w:val="10"/>
  </w:num>
  <w:num w:numId="23">
    <w:abstractNumId w:val="19"/>
  </w:num>
  <w:num w:numId="24">
    <w:abstractNumId w:val="14"/>
  </w:num>
  <w:num w:numId="25">
    <w:abstractNumId w:val="15"/>
  </w:num>
  <w:num w:numId="26">
    <w:abstractNumId w:val="26"/>
  </w:num>
  <w:num w:numId="27">
    <w:abstractNumId w:val="1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CF"/>
    <w:rsid w:val="00002867"/>
    <w:rsid w:val="000031FF"/>
    <w:rsid w:val="000117BF"/>
    <w:rsid w:val="00014FF9"/>
    <w:rsid w:val="00015023"/>
    <w:rsid w:val="00015F4A"/>
    <w:rsid w:val="00020A07"/>
    <w:rsid w:val="00023E9E"/>
    <w:rsid w:val="00037B3E"/>
    <w:rsid w:val="000474E1"/>
    <w:rsid w:val="00051775"/>
    <w:rsid w:val="00053F35"/>
    <w:rsid w:val="00054C8B"/>
    <w:rsid w:val="000758FC"/>
    <w:rsid w:val="00076A3A"/>
    <w:rsid w:val="00081081"/>
    <w:rsid w:val="000875FA"/>
    <w:rsid w:val="0009784B"/>
    <w:rsid w:val="000A7AA5"/>
    <w:rsid w:val="000B02D7"/>
    <w:rsid w:val="000B0D40"/>
    <w:rsid w:val="000B575C"/>
    <w:rsid w:val="000C4836"/>
    <w:rsid w:val="000D7ABF"/>
    <w:rsid w:val="000E420D"/>
    <w:rsid w:val="000E68C5"/>
    <w:rsid w:val="000F4366"/>
    <w:rsid w:val="000F48AB"/>
    <w:rsid w:val="00106BD7"/>
    <w:rsid w:val="0011218F"/>
    <w:rsid w:val="00130DB3"/>
    <w:rsid w:val="00131276"/>
    <w:rsid w:val="00142ED6"/>
    <w:rsid w:val="001445E6"/>
    <w:rsid w:val="00150514"/>
    <w:rsid w:val="001679AA"/>
    <w:rsid w:val="00170489"/>
    <w:rsid w:val="0017074E"/>
    <w:rsid w:val="001720CE"/>
    <w:rsid w:val="001732B4"/>
    <w:rsid w:val="00192C3C"/>
    <w:rsid w:val="0019381A"/>
    <w:rsid w:val="001945DD"/>
    <w:rsid w:val="00194E21"/>
    <w:rsid w:val="00195049"/>
    <w:rsid w:val="0019609E"/>
    <w:rsid w:val="001A38CD"/>
    <w:rsid w:val="001A3FF0"/>
    <w:rsid w:val="001C1E48"/>
    <w:rsid w:val="001C20FB"/>
    <w:rsid w:val="001C3AD9"/>
    <w:rsid w:val="001C5E57"/>
    <w:rsid w:val="001D2FB6"/>
    <w:rsid w:val="001D5E63"/>
    <w:rsid w:val="001D6170"/>
    <w:rsid w:val="001E1650"/>
    <w:rsid w:val="001E3F34"/>
    <w:rsid w:val="00205AF5"/>
    <w:rsid w:val="002076DE"/>
    <w:rsid w:val="00215383"/>
    <w:rsid w:val="002231E5"/>
    <w:rsid w:val="00227371"/>
    <w:rsid w:val="00231E40"/>
    <w:rsid w:val="002454E1"/>
    <w:rsid w:val="00246A33"/>
    <w:rsid w:val="00246FC2"/>
    <w:rsid w:val="00250E81"/>
    <w:rsid w:val="00251DA5"/>
    <w:rsid w:val="00254B4B"/>
    <w:rsid w:val="002700FC"/>
    <w:rsid w:val="00273854"/>
    <w:rsid w:val="00274414"/>
    <w:rsid w:val="0027496E"/>
    <w:rsid w:val="00276662"/>
    <w:rsid w:val="002859E4"/>
    <w:rsid w:val="00295045"/>
    <w:rsid w:val="002A0982"/>
    <w:rsid w:val="002A0BD8"/>
    <w:rsid w:val="002B1A91"/>
    <w:rsid w:val="002B51F4"/>
    <w:rsid w:val="002B5FE0"/>
    <w:rsid w:val="002B641C"/>
    <w:rsid w:val="002B7135"/>
    <w:rsid w:val="002C31F5"/>
    <w:rsid w:val="002D4805"/>
    <w:rsid w:val="002D4CF2"/>
    <w:rsid w:val="002D5377"/>
    <w:rsid w:val="002D73F8"/>
    <w:rsid w:val="002E5A2D"/>
    <w:rsid w:val="002E739D"/>
    <w:rsid w:val="002F35E7"/>
    <w:rsid w:val="002F549F"/>
    <w:rsid w:val="002F7D2E"/>
    <w:rsid w:val="0030099C"/>
    <w:rsid w:val="00307437"/>
    <w:rsid w:val="00307A4A"/>
    <w:rsid w:val="003212FE"/>
    <w:rsid w:val="00321773"/>
    <w:rsid w:val="00324DB0"/>
    <w:rsid w:val="00324FC2"/>
    <w:rsid w:val="0032500C"/>
    <w:rsid w:val="00325B33"/>
    <w:rsid w:val="00331285"/>
    <w:rsid w:val="00334FE6"/>
    <w:rsid w:val="003405A6"/>
    <w:rsid w:val="0034636E"/>
    <w:rsid w:val="00350348"/>
    <w:rsid w:val="00350738"/>
    <w:rsid w:val="00356C8D"/>
    <w:rsid w:val="00364E52"/>
    <w:rsid w:val="00371765"/>
    <w:rsid w:val="0037672A"/>
    <w:rsid w:val="0038046A"/>
    <w:rsid w:val="00381335"/>
    <w:rsid w:val="003903E7"/>
    <w:rsid w:val="003922B6"/>
    <w:rsid w:val="003A06CB"/>
    <w:rsid w:val="003A2A41"/>
    <w:rsid w:val="003A6B09"/>
    <w:rsid w:val="003A6ECE"/>
    <w:rsid w:val="003B2FB5"/>
    <w:rsid w:val="003B7660"/>
    <w:rsid w:val="003D2B8C"/>
    <w:rsid w:val="003E05A1"/>
    <w:rsid w:val="003E0D19"/>
    <w:rsid w:val="003E18D7"/>
    <w:rsid w:val="003F4B47"/>
    <w:rsid w:val="00407C1D"/>
    <w:rsid w:val="00412E3B"/>
    <w:rsid w:val="00415446"/>
    <w:rsid w:val="00416385"/>
    <w:rsid w:val="00421702"/>
    <w:rsid w:val="00421E9F"/>
    <w:rsid w:val="00427B4E"/>
    <w:rsid w:val="00430447"/>
    <w:rsid w:val="004326D3"/>
    <w:rsid w:val="00433E0B"/>
    <w:rsid w:val="00433E36"/>
    <w:rsid w:val="0043447E"/>
    <w:rsid w:val="00447563"/>
    <w:rsid w:val="00450E17"/>
    <w:rsid w:val="00451FF4"/>
    <w:rsid w:val="0045409A"/>
    <w:rsid w:val="004573CF"/>
    <w:rsid w:val="0046111D"/>
    <w:rsid w:val="004641D5"/>
    <w:rsid w:val="004728B4"/>
    <w:rsid w:val="00476795"/>
    <w:rsid w:val="00481E4F"/>
    <w:rsid w:val="00483BBC"/>
    <w:rsid w:val="004956DE"/>
    <w:rsid w:val="00497FD9"/>
    <w:rsid w:val="004B1986"/>
    <w:rsid w:val="004C4C4A"/>
    <w:rsid w:val="004C5A19"/>
    <w:rsid w:val="004C6684"/>
    <w:rsid w:val="004E0813"/>
    <w:rsid w:val="004E3E79"/>
    <w:rsid w:val="004F230D"/>
    <w:rsid w:val="004F2873"/>
    <w:rsid w:val="004F77A6"/>
    <w:rsid w:val="00506EE2"/>
    <w:rsid w:val="005112E9"/>
    <w:rsid w:val="00516FB5"/>
    <w:rsid w:val="00520BFB"/>
    <w:rsid w:val="0052284B"/>
    <w:rsid w:val="00525CD3"/>
    <w:rsid w:val="00540347"/>
    <w:rsid w:val="00544868"/>
    <w:rsid w:val="00551C68"/>
    <w:rsid w:val="00557CEC"/>
    <w:rsid w:val="00565D22"/>
    <w:rsid w:val="00575E8C"/>
    <w:rsid w:val="00583176"/>
    <w:rsid w:val="005877D0"/>
    <w:rsid w:val="00587EDB"/>
    <w:rsid w:val="0059155E"/>
    <w:rsid w:val="00594385"/>
    <w:rsid w:val="00597319"/>
    <w:rsid w:val="005A1C86"/>
    <w:rsid w:val="005A397B"/>
    <w:rsid w:val="005B3C96"/>
    <w:rsid w:val="005C18CB"/>
    <w:rsid w:val="005C2170"/>
    <w:rsid w:val="005C46F4"/>
    <w:rsid w:val="005C6325"/>
    <w:rsid w:val="005D4E07"/>
    <w:rsid w:val="005E184E"/>
    <w:rsid w:val="005F6B2A"/>
    <w:rsid w:val="006004A7"/>
    <w:rsid w:val="006047F2"/>
    <w:rsid w:val="00604D7E"/>
    <w:rsid w:val="00607EC3"/>
    <w:rsid w:val="00620404"/>
    <w:rsid w:val="0062241F"/>
    <w:rsid w:val="00630319"/>
    <w:rsid w:val="0063073A"/>
    <w:rsid w:val="00632912"/>
    <w:rsid w:val="00640C8D"/>
    <w:rsid w:val="0064213E"/>
    <w:rsid w:val="006532B0"/>
    <w:rsid w:val="00655B20"/>
    <w:rsid w:val="006705DF"/>
    <w:rsid w:val="006712A5"/>
    <w:rsid w:val="00680E56"/>
    <w:rsid w:val="00684CB3"/>
    <w:rsid w:val="006A1B52"/>
    <w:rsid w:val="006A61D5"/>
    <w:rsid w:val="006B3A60"/>
    <w:rsid w:val="006B4230"/>
    <w:rsid w:val="006B6E1B"/>
    <w:rsid w:val="006B6E31"/>
    <w:rsid w:val="006C1DBE"/>
    <w:rsid w:val="006D163E"/>
    <w:rsid w:val="006D6138"/>
    <w:rsid w:val="006E1922"/>
    <w:rsid w:val="006E6BE2"/>
    <w:rsid w:val="006E7322"/>
    <w:rsid w:val="006E75AD"/>
    <w:rsid w:val="006F5CB3"/>
    <w:rsid w:val="00700816"/>
    <w:rsid w:val="00701AE6"/>
    <w:rsid w:val="00705C8D"/>
    <w:rsid w:val="00707D3E"/>
    <w:rsid w:val="007104FB"/>
    <w:rsid w:val="00710E19"/>
    <w:rsid w:val="0071750C"/>
    <w:rsid w:val="00726967"/>
    <w:rsid w:val="0073255F"/>
    <w:rsid w:val="00743D4F"/>
    <w:rsid w:val="0074674A"/>
    <w:rsid w:val="00751012"/>
    <w:rsid w:val="007517BF"/>
    <w:rsid w:val="007523E2"/>
    <w:rsid w:val="00752CAE"/>
    <w:rsid w:val="007704FB"/>
    <w:rsid w:val="007717A6"/>
    <w:rsid w:val="00775CBC"/>
    <w:rsid w:val="007813D5"/>
    <w:rsid w:val="00782EF4"/>
    <w:rsid w:val="007830F8"/>
    <w:rsid w:val="00787D9F"/>
    <w:rsid w:val="00791293"/>
    <w:rsid w:val="0079227A"/>
    <w:rsid w:val="007B42D1"/>
    <w:rsid w:val="007B799F"/>
    <w:rsid w:val="007C1426"/>
    <w:rsid w:val="007C49D3"/>
    <w:rsid w:val="007C6E4E"/>
    <w:rsid w:val="007C78B7"/>
    <w:rsid w:val="007D2B97"/>
    <w:rsid w:val="007D4E5A"/>
    <w:rsid w:val="007E39FA"/>
    <w:rsid w:val="007E444A"/>
    <w:rsid w:val="007F4A56"/>
    <w:rsid w:val="007F5CB6"/>
    <w:rsid w:val="007F719B"/>
    <w:rsid w:val="00800AE5"/>
    <w:rsid w:val="00802D14"/>
    <w:rsid w:val="00804106"/>
    <w:rsid w:val="008073E1"/>
    <w:rsid w:val="0081145D"/>
    <w:rsid w:val="00813C7A"/>
    <w:rsid w:val="00817A4C"/>
    <w:rsid w:val="0082506F"/>
    <w:rsid w:val="00827BDA"/>
    <w:rsid w:val="008575A7"/>
    <w:rsid w:val="00860884"/>
    <w:rsid w:val="008616AD"/>
    <w:rsid w:val="008643E4"/>
    <w:rsid w:val="008656CF"/>
    <w:rsid w:val="00880BC1"/>
    <w:rsid w:val="00887F04"/>
    <w:rsid w:val="00890C8D"/>
    <w:rsid w:val="00894E24"/>
    <w:rsid w:val="00896385"/>
    <w:rsid w:val="008A18D4"/>
    <w:rsid w:val="008A48DD"/>
    <w:rsid w:val="008D05E1"/>
    <w:rsid w:val="008E3072"/>
    <w:rsid w:val="008E6F65"/>
    <w:rsid w:val="008E7517"/>
    <w:rsid w:val="00903CB2"/>
    <w:rsid w:val="0090512B"/>
    <w:rsid w:val="00906701"/>
    <w:rsid w:val="00931098"/>
    <w:rsid w:val="00931F27"/>
    <w:rsid w:val="00937136"/>
    <w:rsid w:val="00937229"/>
    <w:rsid w:val="00944B17"/>
    <w:rsid w:val="00950BB0"/>
    <w:rsid w:val="00956137"/>
    <w:rsid w:val="009564A2"/>
    <w:rsid w:val="00957046"/>
    <w:rsid w:val="00963C9E"/>
    <w:rsid w:val="009651F1"/>
    <w:rsid w:val="009854A9"/>
    <w:rsid w:val="0099006B"/>
    <w:rsid w:val="00991DDE"/>
    <w:rsid w:val="009A5FC8"/>
    <w:rsid w:val="009B0110"/>
    <w:rsid w:val="009B28A2"/>
    <w:rsid w:val="009C2811"/>
    <w:rsid w:val="009C32B6"/>
    <w:rsid w:val="009C3F48"/>
    <w:rsid w:val="009C6266"/>
    <w:rsid w:val="009D1C27"/>
    <w:rsid w:val="009D5394"/>
    <w:rsid w:val="009D74CF"/>
    <w:rsid w:val="009E585D"/>
    <w:rsid w:val="009F13E5"/>
    <w:rsid w:val="009F2F1A"/>
    <w:rsid w:val="009F3F67"/>
    <w:rsid w:val="00A0085E"/>
    <w:rsid w:val="00A10CF0"/>
    <w:rsid w:val="00A10FCF"/>
    <w:rsid w:val="00A209A7"/>
    <w:rsid w:val="00A378AE"/>
    <w:rsid w:val="00A46839"/>
    <w:rsid w:val="00A5331A"/>
    <w:rsid w:val="00A61490"/>
    <w:rsid w:val="00A634B5"/>
    <w:rsid w:val="00A64C1C"/>
    <w:rsid w:val="00A71246"/>
    <w:rsid w:val="00A71FAB"/>
    <w:rsid w:val="00A73805"/>
    <w:rsid w:val="00A73BC0"/>
    <w:rsid w:val="00A73ECB"/>
    <w:rsid w:val="00A7609B"/>
    <w:rsid w:val="00A86EA7"/>
    <w:rsid w:val="00A935D8"/>
    <w:rsid w:val="00A93FB9"/>
    <w:rsid w:val="00AA1B8B"/>
    <w:rsid w:val="00AA5B37"/>
    <w:rsid w:val="00AA6678"/>
    <w:rsid w:val="00AB0937"/>
    <w:rsid w:val="00AB5317"/>
    <w:rsid w:val="00AC1E5A"/>
    <w:rsid w:val="00AD0BA6"/>
    <w:rsid w:val="00AD19FA"/>
    <w:rsid w:val="00AF6116"/>
    <w:rsid w:val="00B220AD"/>
    <w:rsid w:val="00B27EAE"/>
    <w:rsid w:val="00B3187A"/>
    <w:rsid w:val="00B4090E"/>
    <w:rsid w:val="00B437B2"/>
    <w:rsid w:val="00B5417D"/>
    <w:rsid w:val="00B5431F"/>
    <w:rsid w:val="00B57F41"/>
    <w:rsid w:val="00B64015"/>
    <w:rsid w:val="00B74401"/>
    <w:rsid w:val="00B74737"/>
    <w:rsid w:val="00B84FCA"/>
    <w:rsid w:val="00B91F17"/>
    <w:rsid w:val="00B93779"/>
    <w:rsid w:val="00BA0D5E"/>
    <w:rsid w:val="00BA1D94"/>
    <w:rsid w:val="00BA46A0"/>
    <w:rsid w:val="00BA7BBA"/>
    <w:rsid w:val="00BB2EDE"/>
    <w:rsid w:val="00BB49E8"/>
    <w:rsid w:val="00BB7BCD"/>
    <w:rsid w:val="00BC00BE"/>
    <w:rsid w:val="00BC71D0"/>
    <w:rsid w:val="00BC72EA"/>
    <w:rsid w:val="00BC7935"/>
    <w:rsid w:val="00BD1AD2"/>
    <w:rsid w:val="00BD65A1"/>
    <w:rsid w:val="00BE1681"/>
    <w:rsid w:val="00BE384C"/>
    <w:rsid w:val="00BE3B1C"/>
    <w:rsid w:val="00BE6790"/>
    <w:rsid w:val="00BF266B"/>
    <w:rsid w:val="00BF5BC6"/>
    <w:rsid w:val="00C12E3A"/>
    <w:rsid w:val="00C21FEC"/>
    <w:rsid w:val="00C22D8F"/>
    <w:rsid w:val="00C24DFB"/>
    <w:rsid w:val="00C25992"/>
    <w:rsid w:val="00C3086E"/>
    <w:rsid w:val="00C42C0A"/>
    <w:rsid w:val="00C457CF"/>
    <w:rsid w:val="00C460BE"/>
    <w:rsid w:val="00C55D7F"/>
    <w:rsid w:val="00C562A2"/>
    <w:rsid w:val="00C56C01"/>
    <w:rsid w:val="00C607D5"/>
    <w:rsid w:val="00C61AD1"/>
    <w:rsid w:val="00C66410"/>
    <w:rsid w:val="00C71489"/>
    <w:rsid w:val="00C803AE"/>
    <w:rsid w:val="00C813E0"/>
    <w:rsid w:val="00CA077E"/>
    <w:rsid w:val="00CA2FE9"/>
    <w:rsid w:val="00CA73C3"/>
    <w:rsid w:val="00CB2D2F"/>
    <w:rsid w:val="00CB5DF7"/>
    <w:rsid w:val="00CB6440"/>
    <w:rsid w:val="00CE74B2"/>
    <w:rsid w:val="00CF4806"/>
    <w:rsid w:val="00CF682F"/>
    <w:rsid w:val="00D05BF3"/>
    <w:rsid w:val="00D07C69"/>
    <w:rsid w:val="00D15ED9"/>
    <w:rsid w:val="00D210DB"/>
    <w:rsid w:val="00D234E3"/>
    <w:rsid w:val="00D239A8"/>
    <w:rsid w:val="00D23BFA"/>
    <w:rsid w:val="00D3133C"/>
    <w:rsid w:val="00D43FFE"/>
    <w:rsid w:val="00D54F0E"/>
    <w:rsid w:val="00D5576E"/>
    <w:rsid w:val="00D57370"/>
    <w:rsid w:val="00D65E2A"/>
    <w:rsid w:val="00D703FE"/>
    <w:rsid w:val="00D80AAB"/>
    <w:rsid w:val="00D82E1B"/>
    <w:rsid w:val="00D84F2B"/>
    <w:rsid w:val="00D92C13"/>
    <w:rsid w:val="00D937FB"/>
    <w:rsid w:val="00D97045"/>
    <w:rsid w:val="00DA053E"/>
    <w:rsid w:val="00DA0B1E"/>
    <w:rsid w:val="00DA2299"/>
    <w:rsid w:val="00DA3754"/>
    <w:rsid w:val="00DA5FC4"/>
    <w:rsid w:val="00DA666F"/>
    <w:rsid w:val="00DA68C6"/>
    <w:rsid w:val="00DB52E9"/>
    <w:rsid w:val="00DB6CE0"/>
    <w:rsid w:val="00DC005A"/>
    <w:rsid w:val="00DC05FC"/>
    <w:rsid w:val="00DC69E1"/>
    <w:rsid w:val="00DD559B"/>
    <w:rsid w:val="00DE09E4"/>
    <w:rsid w:val="00DF293B"/>
    <w:rsid w:val="00DF3E34"/>
    <w:rsid w:val="00DF564D"/>
    <w:rsid w:val="00DF6111"/>
    <w:rsid w:val="00E00737"/>
    <w:rsid w:val="00E04C22"/>
    <w:rsid w:val="00E10CBB"/>
    <w:rsid w:val="00E12052"/>
    <w:rsid w:val="00E12BE4"/>
    <w:rsid w:val="00E168A0"/>
    <w:rsid w:val="00E26A8B"/>
    <w:rsid w:val="00E27E67"/>
    <w:rsid w:val="00E31AB7"/>
    <w:rsid w:val="00E35834"/>
    <w:rsid w:val="00E402C5"/>
    <w:rsid w:val="00E41118"/>
    <w:rsid w:val="00E44139"/>
    <w:rsid w:val="00E45C2A"/>
    <w:rsid w:val="00E51289"/>
    <w:rsid w:val="00E55B09"/>
    <w:rsid w:val="00E56273"/>
    <w:rsid w:val="00E60F94"/>
    <w:rsid w:val="00E64A15"/>
    <w:rsid w:val="00E64D54"/>
    <w:rsid w:val="00E655D5"/>
    <w:rsid w:val="00E83096"/>
    <w:rsid w:val="00E84559"/>
    <w:rsid w:val="00E857D8"/>
    <w:rsid w:val="00E86F79"/>
    <w:rsid w:val="00E930A7"/>
    <w:rsid w:val="00E930BA"/>
    <w:rsid w:val="00EA1399"/>
    <w:rsid w:val="00EA393A"/>
    <w:rsid w:val="00EA3F31"/>
    <w:rsid w:val="00EA7DFA"/>
    <w:rsid w:val="00EB1952"/>
    <w:rsid w:val="00EB2D6D"/>
    <w:rsid w:val="00EB4FC0"/>
    <w:rsid w:val="00EC28DF"/>
    <w:rsid w:val="00ED5B49"/>
    <w:rsid w:val="00EE2106"/>
    <w:rsid w:val="00EE5118"/>
    <w:rsid w:val="00F00C33"/>
    <w:rsid w:val="00F0278F"/>
    <w:rsid w:val="00F17BE6"/>
    <w:rsid w:val="00F25D41"/>
    <w:rsid w:val="00F30760"/>
    <w:rsid w:val="00F30DA6"/>
    <w:rsid w:val="00F31D5C"/>
    <w:rsid w:val="00F42F3A"/>
    <w:rsid w:val="00F52206"/>
    <w:rsid w:val="00F56F82"/>
    <w:rsid w:val="00F641B5"/>
    <w:rsid w:val="00F66276"/>
    <w:rsid w:val="00F714FB"/>
    <w:rsid w:val="00F75810"/>
    <w:rsid w:val="00F84D1B"/>
    <w:rsid w:val="00F91674"/>
    <w:rsid w:val="00F9796B"/>
    <w:rsid w:val="00F97E9E"/>
    <w:rsid w:val="00FA679E"/>
    <w:rsid w:val="00FB7588"/>
    <w:rsid w:val="00FD1327"/>
    <w:rsid w:val="00FD1BCF"/>
    <w:rsid w:val="00FD3AA2"/>
    <w:rsid w:val="00FE18A9"/>
    <w:rsid w:val="00FE1FBA"/>
    <w:rsid w:val="00FE2F3A"/>
    <w:rsid w:val="00FE3D86"/>
    <w:rsid w:val="00FE4A5F"/>
    <w:rsid w:val="00FE686B"/>
    <w:rsid w:val="00FE6E1E"/>
    <w:rsid w:val="1320A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60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9D74C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4C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74C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4CF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A6ECE"/>
    <w:pPr>
      <w:ind w:left="720"/>
      <w:contextualSpacing/>
    </w:pPr>
  </w:style>
  <w:style w:type="paragraph" w:styleId="Revision">
    <w:name w:val="Revision"/>
    <w:hidden/>
    <w:uiPriority w:val="99"/>
    <w:semiHidden/>
    <w:rsid w:val="00015F4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17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17D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B541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5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6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6CF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6CF"/>
    <w:rPr>
      <w:rFonts w:ascii="Verdana" w:hAnsi="Verdana"/>
      <w:b/>
      <w:bCs/>
      <w:color w:val="000000"/>
    </w:rPr>
  </w:style>
  <w:style w:type="paragraph" w:customStyle="1" w:styleId="Default">
    <w:name w:val="Default"/>
    <w:rsid w:val="00ED5B49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webSetting" Target="webSettings0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oornbo\AppData\Local\Micro%20Focus\Content%20Manager\TEMP\HPTRIM.319212\IENW%20BSK-2024%20250720%20%202.%20KAMERBRIEF%20-%20Elfde%20voortgangsrapportage%20PHS%202024-1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1068</ap:Words>
  <ap:Characters>6091</ap:Characters>
  <ap:DocSecurity>0</ap:DocSecurity>
  <ap:Lines>50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Elfde voortgangsrapportage PHS 2024-1</vt:lpstr>
    </vt:vector>
  </ap:TitlesOfParts>
  <ap:LinksUpToDate>false</ap:LinksUpToDate>
  <ap:CharactersWithSpaces>7145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2024-09-18T06:38:00.0000000Z</lastPrinted>
  <dcterms:created xsi:type="dcterms:W3CDTF">2025-09-30T07:12:00.0000000Z</dcterms:created>
  <dcterms:modified xsi:type="dcterms:W3CDTF">2025-09-30T07:12:00.0000000Z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Elfde voortgangsrapportage PHS 2024-1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MSc J. Doornbos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MSIP_Label_798eb1ba-53af-4455-b09d-818c8f42fbe3_Enabled">
    <vt:lpwstr>true</vt:lpwstr>
  </property>
  <property fmtid="{D5CDD505-2E9C-101B-9397-08002B2CF9AE}" pid="30" name="MSIP_Label_798eb1ba-53af-4455-b09d-818c8f42fbe3_SetDate">
    <vt:lpwstr>2025-03-13T11:55:30Z</vt:lpwstr>
  </property>
  <property fmtid="{D5CDD505-2E9C-101B-9397-08002B2CF9AE}" pid="31" name="MSIP_Label_798eb1ba-53af-4455-b09d-818c8f42fbe3_Method">
    <vt:lpwstr>Standard</vt:lpwstr>
  </property>
  <property fmtid="{D5CDD505-2E9C-101B-9397-08002B2CF9AE}" pid="32" name="MSIP_Label_798eb1ba-53af-4455-b09d-818c8f42fbe3_Name">
    <vt:lpwstr>FIN-ADR-Rijksoverheid</vt:lpwstr>
  </property>
  <property fmtid="{D5CDD505-2E9C-101B-9397-08002B2CF9AE}" pid="33" name="MSIP_Label_798eb1ba-53af-4455-b09d-818c8f42fbe3_SiteId">
    <vt:lpwstr>84712536-f524-40a0-913b-5d25ba502732</vt:lpwstr>
  </property>
  <property fmtid="{D5CDD505-2E9C-101B-9397-08002B2CF9AE}" pid="34" name="MSIP_Label_798eb1ba-53af-4455-b09d-818c8f42fbe3_ActionId">
    <vt:lpwstr>3c415e67-9f98-4f84-92bf-f84f8f887158</vt:lpwstr>
  </property>
  <property fmtid="{D5CDD505-2E9C-101B-9397-08002B2CF9AE}" pid="35" name="MSIP_Label_798eb1ba-53af-4455-b09d-818c8f42fbe3_ContentBits">
    <vt:lpwstr>0</vt:lpwstr>
  </property>
  <property fmtid="{D5CDD505-2E9C-101B-9397-08002B2CF9AE}" pid="36" name="ContentTypeId">
    <vt:lpwstr>0x010100C415541EF764AA49B26A7D0C598CE635</vt:lpwstr>
  </property>
</Properties>
</file>