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53FA" w:rsidP="009853FA" w:rsidRDefault="009853FA" w14:paraId="412486F7" w14:textId="2344DAC1">
      <w:r>
        <w:t>AH 154</w:t>
      </w:r>
    </w:p>
    <w:p w:rsidR="009853FA" w:rsidP="009853FA" w:rsidRDefault="009853FA" w14:paraId="54C8E969" w14:textId="1FDD74BD">
      <w:r>
        <w:t>2025Z17152</w:t>
      </w:r>
    </w:p>
    <w:p w:rsidRPr="009853FA" w:rsidR="009853FA" w:rsidP="009853FA" w:rsidRDefault="009853FA" w14:paraId="22D0EAD1" w14:textId="7BB96306">
      <w:pPr>
        <w:rPr>
          <w:sz w:val="24"/>
          <w:szCs w:val="24"/>
        </w:rPr>
      </w:pPr>
      <w:r w:rsidRPr="009B5FE1">
        <w:rPr>
          <w:sz w:val="24"/>
          <w:szCs w:val="24"/>
        </w:rPr>
        <w:t>Antwoord van minister V</w:t>
      </w:r>
      <w:r>
        <w:rPr>
          <w:sz w:val="24"/>
          <w:szCs w:val="24"/>
        </w:rPr>
        <w:t>an Weel</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30 september 2025)</w:t>
      </w:r>
    </w:p>
    <w:p w:rsidR="009853FA" w:rsidP="009853FA" w:rsidRDefault="009853FA" w14:paraId="315A8F51" w14:textId="77777777">
      <w:r>
        <w:rPr>
          <w:b/>
        </w:rPr>
        <w:t>Vraag 1</w:t>
      </w:r>
    </w:p>
    <w:p w:rsidR="009853FA" w:rsidP="009853FA" w:rsidRDefault="009853FA" w14:paraId="7A38EB3E" w14:textId="77777777">
      <w:r>
        <w:t>Kunt u op een rij zetten onder welke voorwaarden Frankrijk, Canada, Groot-Brittannië, Australië en België voornemens zijn de staat Palestina te erkennen, en wat hierin de verschillen zijn? (1)</w:t>
      </w:r>
    </w:p>
    <w:p w:rsidR="009853FA" w:rsidP="009853FA" w:rsidRDefault="009853FA" w14:paraId="74A59B09" w14:textId="77777777"/>
    <w:p w:rsidR="009853FA" w:rsidP="009853FA" w:rsidRDefault="009853FA" w14:paraId="1039AFAB" w14:textId="77777777">
      <w:r>
        <w:rPr>
          <w:b/>
        </w:rPr>
        <w:t>Antwoord</w:t>
      </w:r>
    </w:p>
    <w:p w:rsidR="009853FA" w:rsidP="009853FA" w:rsidRDefault="009853FA" w14:paraId="1014EF4B" w14:textId="77777777">
      <w:r>
        <w:t>Rond de opening van de Algemene Vergadering van de Verenigde Naties (AVVN) in september 2025 kondigden Frankrijk, Andorra, België, Luxemburg, Malta, Portugal, Australië, Canada, het Verenigd Koninkrijk en Monaco</w:t>
      </w:r>
      <w:r w:rsidRPr="0018421F">
        <w:t xml:space="preserve"> </w:t>
      </w:r>
      <w:r>
        <w:t xml:space="preserve">de erkenning van de Palestijnse staat aan. </w:t>
      </w:r>
    </w:p>
    <w:p w:rsidR="009853FA" w:rsidP="009853FA" w:rsidRDefault="009853FA" w14:paraId="0E2CBE41" w14:textId="77777777"/>
    <w:p w:rsidRPr="0018421F" w:rsidR="009853FA" w:rsidP="009853FA" w:rsidRDefault="009853FA" w14:paraId="658B8B51" w14:textId="77777777">
      <w:r>
        <w:t>Het is niet van alle landen bekend of, en zo ja welke voorwaarden zij hieraan koppelen. Voor Frankrijk, Canada en Australië zou gelden dat zij de Palestijnse staat officieel hebben erkend, maar de implementatie</w:t>
      </w:r>
      <w:r w:rsidRPr="0018421F">
        <w:t xml:space="preserve"> </w:t>
      </w:r>
      <w:r>
        <w:t xml:space="preserve">van </w:t>
      </w:r>
      <w:r w:rsidRPr="0018421F">
        <w:t>de toezeggingen van de Palestijnse Autoriteit voor hervormingen</w:t>
      </w:r>
      <w:r>
        <w:t xml:space="preserve"> zouden blijven monitoren</w:t>
      </w:r>
      <w:r w:rsidRPr="0018421F">
        <w:t>.</w:t>
      </w:r>
      <w:r>
        <w:t xml:space="preserve"> Frankrijk en Australië zouden overgaan tot het openen van ambassades in de Palestijnse Gebieden.</w:t>
      </w:r>
      <w:r>
        <w:rPr>
          <w:rStyle w:val="Voetnootmarkering"/>
        </w:rPr>
        <w:footnoteReference w:id="1"/>
      </w:r>
    </w:p>
    <w:p w:rsidRPr="0018421F" w:rsidR="009853FA" w:rsidP="009853FA" w:rsidRDefault="009853FA" w14:paraId="356C9C1C" w14:textId="77777777"/>
    <w:p w:rsidR="009853FA" w:rsidP="009853FA" w:rsidRDefault="009853FA" w14:paraId="22ADB76A" w14:textId="77777777">
      <w:r>
        <w:t xml:space="preserve">In het geval van België zou </w:t>
      </w:r>
      <w:r w:rsidRPr="0018421F">
        <w:t xml:space="preserve">administratieve formalisering van </w:t>
      </w:r>
      <w:r>
        <w:t>de</w:t>
      </w:r>
      <w:r w:rsidRPr="0018421F">
        <w:t xml:space="preserve"> erkenning plaatsvinden zodra alle gijzelaars zijn vrijgelaten en</w:t>
      </w:r>
      <w:r>
        <w:t xml:space="preserve"> terroristische organisaties zoals Hamas geen rol spelen in het bestuur van de Palestijnse Gebieden. A</w:t>
      </w:r>
      <w:r w:rsidRPr="0018421F">
        <w:t>ctieve diplomatieke betrekkingen</w:t>
      </w:r>
      <w:r>
        <w:t>, zoals het openen</w:t>
      </w:r>
      <w:r w:rsidRPr="0018421F">
        <w:t xml:space="preserve"> een Belgische ambassade</w:t>
      </w:r>
      <w:r>
        <w:t>,</w:t>
      </w:r>
      <w:r w:rsidRPr="0018421F">
        <w:t xml:space="preserve"> </w:t>
      </w:r>
      <w:r>
        <w:t>zou plaatsvinden</w:t>
      </w:r>
      <w:r w:rsidRPr="0018421F">
        <w:t xml:space="preserve"> zodra de doelstellingen van de </w:t>
      </w:r>
      <w:r w:rsidRPr="0018421F">
        <w:rPr>
          <w:i/>
          <w:iCs/>
        </w:rPr>
        <w:t>New York Declaration</w:t>
      </w:r>
      <w:r w:rsidRPr="0018421F">
        <w:t xml:space="preserve"> zijn verwezenlijkt, </w:t>
      </w:r>
      <w:r>
        <w:t>waaronder</w:t>
      </w:r>
      <w:r w:rsidRPr="0018421F">
        <w:t xml:space="preserve"> de volledige demilitarisering van Hamas</w:t>
      </w:r>
      <w:r>
        <w:t>.</w:t>
      </w:r>
      <w:r>
        <w:rPr>
          <w:rStyle w:val="Voetnootmarkering"/>
        </w:rPr>
        <w:footnoteReference w:id="2"/>
      </w:r>
    </w:p>
    <w:p w:rsidR="009853FA" w:rsidP="009853FA" w:rsidRDefault="009853FA" w14:paraId="7D621DCB" w14:textId="77777777"/>
    <w:p w:rsidR="009853FA" w:rsidP="009853FA" w:rsidRDefault="009853FA" w14:paraId="381DEF1B" w14:textId="77777777">
      <w:r>
        <w:rPr>
          <w:b/>
        </w:rPr>
        <w:lastRenderedPageBreak/>
        <w:t>Vraag 2</w:t>
      </w:r>
    </w:p>
    <w:p w:rsidR="009853FA" w:rsidP="009853FA" w:rsidRDefault="009853FA" w14:paraId="6F6AAA1C" w14:textId="77777777">
      <w:r>
        <w:t>Klopt het dat het erkennen van een staat een individuele keuze van soevereine landen is? Zo ja, op welke grond is dat bepaald?</w:t>
      </w:r>
    </w:p>
    <w:p w:rsidR="009853FA" w:rsidP="009853FA" w:rsidRDefault="009853FA" w14:paraId="6A0CE310" w14:textId="77777777"/>
    <w:p w:rsidR="009853FA" w:rsidP="009853FA" w:rsidRDefault="009853FA" w14:paraId="0B6FD66D" w14:textId="77777777">
      <w:r>
        <w:rPr>
          <w:b/>
        </w:rPr>
        <w:t>Antwoord</w:t>
      </w:r>
    </w:p>
    <w:p w:rsidR="009853FA" w:rsidP="009853FA" w:rsidRDefault="009853FA" w14:paraId="5C81BF81" w14:textId="77777777">
      <w:r>
        <w:t xml:space="preserve">Ja. Er bestaat onder internationaal recht geen verplichting tot erkenning van statelijkheid (zie ook Kamerstuk </w:t>
      </w:r>
      <w:r w:rsidRPr="00D860EA">
        <w:t>32623-178</w:t>
      </w:r>
      <w:r>
        <w:t>).</w:t>
      </w:r>
    </w:p>
    <w:p w:rsidR="009853FA" w:rsidP="009853FA" w:rsidRDefault="009853FA" w14:paraId="789CA2A2" w14:textId="77777777"/>
    <w:p w:rsidR="009853FA" w:rsidP="009853FA" w:rsidRDefault="009853FA" w14:paraId="2C181AD6" w14:textId="77777777">
      <w:r w:rsidRPr="00D860EA">
        <w:t xml:space="preserve">In algemene zin geldt dat op grond van het internationaal recht een entiteit als staat wordt beschouwd indien is voldaan aan vijf criteria: </w:t>
      </w:r>
      <w:r>
        <w:t>1) e</w:t>
      </w:r>
      <w:r w:rsidRPr="00D860EA">
        <w:t>en afgebakend grondgebied</w:t>
      </w:r>
      <w:r>
        <w:t>, 2) e</w:t>
      </w:r>
      <w:r w:rsidRPr="00D860EA">
        <w:t>en permanente bevolking</w:t>
      </w:r>
      <w:r>
        <w:t>, 3) e</w:t>
      </w:r>
      <w:r w:rsidRPr="00D860EA">
        <w:t>ffectief geza</w:t>
      </w:r>
      <w:r>
        <w:t>g, 4) d</w:t>
      </w:r>
      <w:r w:rsidRPr="00D860EA">
        <w:t xml:space="preserve">e bekwaamheid om internationale betrekkingen te onderhouden en </w:t>
      </w:r>
      <w:r>
        <w:t>5) a</w:t>
      </w:r>
      <w:r w:rsidRPr="00D860EA">
        <w:t xml:space="preserve">fwezigheid van onrechtmatige handelingen bij de totstandkoming van de staat. </w:t>
      </w:r>
      <w:r>
        <w:t xml:space="preserve">De </w:t>
      </w:r>
      <w:r w:rsidRPr="00D860EA">
        <w:t xml:space="preserve">zogenoemde </w:t>
      </w:r>
      <w:r>
        <w:t>‘</w:t>
      </w:r>
      <w:r w:rsidRPr="00D860EA">
        <w:t>Montevideo-criteria</w:t>
      </w:r>
      <w:r>
        <w:t xml:space="preserve">’ </w:t>
      </w:r>
      <w:r w:rsidRPr="00D860EA">
        <w:t xml:space="preserve">betreffen de eerste vier hierboven genoemde feitelijke criteria, zoals opgenomen in het Montevideo Verdrag inzake de Rechten en Plichten van Staten van 1933. Het vijfde criterium betreft een rechtmatigheidscriterium dat is ontwikkeld op basis van de praktijk van staten vanaf het </w:t>
      </w:r>
      <w:r>
        <w:t>I</w:t>
      </w:r>
      <w:r w:rsidRPr="00D860EA">
        <w:t xml:space="preserve">nterbellum. Op basis van deze vijf criteria kan worden vastgesteld of een entiteit een staat is onder internationaal recht. </w:t>
      </w:r>
      <w:r w:rsidRPr="003B02CC">
        <w:t xml:space="preserve">Erkenning veronderstelt het reeds bestaan van </w:t>
      </w:r>
      <w:r>
        <w:t>een staat</w:t>
      </w:r>
      <w:r w:rsidRPr="003B02CC">
        <w:t xml:space="preserve">. Een staat ontstaat niet als gevolg van erkenning. </w:t>
      </w:r>
      <w:r w:rsidRPr="00D860EA">
        <w:t>Erkenning van een entiteit als staat is een bilaterale aangelegenheid</w:t>
      </w:r>
      <w:r>
        <w:t xml:space="preserve"> en een soeverein besluit van elke individuele staat. </w:t>
      </w:r>
    </w:p>
    <w:p w:rsidR="009853FA" w:rsidP="009853FA" w:rsidRDefault="009853FA" w14:paraId="33CA527E" w14:textId="77777777"/>
    <w:p w:rsidR="009853FA" w:rsidP="009853FA" w:rsidRDefault="009853FA" w14:paraId="73CB81F0" w14:textId="77777777">
      <w:r>
        <w:rPr>
          <w:b/>
        </w:rPr>
        <w:t>Vraag 3</w:t>
      </w:r>
    </w:p>
    <w:p w:rsidR="009853FA" w:rsidP="009853FA" w:rsidRDefault="009853FA" w14:paraId="6144D00B" w14:textId="77777777">
      <w:r>
        <w:t>Welke factoren hanteert het Koninkrijk der Nederlanden om te bepalen of het al dan niet overgaat tot erkenning van een staat?</w:t>
      </w:r>
    </w:p>
    <w:p w:rsidR="009853FA" w:rsidP="009853FA" w:rsidRDefault="009853FA" w14:paraId="27EE1994" w14:textId="77777777"/>
    <w:p w:rsidR="009853FA" w:rsidP="009853FA" w:rsidRDefault="009853FA" w14:paraId="74580599" w14:textId="77777777">
      <w:r>
        <w:rPr>
          <w:b/>
        </w:rPr>
        <w:t>Antwoord</w:t>
      </w:r>
    </w:p>
    <w:p w:rsidR="009853FA" w:rsidP="009853FA" w:rsidRDefault="009853FA" w14:paraId="6FDBBFAE" w14:textId="77777777">
      <w:r>
        <w:t xml:space="preserve">Erkenning van een entiteit als staat voordat aan de hierboven genoemde vijf criteria is voldaan, kan leiden tot een schending van het verbod op premature erkenning en het non-interventiebeginsel. Er zal dus altijd door Nederland bepaald dienen te worden of er aan deze criteria is voldaan. Omdat erkenning een soeverein besluit is, kunnen staten aanvullende voorwaarden verbinden aan erkenning. Deze kunnen van geval tot geval verschillen. </w:t>
      </w:r>
    </w:p>
    <w:p w:rsidR="009853FA" w:rsidP="009853FA" w:rsidRDefault="009853FA" w14:paraId="5C557537" w14:textId="77777777"/>
    <w:p w:rsidR="009853FA" w:rsidP="009853FA" w:rsidRDefault="009853FA" w14:paraId="557E9453" w14:textId="77777777">
      <w:r>
        <w:rPr>
          <w:b/>
        </w:rPr>
        <w:t>Vraag 4</w:t>
      </w:r>
    </w:p>
    <w:p w:rsidR="009853FA" w:rsidP="009853FA" w:rsidRDefault="009853FA" w14:paraId="740D09B8" w14:textId="77777777">
      <w:r>
        <w:lastRenderedPageBreak/>
        <w:t>Welke factoren moeten aanwezig zijn in een staat voor het Koninkrijken der Nederlanden om over te kunnen gaan tot erkenning? Is de aanwezigheid van deze factoren voor het Koninkrijk Nederland dan ook leidend in het overgaan tot erkenning of zijn er andere factoren meer van invloed?</w:t>
      </w:r>
    </w:p>
    <w:p w:rsidR="009853FA" w:rsidP="009853FA" w:rsidRDefault="009853FA" w14:paraId="333AC251" w14:textId="77777777">
      <w:r>
        <w:rPr>
          <w:b/>
        </w:rPr>
        <w:t>Antwoord</w:t>
      </w:r>
    </w:p>
    <w:p w:rsidR="009853FA" w:rsidP="009853FA" w:rsidRDefault="009853FA" w14:paraId="703D7B9C" w14:textId="77777777">
      <w:r>
        <w:t xml:space="preserve">Zie de antwoorden op vragen 2 en 3. </w:t>
      </w:r>
    </w:p>
    <w:p w:rsidR="009853FA" w:rsidP="009853FA" w:rsidRDefault="009853FA" w14:paraId="01BBF5E1" w14:textId="77777777"/>
    <w:p w:rsidR="009853FA" w:rsidP="009853FA" w:rsidRDefault="009853FA" w14:paraId="22D462ED" w14:textId="77777777">
      <w:r>
        <w:rPr>
          <w:b/>
        </w:rPr>
        <w:t>Vraag 5</w:t>
      </w:r>
    </w:p>
    <w:p w:rsidR="009853FA" w:rsidP="009853FA" w:rsidRDefault="009853FA" w14:paraId="48E3DBB1" w14:textId="77777777">
      <w:r>
        <w:t>Is het Koninkrijk der Nederlanden ooit overgegaan tot erkenning op basis van andere factoren dan die in het heden gehanteerd worden? Zo ja, welke factoren lagen daar dan aan ten grondslag?</w:t>
      </w:r>
    </w:p>
    <w:p w:rsidR="009853FA" w:rsidP="009853FA" w:rsidRDefault="009853FA" w14:paraId="686FEB9E" w14:textId="77777777"/>
    <w:p w:rsidR="009853FA" w:rsidP="009853FA" w:rsidRDefault="009853FA" w14:paraId="28AEEFD4" w14:textId="77777777">
      <w:r>
        <w:rPr>
          <w:b/>
        </w:rPr>
        <w:t>Antwoord</w:t>
      </w:r>
    </w:p>
    <w:p w:rsidR="009853FA" w:rsidP="009853FA" w:rsidRDefault="009853FA" w14:paraId="5A337347" w14:textId="77777777">
      <w:r>
        <w:t>Bij de totstandkoming van nieuwe staten op het grondgebied van het voormalig Joegoslavië en de voormalige Sovjet-Unie zijn in 1991 binnen EU-verband specifieke aanvullende criteria benoemd, alvorens tot erkenning van de nieuwe staten door individuele lidstaten van de EU zou worden overgegaan. Dat omvatte bijvoorbeeld het criterium van een democratisch politiek systeem en het criterium van voldoende garanties voor de rechten van minderheden binnen de grenzen van de nieuwe staten. Nederland is, net zoals de andere lidstaten van de EU, pas tot erkenning van de relevante staten overgegaan nadat er door de te erkennen entiteiten voldoende garanties waren gegeven dat de aanvullende criteria zouden worden nageleefd.</w:t>
      </w:r>
    </w:p>
    <w:p w:rsidR="009853FA" w:rsidP="009853FA" w:rsidRDefault="009853FA" w14:paraId="02DA4DC7" w14:textId="77777777"/>
    <w:p w:rsidRPr="00C847D9" w:rsidR="009853FA" w:rsidP="009853FA" w:rsidRDefault="009853FA" w14:paraId="0BE67CC0" w14:textId="77777777">
      <w:pPr>
        <w:rPr>
          <w:b/>
          <w:bCs/>
        </w:rPr>
      </w:pPr>
      <w:r w:rsidRPr="00C847D9">
        <w:rPr>
          <w:b/>
          <w:bCs/>
        </w:rPr>
        <w:t>Vraag 6</w:t>
      </w:r>
    </w:p>
    <w:p w:rsidR="009853FA" w:rsidP="009853FA" w:rsidRDefault="009853FA" w14:paraId="244C80BC" w14:textId="77777777">
      <w:r>
        <w:t>Heeft het Koninkrijk der Nederlanden ooit haar erkenning van een staat ingetrokken? Zo ja, bij welke staten was dit het geval en wat lag daaraan ten grondslag?</w:t>
      </w:r>
    </w:p>
    <w:p w:rsidRPr="00C847D9" w:rsidR="009853FA" w:rsidP="009853FA" w:rsidRDefault="009853FA" w14:paraId="25F3727F" w14:textId="77777777">
      <w:pPr>
        <w:rPr>
          <w:b/>
          <w:bCs/>
        </w:rPr>
      </w:pPr>
    </w:p>
    <w:p w:rsidR="009853FA" w:rsidP="009853FA" w:rsidRDefault="009853FA" w14:paraId="077C444D" w14:textId="77777777">
      <w:pPr>
        <w:rPr>
          <w:b/>
          <w:bCs/>
        </w:rPr>
      </w:pPr>
      <w:r w:rsidRPr="00C847D9">
        <w:rPr>
          <w:b/>
          <w:bCs/>
        </w:rPr>
        <w:t>Antwoord</w:t>
      </w:r>
    </w:p>
    <w:p w:rsidRPr="00D860EA" w:rsidR="009853FA" w:rsidP="009853FA" w:rsidRDefault="009853FA" w14:paraId="4554E4C0" w14:textId="77777777">
      <w:r w:rsidRPr="00D860EA">
        <w:t>Er zijn geen voorbeelden bekend waar Nederland de erkenning van een staat weer heeft ingetrokken.</w:t>
      </w:r>
    </w:p>
    <w:p w:rsidRPr="00C847D9" w:rsidR="009853FA" w:rsidP="009853FA" w:rsidRDefault="009853FA" w14:paraId="64D8605E" w14:textId="77777777">
      <w:pPr>
        <w:rPr>
          <w:b/>
          <w:bCs/>
        </w:rPr>
      </w:pPr>
    </w:p>
    <w:p w:rsidRPr="00C847D9" w:rsidR="009853FA" w:rsidP="009853FA" w:rsidRDefault="009853FA" w14:paraId="5BF5EABC" w14:textId="77777777">
      <w:pPr>
        <w:rPr>
          <w:b/>
          <w:bCs/>
        </w:rPr>
      </w:pPr>
      <w:r w:rsidRPr="00C847D9">
        <w:rPr>
          <w:b/>
          <w:bCs/>
        </w:rPr>
        <w:t>Vraag 7</w:t>
      </w:r>
    </w:p>
    <w:p w:rsidR="009853FA" w:rsidP="009853FA" w:rsidRDefault="009853FA" w14:paraId="043B206B" w14:textId="77777777">
      <w:r>
        <w:lastRenderedPageBreak/>
        <w:t>Zou u kunnen uitweiden over de praktische gevolgen van de officieuze erkenning van een staat?</w:t>
      </w:r>
    </w:p>
    <w:p w:rsidR="009853FA" w:rsidP="009853FA" w:rsidRDefault="009853FA" w14:paraId="6B574E7C" w14:textId="77777777"/>
    <w:p w:rsidRPr="00C847D9" w:rsidR="009853FA" w:rsidP="009853FA" w:rsidRDefault="009853FA" w14:paraId="0F6ACBEF" w14:textId="77777777">
      <w:pPr>
        <w:rPr>
          <w:b/>
          <w:bCs/>
        </w:rPr>
      </w:pPr>
      <w:r w:rsidRPr="00C847D9">
        <w:rPr>
          <w:b/>
          <w:bCs/>
        </w:rPr>
        <w:t>Antwoord</w:t>
      </w:r>
    </w:p>
    <w:p w:rsidR="009853FA" w:rsidP="009853FA" w:rsidRDefault="009853FA" w14:paraId="0F1E3E0F" w14:textId="77777777">
      <w:r>
        <w:t xml:space="preserve">Erkenning betekent dat de erkende staat op voet van gelijkheid met andere erkennende staten kan deelnemen aan het internationale verkeer. Erkenning kan gepaard gaan met het aangaan van diplomatieke betrekkingen, maar daartoe bestaat onder internationaal recht geen verplichting, ook niet na erkenning. Erkenning betekent ook dat de erkennende staat bevestigt dat alle rechten en plichten van staten onder internationaal gewoonterecht van toepassing zijn op de erkende staat. </w:t>
      </w:r>
      <w:r w:rsidRPr="00A55DFA">
        <w:t>Hieronder valt bijvoorbeeld het recht op soevereine gelijkheid, het recht van soevereiniteit over het grondgebied van de staat en de daar woonachtige bevolking, het recht verdragen te sluiten, het recht als staat toe te treden tot internationale organisaties en het gewoonterechtelijk recht op individuele en collectieve zelfverdediging</w:t>
      </w:r>
      <w:r>
        <w:t xml:space="preserve">. Naarmate meer staten een entiteit als staat hebben erkend, zal de kans op toetreding tot internationale organisaties als de Verenigde Naties voor de erkende staat toenemen. </w:t>
      </w:r>
    </w:p>
    <w:p w:rsidR="009853FA" w:rsidP="009853FA" w:rsidRDefault="009853FA" w14:paraId="163F7BB3" w14:textId="77777777"/>
    <w:p w:rsidRPr="00C847D9" w:rsidR="009853FA" w:rsidP="009853FA" w:rsidRDefault="009853FA" w14:paraId="1C7948FD" w14:textId="77777777">
      <w:pPr>
        <w:rPr>
          <w:b/>
          <w:bCs/>
        </w:rPr>
      </w:pPr>
      <w:bookmarkStart w:name="_Hlk209777107" w:id="0"/>
      <w:r w:rsidRPr="00C847D9">
        <w:rPr>
          <w:b/>
          <w:bCs/>
        </w:rPr>
        <w:t>Vraag 8</w:t>
      </w:r>
    </w:p>
    <w:p w:rsidR="009853FA" w:rsidP="009853FA" w:rsidRDefault="009853FA" w14:paraId="73F1C5E8" w14:textId="77777777">
      <w:r>
        <w:t>Zijn er belemmeringen voor burgers van een land dat het Koninkrijk der Nederlanden niet erkent, als zij in het Koninkrijk verblijven? Zo ja, welke zijn dat?</w:t>
      </w:r>
    </w:p>
    <w:p w:rsidRPr="00EF39DA" w:rsidR="009853FA" w:rsidP="009853FA" w:rsidRDefault="009853FA" w14:paraId="1D4257BC" w14:textId="77777777">
      <w:pPr>
        <w:rPr>
          <w:b/>
          <w:bCs/>
        </w:rPr>
      </w:pPr>
      <w:r w:rsidRPr="00EF39DA">
        <w:rPr>
          <w:b/>
          <w:bCs/>
        </w:rPr>
        <w:t>Antwoord</w:t>
      </w:r>
    </w:p>
    <w:p w:rsidRPr="00EF39DA" w:rsidR="009853FA" w:rsidP="009853FA" w:rsidRDefault="009853FA" w14:paraId="152C83EB" w14:textId="77777777">
      <w:r w:rsidRPr="00EF39DA">
        <w:t>Nee, er zijn in beginsel geen belemmeringen voor personen afkomstig uit een niet door het Koninkrijk erkende entiteit als zij in het Koninkrijk verblijven. Deze personen genieten binnen het Koninkrijk de volledige bescherming van grondrechten en mensenrechten gegarandeerd in het Statuut, de Grondwet en verdragen. Wel kan de niet-erkenning leiden tot praktische complicaties, bijvoorbeeld bij de erkenning van reisdocumenten, registratie van nationaliteit en consulaire ondersteuning. Deze zaken doen echter niet af aan hun rechtspositie binnen het Koninkrijk.</w:t>
      </w:r>
    </w:p>
    <w:bookmarkEnd w:id="0"/>
    <w:p w:rsidRPr="00C847D9" w:rsidR="009853FA" w:rsidP="009853FA" w:rsidRDefault="009853FA" w14:paraId="67CD7FD2" w14:textId="77777777">
      <w:pPr>
        <w:rPr>
          <w:b/>
          <w:bCs/>
        </w:rPr>
      </w:pPr>
    </w:p>
    <w:p w:rsidRPr="00C847D9" w:rsidR="009853FA" w:rsidP="009853FA" w:rsidRDefault="009853FA" w14:paraId="51AD96FF" w14:textId="77777777">
      <w:pPr>
        <w:rPr>
          <w:b/>
          <w:bCs/>
        </w:rPr>
      </w:pPr>
      <w:r w:rsidRPr="00C847D9">
        <w:rPr>
          <w:b/>
          <w:bCs/>
        </w:rPr>
        <w:t>Vraag 9</w:t>
      </w:r>
    </w:p>
    <w:p w:rsidR="009853FA" w:rsidP="009853FA" w:rsidRDefault="009853FA" w14:paraId="0B868A35" w14:textId="77777777">
      <w:r>
        <w:t>Kunt u uitweiden over waarom het Koninkrijk der Nederlanden vooralsnog niet is overgegaan tot erkenning van de staat Palestina, al dan niet officieus naar Belgisch voorbeeld?</w:t>
      </w:r>
    </w:p>
    <w:p w:rsidRPr="00936116" w:rsidR="009853FA" w:rsidP="009853FA" w:rsidRDefault="009853FA" w14:paraId="4370D75D" w14:textId="77777777">
      <w:pPr>
        <w:rPr>
          <w:b/>
          <w:bCs/>
        </w:rPr>
      </w:pPr>
      <w:r w:rsidRPr="00C847D9">
        <w:rPr>
          <w:b/>
          <w:bCs/>
        </w:rPr>
        <w:t>Antwoord</w:t>
      </w:r>
    </w:p>
    <w:p w:rsidRPr="00936116" w:rsidR="009853FA" w:rsidP="009853FA" w:rsidRDefault="009853FA" w14:paraId="5B02E8E5" w14:textId="77777777">
      <w:pPr>
        <w:spacing w:line="240" w:lineRule="auto"/>
      </w:pPr>
      <w:r w:rsidRPr="00582A2D">
        <w:lastRenderedPageBreak/>
        <w:t>Zoals gecommuniceerd aan uw Kamer door de toenmalige minister van Buitenlandse Zaken Bruins Slot tijdens de Raad Algemene Zaken van 23 mei 2024, moet</w:t>
      </w:r>
      <w:r>
        <w:t xml:space="preserve"> e</w:t>
      </w:r>
      <w:r w:rsidRPr="00936116">
        <w:t>rkenning van de Palestijnse staat voor Nederland onderdeel zijn van het politieke proces dat moet leiden tot een tweestatenoplossing. Erkenning vraagt om een zorgvuldige afweging, waarbij niet alleen gekeken moet worden wat dit kan betekenen voor een eventuele duurzame oplossing, maar ook wat we verwachten van de Palestijnse Autoriteit met betrekking tot noodzakelijke hervormingen. Deze factoren wegen mee in de afweging om te erkennen.</w:t>
      </w:r>
    </w:p>
    <w:p w:rsidR="009853FA" w:rsidP="009853FA" w:rsidRDefault="009853FA" w14:paraId="19AD786E" w14:textId="77777777"/>
    <w:p w:rsidR="009853FA" w:rsidP="009853FA" w:rsidRDefault="009853FA" w14:paraId="2EF1C245" w14:textId="77777777"/>
    <w:p w:rsidR="002964AC" w:rsidRDefault="002964AC" w14:paraId="0BB68E49" w14:textId="77777777"/>
    <w:sectPr w:rsidR="002964AC" w:rsidSect="009853FA">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12B1E" w14:textId="77777777" w:rsidR="009853FA" w:rsidRDefault="009853FA" w:rsidP="009853FA">
      <w:pPr>
        <w:spacing w:after="0" w:line="240" w:lineRule="auto"/>
      </w:pPr>
      <w:r>
        <w:separator/>
      </w:r>
    </w:p>
  </w:endnote>
  <w:endnote w:type="continuationSeparator" w:id="0">
    <w:p w14:paraId="3749C892" w14:textId="77777777" w:rsidR="009853FA" w:rsidRDefault="009853FA" w:rsidP="0098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B573" w14:textId="77777777" w:rsidR="009853FA" w:rsidRPr="009853FA" w:rsidRDefault="009853FA" w:rsidP="009853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48187" w14:textId="77777777" w:rsidR="009853FA" w:rsidRPr="009853FA" w:rsidRDefault="009853FA" w:rsidP="009853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4684B" w14:textId="77777777" w:rsidR="009853FA" w:rsidRPr="009853FA" w:rsidRDefault="009853FA" w:rsidP="009853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BE23A" w14:textId="77777777" w:rsidR="009853FA" w:rsidRDefault="009853FA" w:rsidP="009853FA">
      <w:pPr>
        <w:spacing w:after="0" w:line="240" w:lineRule="auto"/>
      </w:pPr>
      <w:r>
        <w:separator/>
      </w:r>
    </w:p>
  </w:footnote>
  <w:footnote w:type="continuationSeparator" w:id="0">
    <w:p w14:paraId="131BDB2F" w14:textId="77777777" w:rsidR="009853FA" w:rsidRDefault="009853FA" w:rsidP="009853FA">
      <w:pPr>
        <w:spacing w:after="0" w:line="240" w:lineRule="auto"/>
      </w:pPr>
      <w:r>
        <w:continuationSeparator/>
      </w:r>
    </w:p>
  </w:footnote>
  <w:footnote w:id="1">
    <w:p w14:paraId="6198AF9F" w14:textId="77777777" w:rsidR="009853FA" w:rsidRPr="00CE4745" w:rsidRDefault="009853FA" w:rsidP="009853FA">
      <w:pPr>
        <w:pStyle w:val="Voetnoottekst"/>
        <w:rPr>
          <w:rStyle w:val="Hyperlink"/>
          <w:sz w:val="16"/>
          <w:szCs w:val="16"/>
          <w:lang w:val="en-US"/>
        </w:rPr>
      </w:pPr>
      <w:r>
        <w:rPr>
          <w:rStyle w:val="Voetnootmarkering"/>
        </w:rPr>
        <w:footnoteRef/>
      </w:r>
      <w:r w:rsidRPr="002D5147">
        <w:rPr>
          <w:lang w:val="en-US"/>
        </w:rPr>
        <w:t xml:space="preserve"> </w:t>
      </w:r>
      <w:hyperlink r:id="rId1" w:history="1">
        <w:r w:rsidRPr="00C44C44">
          <w:rPr>
            <w:rStyle w:val="Hyperlink"/>
            <w:sz w:val="16"/>
            <w:szCs w:val="16"/>
            <w:lang w:val="en-US"/>
          </w:rPr>
          <w:t>Australia recognises the state of Palestine | Prime Minister of Australia</w:t>
        </w:r>
      </w:hyperlink>
    </w:p>
    <w:p w14:paraId="399643D3" w14:textId="77777777" w:rsidR="009853FA" w:rsidRPr="00CE4745" w:rsidRDefault="009853FA" w:rsidP="009853FA">
      <w:pPr>
        <w:pStyle w:val="Voetnoottekst"/>
        <w:rPr>
          <w:sz w:val="16"/>
          <w:szCs w:val="16"/>
          <w:lang w:val="en-US"/>
        </w:rPr>
      </w:pPr>
      <w:hyperlink r:id="rId2" w:history="1">
        <w:r w:rsidRPr="002D5147">
          <w:rPr>
            <w:rStyle w:val="Hyperlink"/>
            <w:sz w:val="16"/>
            <w:szCs w:val="16"/>
            <w:lang w:val="en-US"/>
          </w:rPr>
          <w:t>Statement by Prime Minister Carney on Canada’s recognition of the State of Palestine | Prime Minister of Canada</w:t>
        </w:r>
      </w:hyperlink>
    </w:p>
    <w:p w14:paraId="54B4C00E" w14:textId="77777777" w:rsidR="009853FA" w:rsidRPr="002D5147" w:rsidRDefault="009853FA" w:rsidP="009853FA">
      <w:pPr>
        <w:pStyle w:val="Voetnoottekst"/>
        <w:rPr>
          <w:lang w:val="en-US"/>
        </w:rPr>
      </w:pPr>
      <w:hyperlink r:id="rId3" w:history="1">
        <w:r w:rsidRPr="002D5147">
          <w:rPr>
            <w:rStyle w:val="Hyperlink"/>
            <w:sz w:val="16"/>
            <w:szCs w:val="16"/>
            <w:lang w:val="en-US"/>
          </w:rPr>
          <w:t>Statement by Mr Bart De Wever, Prime Minister of Belgium, delivered at the Two State Solution Conference | Bart De Wever</w:t>
        </w:r>
      </w:hyperlink>
    </w:p>
  </w:footnote>
  <w:footnote w:id="2">
    <w:p w14:paraId="3538C116" w14:textId="77777777" w:rsidR="009853FA" w:rsidRPr="002D5147" w:rsidRDefault="009853FA" w:rsidP="009853FA">
      <w:pPr>
        <w:pStyle w:val="Voetnoottekst"/>
        <w:rPr>
          <w:lang w:val="en-US"/>
        </w:rPr>
      </w:pPr>
      <w:r w:rsidRPr="002D5147">
        <w:rPr>
          <w:rStyle w:val="Voetnootmarkering"/>
          <w:sz w:val="16"/>
          <w:szCs w:val="16"/>
        </w:rPr>
        <w:footnoteRef/>
      </w:r>
      <w:r w:rsidRPr="002D5147">
        <w:rPr>
          <w:sz w:val="16"/>
          <w:szCs w:val="16"/>
          <w:lang w:val="en-US"/>
        </w:rPr>
        <w:t xml:space="preserve"> </w:t>
      </w:r>
      <w:hyperlink r:id="rId4" w:history="1">
        <w:r w:rsidRPr="002D5147">
          <w:rPr>
            <w:rStyle w:val="Hyperlink"/>
            <w:sz w:val="16"/>
            <w:szCs w:val="16"/>
            <w:lang w:val="en-US"/>
          </w:rPr>
          <w:t>Statement by Mr Bart De Wever, Prime Minister of Belgium, delivered at the Two State Solution Conference | Bart De Wever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DDFB" w14:textId="77777777" w:rsidR="009853FA" w:rsidRPr="009853FA" w:rsidRDefault="009853FA" w:rsidP="009853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1A82" w14:textId="77777777" w:rsidR="009853FA" w:rsidRPr="009853FA" w:rsidRDefault="009853FA" w:rsidP="009853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77BF" w14:textId="77777777" w:rsidR="009853FA" w:rsidRPr="009853FA" w:rsidRDefault="009853FA" w:rsidP="009853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FA"/>
    <w:rsid w:val="002964AC"/>
    <w:rsid w:val="002E2018"/>
    <w:rsid w:val="009853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8D59"/>
  <w15:chartTrackingRefBased/>
  <w15:docId w15:val="{82781A8F-B83D-4914-B4C0-3B3B839A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53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53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53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53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853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853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53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53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53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53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53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53F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53F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53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53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53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53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53FA"/>
    <w:rPr>
      <w:rFonts w:eastAsiaTheme="majorEastAsia" w:cstheme="majorBidi"/>
      <w:color w:val="272727" w:themeColor="text1" w:themeTint="D8"/>
    </w:rPr>
  </w:style>
  <w:style w:type="paragraph" w:styleId="Titel">
    <w:name w:val="Title"/>
    <w:basedOn w:val="Standaard"/>
    <w:next w:val="Standaard"/>
    <w:link w:val="TitelChar"/>
    <w:uiPriority w:val="10"/>
    <w:qFormat/>
    <w:rsid w:val="00985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53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53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53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53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53FA"/>
    <w:rPr>
      <w:i/>
      <w:iCs/>
      <w:color w:val="404040" w:themeColor="text1" w:themeTint="BF"/>
    </w:rPr>
  </w:style>
  <w:style w:type="paragraph" w:styleId="Lijstalinea">
    <w:name w:val="List Paragraph"/>
    <w:basedOn w:val="Standaard"/>
    <w:uiPriority w:val="34"/>
    <w:qFormat/>
    <w:rsid w:val="009853FA"/>
    <w:pPr>
      <w:ind w:left="720"/>
      <w:contextualSpacing/>
    </w:pPr>
  </w:style>
  <w:style w:type="character" w:styleId="Intensievebenadrukking">
    <w:name w:val="Intense Emphasis"/>
    <w:basedOn w:val="Standaardalinea-lettertype"/>
    <w:uiPriority w:val="21"/>
    <w:qFormat/>
    <w:rsid w:val="009853FA"/>
    <w:rPr>
      <w:i/>
      <w:iCs/>
      <w:color w:val="2F5496" w:themeColor="accent1" w:themeShade="BF"/>
    </w:rPr>
  </w:style>
  <w:style w:type="paragraph" w:styleId="Duidelijkcitaat">
    <w:name w:val="Intense Quote"/>
    <w:basedOn w:val="Standaard"/>
    <w:next w:val="Standaard"/>
    <w:link w:val="DuidelijkcitaatChar"/>
    <w:uiPriority w:val="30"/>
    <w:qFormat/>
    <w:rsid w:val="00985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53FA"/>
    <w:rPr>
      <w:i/>
      <w:iCs/>
      <w:color w:val="2F5496" w:themeColor="accent1" w:themeShade="BF"/>
    </w:rPr>
  </w:style>
  <w:style w:type="character" w:styleId="Intensieveverwijzing">
    <w:name w:val="Intense Reference"/>
    <w:basedOn w:val="Standaardalinea-lettertype"/>
    <w:uiPriority w:val="32"/>
    <w:qFormat/>
    <w:rsid w:val="009853FA"/>
    <w:rPr>
      <w:b/>
      <w:bCs/>
      <w:smallCaps/>
      <w:color w:val="2F5496" w:themeColor="accent1" w:themeShade="BF"/>
      <w:spacing w:val="5"/>
    </w:rPr>
  </w:style>
  <w:style w:type="character" w:styleId="Hyperlink">
    <w:name w:val="Hyperlink"/>
    <w:basedOn w:val="Standaardalinea-lettertype"/>
    <w:uiPriority w:val="99"/>
    <w:unhideWhenUsed/>
    <w:rsid w:val="009853FA"/>
    <w:rPr>
      <w:color w:val="0563C1" w:themeColor="hyperlink"/>
      <w:u w:val="single"/>
    </w:rPr>
  </w:style>
  <w:style w:type="paragraph" w:styleId="Voetnoottekst">
    <w:name w:val="footnote text"/>
    <w:basedOn w:val="Standaard"/>
    <w:link w:val="VoetnoottekstChar"/>
    <w:uiPriority w:val="99"/>
    <w:semiHidden/>
    <w:unhideWhenUsed/>
    <w:rsid w:val="009853F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853F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853FA"/>
    <w:rPr>
      <w:vertAlign w:val="superscript"/>
    </w:rPr>
  </w:style>
  <w:style w:type="paragraph" w:styleId="Koptekst">
    <w:name w:val="header"/>
    <w:basedOn w:val="Standaard"/>
    <w:link w:val="KoptekstChar"/>
    <w:uiPriority w:val="99"/>
    <w:unhideWhenUsed/>
    <w:rsid w:val="009853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53FA"/>
  </w:style>
  <w:style w:type="paragraph" w:styleId="Voettekst">
    <w:name w:val="footer"/>
    <w:basedOn w:val="Standaard"/>
    <w:link w:val="VoettekstChar"/>
    <w:uiPriority w:val="99"/>
    <w:unhideWhenUsed/>
    <w:rsid w:val="009853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remier.be/nl/nieuws/statement-mr-bart-de-wever-prime-minister-belgium-delivered-two-state-solution-conference" TargetMode="External"/><Relationship Id="rId2" Type="http://schemas.openxmlformats.org/officeDocument/2006/relationships/hyperlink" Target="https://www.pm.gc.ca/en/news/statements/2025/09/21/statement-prime-minister-carney-on-canada-recognition-state-palestine" TargetMode="External"/><Relationship Id="rId1" Type="http://schemas.openxmlformats.org/officeDocument/2006/relationships/hyperlink" Target="https://www.pm.gov.au/media/australia-recognises-state-palestine" TargetMode="External"/><Relationship Id="rId4" Type="http://schemas.openxmlformats.org/officeDocument/2006/relationships/hyperlink" Target="https://premier.be/nl/nieuws/statement-mr-bart-de-wever-prime-minister-belgium-delivered-two-state-solution-conferen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1151</ap:Words>
  <ap:Characters>6331</ap:Characters>
  <ap:DocSecurity>0</ap:DocSecurity>
  <ap:Lines>52</ap:Lines>
  <ap:Paragraphs>14</ap:Paragraphs>
  <ap:ScaleCrop>false</ap:ScaleCrop>
  <ap:LinksUpToDate>false</ap:LinksUpToDate>
  <ap:CharactersWithSpaces>7468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2025-09-30T10:31:00.0000000Z</dcterms:created>
  <dcterms:modified xsi:type="dcterms:W3CDTF">2025-09-30T10:32:00.0000000Z</dcterms:modified>
  <version/>
  <category/>
</coreProperties>
</file>