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B33" w:rsidRDefault="003042F7" w14:paraId="0A8B9EF6" w14:textId="77777777">
      <w:pPr>
        <w:pStyle w:val="Plattetekst"/>
        <w:ind w:left="4026"/>
        <w:rPr>
          <w:rFonts w:ascii="Times New Roman"/>
          <w:sz w:val="20"/>
        </w:rPr>
      </w:pPr>
      <w:r>
        <w:rPr>
          <w:rFonts w:ascii="Times New Roman"/>
          <w:noProof/>
          <w:sz w:val="20"/>
        </w:rPr>
        <w:drawing>
          <wp:inline distT="0" distB="0" distL="0" distR="0" wp14:anchorId="7AAD7A36" wp14:editId="6C36719C">
            <wp:extent cx="2801368" cy="15819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01368" cy="1581911"/>
                    </a:xfrm>
                    <a:prstGeom prst="rect">
                      <a:avLst/>
                    </a:prstGeom>
                  </pic:spPr>
                </pic:pic>
              </a:graphicData>
            </a:graphic>
          </wp:inline>
        </w:drawing>
      </w:r>
    </w:p>
    <w:p w:rsidR="00D62B33" w:rsidRDefault="00D62B33" w14:paraId="295DFE1D" w14:textId="77777777">
      <w:pPr>
        <w:pStyle w:val="Plattetekst"/>
        <w:spacing w:before="3"/>
        <w:rPr>
          <w:rFonts w:ascii="Times New Roman"/>
          <w:sz w:val="10"/>
        </w:rPr>
      </w:pPr>
    </w:p>
    <w:p w:rsidR="00D62B33" w:rsidRDefault="00D62B33" w14:paraId="15EA6199" w14:textId="77777777">
      <w:pPr>
        <w:pStyle w:val="Plattetekst"/>
        <w:rPr>
          <w:rFonts w:ascii="Times New Roman"/>
          <w:sz w:val="10"/>
        </w:rPr>
        <w:sectPr w:rsidR="00D62B33">
          <w:headerReference w:type="even" r:id="rId7"/>
          <w:headerReference w:type="default" r:id="rId8"/>
          <w:footerReference w:type="even" r:id="rId9"/>
          <w:footerReference w:type="default" r:id="rId10"/>
          <w:headerReference w:type="first" r:id="rId11"/>
          <w:footerReference w:type="first" r:id="rId12"/>
          <w:type w:val="continuous"/>
          <w:pgSz w:w="11910" w:h="16840"/>
          <w:pgMar w:top="0" w:right="1275" w:bottom="760" w:left="1559" w:header="0" w:footer="561" w:gutter="0"/>
          <w:pgNumType w:start="1"/>
          <w:cols w:space="708"/>
        </w:sectPr>
      </w:pPr>
    </w:p>
    <w:p w:rsidR="00D62B33" w:rsidRDefault="003042F7" w14:paraId="5BAEF3DC" w14:textId="77777777">
      <w:pPr>
        <w:spacing w:before="100"/>
        <w:ind w:left="31"/>
        <w:rPr>
          <w:sz w:val="13"/>
        </w:rPr>
      </w:pPr>
      <w:r>
        <w:rPr>
          <w:sz w:val="13"/>
        </w:rPr>
        <w:t>&gt;</w:t>
      </w:r>
      <w:r>
        <w:rPr>
          <w:spacing w:val="-5"/>
          <w:sz w:val="13"/>
        </w:rPr>
        <w:t xml:space="preserve"> </w:t>
      </w:r>
      <w:r>
        <w:rPr>
          <w:sz w:val="13"/>
        </w:rPr>
        <w:t>Retouradres</w:t>
      </w:r>
      <w:r>
        <w:rPr>
          <w:spacing w:val="-1"/>
          <w:sz w:val="13"/>
        </w:rPr>
        <w:t xml:space="preserve"> </w:t>
      </w:r>
      <w:r>
        <w:rPr>
          <w:sz w:val="13"/>
        </w:rPr>
        <w:t>POSTBUS</w:t>
      </w:r>
      <w:r>
        <w:rPr>
          <w:spacing w:val="-1"/>
          <w:sz w:val="13"/>
        </w:rPr>
        <w:t xml:space="preserve"> </w:t>
      </w:r>
      <w:r>
        <w:rPr>
          <w:sz w:val="13"/>
        </w:rPr>
        <w:t>20201</w:t>
      </w:r>
      <w:r>
        <w:rPr>
          <w:spacing w:val="-1"/>
          <w:sz w:val="13"/>
        </w:rPr>
        <w:t xml:space="preserve"> </w:t>
      </w:r>
      <w:r>
        <w:rPr>
          <w:sz w:val="13"/>
        </w:rPr>
        <w:t>2500</w:t>
      </w:r>
      <w:r>
        <w:rPr>
          <w:spacing w:val="-1"/>
          <w:sz w:val="13"/>
        </w:rPr>
        <w:t xml:space="preserve"> </w:t>
      </w:r>
      <w:r>
        <w:rPr>
          <w:sz w:val="13"/>
        </w:rPr>
        <w:t>EE</w:t>
      </w:r>
      <w:r>
        <w:rPr>
          <w:spacing w:val="38"/>
          <w:sz w:val="13"/>
        </w:rPr>
        <w:t xml:space="preserve"> </w:t>
      </w:r>
      <w:r>
        <w:rPr>
          <w:sz w:val="13"/>
        </w:rPr>
        <w:t>Den</w:t>
      </w:r>
      <w:r>
        <w:rPr>
          <w:spacing w:val="-5"/>
          <w:sz w:val="13"/>
        </w:rPr>
        <w:t xml:space="preserve"> </w:t>
      </w:r>
      <w:r>
        <w:rPr>
          <w:spacing w:val="-4"/>
          <w:sz w:val="13"/>
        </w:rPr>
        <w:t>Haag</w:t>
      </w:r>
    </w:p>
    <w:p w:rsidR="00D62B33" w:rsidRDefault="00D62B33" w14:paraId="61CE317C" w14:textId="77777777">
      <w:pPr>
        <w:pStyle w:val="Plattetekst"/>
        <w:spacing w:before="59"/>
        <w:rPr>
          <w:sz w:val="13"/>
        </w:rPr>
      </w:pPr>
    </w:p>
    <w:p w:rsidR="00D62B33" w:rsidRDefault="003042F7" w14:paraId="3E4D57D6" w14:textId="77777777">
      <w:pPr>
        <w:pStyle w:val="Plattetekst"/>
        <w:spacing w:line="264" w:lineRule="auto"/>
        <w:ind w:left="26" w:right="677"/>
      </w:pPr>
      <w:r>
        <w:t>Voorzitter</w:t>
      </w:r>
      <w:r>
        <w:rPr>
          <w:spacing w:val="-7"/>
        </w:rPr>
        <w:t xml:space="preserve"> </w:t>
      </w:r>
      <w:r>
        <w:t>van</w:t>
      </w:r>
      <w:r>
        <w:rPr>
          <w:spacing w:val="-4"/>
        </w:rPr>
        <w:t xml:space="preserve"> </w:t>
      </w:r>
      <w:r>
        <w:t>de</w:t>
      </w:r>
      <w:r>
        <w:rPr>
          <w:spacing w:val="-7"/>
        </w:rPr>
        <w:t xml:space="preserve"> </w:t>
      </w:r>
      <w:r>
        <w:t>Tweede</w:t>
      </w:r>
      <w:r>
        <w:rPr>
          <w:spacing w:val="-7"/>
        </w:rPr>
        <w:t xml:space="preserve"> </w:t>
      </w:r>
      <w:r>
        <w:t>Kamer</w:t>
      </w:r>
      <w:r>
        <w:rPr>
          <w:spacing w:val="-7"/>
        </w:rPr>
        <w:t xml:space="preserve"> </w:t>
      </w:r>
      <w:r>
        <w:t>der</w:t>
      </w:r>
      <w:r>
        <w:rPr>
          <w:spacing w:val="-7"/>
        </w:rPr>
        <w:t xml:space="preserve"> </w:t>
      </w:r>
      <w:r>
        <w:t>Staten-Generaal Postbus 20018</w:t>
      </w:r>
    </w:p>
    <w:p w:rsidR="00D62B33" w:rsidRDefault="003042F7" w14:paraId="382F74E6" w14:textId="77777777">
      <w:pPr>
        <w:pStyle w:val="Plattetekst"/>
        <w:spacing w:line="217" w:lineRule="exact"/>
        <w:ind w:left="26"/>
      </w:pPr>
      <w:r>
        <w:t>2500</w:t>
      </w:r>
      <w:r>
        <w:rPr>
          <w:spacing w:val="1"/>
        </w:rPr>
        <w:t xml:space="preserve"> </w:t>
      </w:r>
      <w:r>
        <w:t>EA</w:t>
      </w:r>
      <w:r>
        <w:rPr>
          <w:spacing w:val="62"/>
        </w:rPr>
        <w:t xml:space="preserve"> </w:t>
      </w:r>
      <w:r>
        <w:t>DEN</w:t>
      </w:r>
      <w:r>
        <w:rPr>
          <w:spacing w:val="1"/>
        </w:rPr>
        <w:t xml:space="preserve"> </w:t>
      </w:r>
      <w:r>
        <w:rPr>
          <w:spacing w:val="-4"/>
        </w:rPr>
        <w:t>HAAG</w:t>
      </w:r>
    </w:p>
    <w:p w:rsidR="00D62B33" w:rsidRDefault="00D62B33" w14:paraId="0FA47253" w14:textId="77777777">
      <w:pPr>
        <w:pStyle w:val="Plattetekst"/>
      </w:pPr>
    </w:p>
    <w:p w:rsidR="00D62B33" w:rsidRDefault="00D62B33" w14:paraId="32C29AAB" w14:textId="77777777">
      <w:pPr>
        <w:pStyle w:val="Plattetekst"/>
      </w:pPr>
    </w:p>
    <w:p w:rsidR="00D62B33" w:rsidRDefault="00D62B33" w14:paraId="6EB454A8" w14:textId="77777777">
      <w:pPr>
        <w:pStyle w:val="Plattetekst"/>
      </w:pPr>
    </w:p>
    <w:p w:rsidR="00D62B33" w:rsidRDefault="00D62B33" w14:paraId="17209643" w14:textId="77777777">
      <w:pPr>
        <w:pStyle w:val="Plattetekst"/>
      </w:pPr>
    </w:p>
    <w:p w:rsidR="00D62B33" w:rsidRDefault="00D62B33" w14:paraId="58314B1A" w14:textId="77777777">
      <w:pPr>
        <w:pStyle w:val="Plattetekst"/>
      </w:pPr>
    </w:p>
    <w:p w:rsidR="00D62B33" w:rsidRDefault="00D62B33" w14:paraId="761AF836" w14:textId="77777777">
      <w:pPr>
        <w:pStyle w:val="Plattetekst"/>
        <w:spacing w:before="194"/>
      </w:pPr>
    </w:p>
    <w:p w:rsidR="00D62B33" w:rsidRDefault="003042F7" w14:paraId="03B132AC" w14:textId="5384F6CD">
      <w:pPr>
        <w:pStyle w:val="Plattetekst"/>
        <w:ind w:left="16"/>
      </w:pPr>
      <w:r>
        <w:rPr>
          <w:spacing w:val="-2"/>
        </w:rPr>
        <w:t>Datum</w:t>
      </w:r>
      <w:r w:rsidR="00594DF5">
        <w:rPr>
          <w:spacing w:val="-2"/>
        </w:rPr>
        <w:t xml:space="preserve">         30 september 2025</w:t>
      </w:r>
    </w:p>
    <w:p w:rsidR="00D62B33" w:rsidRDefault="003042F7" w14:paraId="3FF1981F" w14:textId="77777777">
      <w:pPr>
        <w:pStyle w:val="Plattetekst"/>
        <w:tabs>
          <w:tab w:val="left" w:pos="1156"/>
        </w:tabs>
        <w:spacing w:before="21" w:line="264" w:lineRule="auto"/>
        <w:ind w:left="1157" w:hanging="1141"/>
      </w:pPr>
      <w:r>
        <w:rPr>
          <w:spacing w:val="-2"/>
        </w:rPr>
        <w:t>Betreft</w:t>
      </w:r>
      <w:r>
        <w:tab/>
        <w:t>Evaluatie</w:t>
      </w:r>
      <w:r>
        <w:rPr>
          <w:spacing w:val="-16"/>
        </w:rPr>
        <w:t xml:space="preserve"> </w:t>
      </w:r>
      <w:r>
        <w:t>aandeelhouderschap</w:t>
      </w:r>
      <w:r>
        <w:rPr>
          <w:spacing w:val="-16"/>
        </w:rPr>
        <w:t xml:space="preserve"> </w:t>
      </w:r>
      <w:r>
        <w:t>luchtvaartdeelnemingen: Schiphol, Air France-KLM en KLM</w:t>
      </w:r>
    </w:p>
    <w:p w:rsidR="00D62B33" w:rsidRDefault="003042F7" w14:paraId="3265BA79" w14:textId="77777777">
      <w:pPr>
        <w:rPr>
          <w:sz w:val="13"/>
        </w:rPr>
      </w:pPr>
      <w:r>
        <w:br w:type="column"/>
      </w:r>
    </w:p>
    <w:p w:rsidR="00D62B33" w:rsidRDefault="00D62B33" w14:paraId="03AF8C4D" w14:textId="77777777">
      <w:pPr>
        <w:pStyle w:val="Plattetekst"/>
        <w:rPr>
          <w:sz w:val="13"/>
        </w:rPr>
      </w:pPr>
    </w:p>
    <w:p w:rsidR="00D62B33" w:rsidRDefault="00D62B33" w14:paraId="00A61F5F" w14:textId="77777777">
      <w:pPr>
        <w:pStyle w:val="Plattetekst"/>
        <w:spacing w:before="11"/>
        <w:rPr>
          <w:sz w:val="13"/>
        </w:rPr>
      </w:pPr>
    </w:p>
    <w:p w:rsidR="00D62B33" w:rsidRDefault="003042F7" w14:paraId="000E383D" w14:textId="77777777">
      <w:pPr>
        <w:spacing w:line="273" w:lineRule="auto"/>
        <w:ind w:left="16" w:right="14"/>
        <w:rPr>
          <w:sz w:val="13"/>
        </w:rPr>
      </w:pPr>
      <w:r>
        <w:rPr>
          <w:sz w:val="13"/>
        </w:rPr>
        <w:t>Korte Voorhout 7 2511</w:t>
      </w:r>
      <w:r>
        <w:rPr>
          <w:spacing w:val="-10"/>
          <w:sz w:val="13"/>
        </w:rPr>
        <w:t xml:space="preserve"> </w:t>
      </w:r>
      <w:r>
        <w:rPr>
          <w:sz w:val="13"/>
        </w:rPr>
        <w:t>CW</w:t>
      </w:r>
      <w:r>
        <w:rPr>
          <w:spacing w:val="-10"/>
          <w:sz w:val="13"/>
        </w:rPr>
        <w:t xml:space="preserve"> </w:t>
      </w:r>
      <w:r>
        <w:rPr>
          <w:sz w:val="13"/>
        </w:rPr>
        <w:t>Den</w:t>
      </w:r>
      <w:r>
        <w:rPr>
          <w:spacing w:val="-12"/>
          <w:sz w:val="13"/>
        </w:rPr>
        <w:t xml:space="preserve"> </w:t>
      </w:r>
      <w:r>
        <w:rPr>
          <w:sz w:val="13"/>
        </w:rPr>
        <w:t>Haag POSTBUS 20201</w:t>
      </w:r>
    </w:p>
    <w:p w:rsidR="00D62B33" w:rsidRDefault="003042F7" w14:paraId="3C901C88" w14:textId="77777777">
      <w:pPr>
        <w:spacing w:line="158" w:lineRule="exact"/>
        <w:ind w:left="16"/>
        <w:rPr>
          <w:sz w:val="13"/>
        </w:rPr>
      </w:pPr>
      <w:r>
        <w:rPr>
          <w:sz w:val="13"/>
        </w:rPr>
        <w:t>2500</w:t>
      </w:r>
      <w:r>
        <w:rPr>
          <w:spacing w:val="-1"/>
          <w:sz w:val="13"/>
        </w:rPr>
        <w:t xml:space="preserve"> </w:t>
      </w:r>
      <w:r>
        <w:rPr>
          <w:sz w:val="13"/>
        </w:rPr>
        <w:t>EE</w:t>
      </w:r>
      <w:r>
        <w:rPr>
          <w:spacing w:val="39"/>
          <w:sz w:val="13"/>
        </w:rPr>
        <w:t xml:space="preserve"> </w:t>
      </w:r>
      <w:r>
        <w:rPr>
          <w:sz w:val="13"/>
        </w:rPr>
        <w:t xml:space="preserve">Den </w:t>
      </w:r>
      <w:r>
        <w:rPr>
          <w:spacing w:val="-4"/>
          <w:sz w:val="13"/>
        </w:rPr>
        <w:t>Haag</w:t>
      </w:r>
    </w:p>
    <w:p w:rsidR="00D62B33" w:rsidRDefault="003042F7" w14:paraId="7FA35E5C" w14:textId="77777777">
      <w:pPr>
        <w:spacing w:before="112"/>
        <w:ind w:left="16"/>
        <w:rPr>
          <w:b/>
          <w:sz w:val="13"/>
        </w:rPr>
      </w:pPr>
      <w:r>
        <w:rPr>
          <w:b/>
          <w:sz w:val="13"/>
        </w:rPr>
        <w:t xml:space="preserve">Onze </w:t>
      </w:r>
      <w:r>
        <w:rPr>
          <w:b/>
          <w:spacing w:val="-2"/>
          <w:sz w:val="13"/>
        </w:rPr>
        <w:t>referentie</w:t>
      </w:r>
    </w:p>
    <w:p w:rsidR="00D62B33" w:rsidRDefault="003042F7" w14:paraId="3967F804" w14:textId="77777777">
      <w:pPr>
        <w:spacing w:before="22"/>
        <w:ind w:left="16"/>
        <w:rPr>
          <w:sz w:val="13"/>
        </w:rPr>
      </w:pPr>
      <w:r>
        <w:rPr>
          <w:spacing w:val="-2"/>
          <w:sz w:val="13"/>
        </w:rPr>
        <w:t>2025-0000463467</w:t>
      </w:r>
    </w:p>
    <w:p w:rsidR="00D62B33" w:rsidRDefault="00D62B33" w14:paraId="64A29063" w14:textId="77777777">
      <w:pPr>
        <w:rPr>
          <w:sz w:val="13"/>
        </w:rPr>
        <w:sectPr w:rsidR="00D62B33">
          <w:type w:val="continuous"/>
          <w:pgSz w:w="11910" w:h="16840"/>
          <w:pgMar w:top="0" w:right="1275" w:bottom="760" w:left="1559" w:header="0" w:footer="561" w:gutter="0"/>
          <w:cols w:equalWidth="0" w:space="708" w:num="2">
            <w:col w:w="6229" w:space="1525"/>
            <w:col w:w="1322"/>
          </w:cols>
        </w:sectPr>
      </w:pPr>
    </w:p>
    <w:p w:rsidR="00D62B33" w:rsidRDefault="00D62B33" w14:paraId="4B8A0520" w14:textId="77777777">
      <w:pPr>
        <w:pStyle w:val="Plattetekst"/>
        <w:spacing w:before="155"/>
      </w:pPr>
    </w:p>
    <w:p w:rsidR="00D62B33" w:rsidRDefault="003042F7" w14:paraId="08F36A54" w14:textId="77777777">
      <w:pPr>
        <w:pStyle w:val="Plattetekst"/>
        <w:spacing w:before="1"/>
        <w:ind w:left="26"/>
      </w:pPr>
      <w:r>
        <w:t>Geachte</w:t>
      </w:r>
      <w:r>
        <w:rPr>
          <w:spacing w:val="-2"/>
        </w:rPr>
        <w:t xml:space="preserve"> voorzitter,</w:t>
      </w:r>
    </w:p>
    <w:p w:rsidR="00D62B33" w:rsidRDefault="00D62B33" w14:paraId="7D42D9DA" w14:textId="77777777">
      <w:pPr>
        <w:pStyle w:val="Plattetekst"/>
        <w:spacing w:before="42"/>
      </w:pPr>
    </w:p>
    <w:p w:rsidR="00D62B33" w:rsidRDefault="003042F7" w14:paraId="08AC6906" w14:textId="77777777">
      <w:pPr>
        <w:pStyle w:val="Plattetekst"/>
        <w:spacing w:line="264" w:lineRule="auto"/>
        <w:ind w:left="26" w:right="1461"/>
      </w:pPr>
      <w:r>
        <w:t>Op</w:t>
      </w:r>
      <w:r>
        <w:rPr>
          <w:spacing w:val="-4"/>
        </w:rPr>
        <w:t xml:space="preserve"> </w:t>
      </w:r>
      <w:r>
        <w:t>19</w:t>
      </w:r>
      <w:r>
        <w:rPr>
          <w:spacing w:val="-1"/>
        </w:rPr>
        <w:t xml:space="preserve"> </w:t>
      </w:r>
      <w:r>
        <w:t>maart</w:t>
      </w:r>
      <w:r>
        <w:rPr>
          <w:spacing w:val="-1"/>
        </w:rPr>
        <w:t xml:space="preserve"> </w:t>
      </w:r>
      <w:r>
        <w:t>2025</w:t>
      </w:r>
      <w:r>
        <w:rPr>
          <w:spacing w:val="-6"/>
        </w:rPr>
        <w:t xml:space="preserve"> </w:t>
      </w:r>
      <w:r>
        <w:t>heb</w:t>
      </w:r>
      <w:r>
        <w:rPr>
          <w:spacing w:val="-4"/>
        </w:rPr>
        <w:t xml:space="preserve"> </w:t>
      </w:r>
      <w:r>
        <w:t>ik</w:t>
      </w:r>
      <w:r>
        <w:rPr>
          <w:spacing w:val="-4"/>
        </w:rPr>
        <w:t xml:space="preserve"> </w:t>
      </w:r>
      <w:r>
        <w:t>uw</w:t>
      </w:r>
      <w:r>
        <w:rPr>
          <w:spacing w:val="-4"/>
        </w:rPr>
        <w:t xml:space="preserve"> </w:t>
      </w:r>
      <w:r>
        <w:t>Kamer</w:t>
      </w:r>
      <w:r>
        <w:rPr>
          <w:spacing w:val="-4"/>
        </w:rPr>
        <w:t xml:space="preserve"> </w:t>
      </w:r>
      <w:r>
        <w:t>geïnformeerd</w:t>
      </w:r>
      <w:r>
        <w:rPr>
          <w:spacing w:val="-4"/>
        </w:rPr>
        <w:t xml:space="preserve"> </w:t>
      </w:r>
      <w:r>
        <w:t>over de</w:t>
      </w:r>
      <w:r>
        <w:rPr>
          <w:spacing w:val="-4"/>
        </w:rPr>
        <w:t xml:space="preserve"> </w:t>
      </w:r>
      <w:r>
        <w:t>geplande</w:t>
      </w:r>
      <w:r>
        <w:rPr>
          <w:spacing w:val="-4"/>
        </w:rPr>
        <w:t xml:space="preserve"> </w:t>
      </w:r>
      <w:r>
        <w:t>evaluaties</w:t>
      </w:r>
      <w:r>
        <w:rPr>
          <w:spacing w:val="-1"/>
        </w:rPr>
        <w:t xml:space="preserve"> </w:t>
      </w:r>
      <w:r>
        <w:t>van aandeelhouderschap in de staatsdeelnemingen in Schiphol, Air France-KLM en KLM</w:t>
      </w:r>
      <w:r>
        <w:rPr>
          <w:vertAlign w:val="superscript"/>
        </w:rPr>
        <w:t>1</w:t>
      </w:r>
      <w:r>
        <w:t>. Met deze brief bied ik uw Kamer de evaluatierapporten aan.</w:t>
      </w:r>
    </w:p>
    <w:p w:rsidR="00D62B33" w:rsidRDefault="00D62B33" w14:paraId="5945C326" w14:textId="77777777">
      <w:pPr>
        <w:pStyle w:val="Plattetekst"/>
        <w:spacing w:before="20"/>
      </w:pPr>
    </w:p>
    <w:p w:rsidR="00D62B33" w:rsidRDefault="003042F7" w14:paraId="645C7CF1" w14:textId="77777777">
      <w:pPr>
        <w:pStyle w:val="Plattetekst"/>
        <w:spacing w:line="264" w:lineRule="auto"/>
        <w:ind w:left="26" w:right="1546"/>
      </w:pPr>
      <w:r>
        <w:t>De goede bereikbaarheid van Nederland is één van de redenen dat bedrijven kiezen</w:t>
      </w:r>
      <w:r>
        <w:rPr>
          <w:spacing w:val="-3"/>
        </w:rPr>
        <w:t xml:space="preserve"> </w:t>
      </w:r>
      <w:r>
        <w:t>voor</w:t>
      </w:r>
      <w:r>
        <w:rPr>
          <w:spacing w:val="-6"/>
        </w:rPr>
        <w:t xml:space="preserve"> </w:t>
      </w:r>
      <w:r>
        <w:t>vestiging</w:t>
      </w:r>
      <w:r>
        <w:rPr>
          <w:spacing w:val="-6"/>
        </w:rPr>
        <w:t xml:space="preserve"> </w:t>
      </w:r>
      <w:r>
        <w:t>in</w:t>
      </w:r>
      <w:r>
        <w:rPr>
          <w:spacing w:val="-3"/>
        </w:rPr>
        <w:t xml:space="preserve"> </w:t>
      </w:r>
      <w:r>
        <w:t>Nederland. De</w:t>
      </w:r>
      <w:r>
        <w:rPr>
          <w:spacing w:val="-6"/>
        </w:rPr>
        <w:t xml:space="preserve"> </w:t>
      </w:r>
      <w:r>
        <w:t>luchtvaartsector</w:t>
      </w:r>
      <w:r>
        <w:rPr>
          <w:spacing w:val="-1"/>
        </w:rPr>
        <w:t xml:space="preserve"> </w:t>
      </w:r>
      <w:r>
        <w:t>speelt</w:t>
      </w:r>
      <w:r>
        <w:rPr>
          <w:spacing w:val="-5"/>
        </w:rPr>
        <w:t xml:space="preserve"> </w:t>
      </w:r>
      <w:r>
        <w:t>hier</w:t>
      </w:r>
      <w:r>
        <w:rPr>
          <w:spacing w:val="-6"/>
        </w:rPr>
        <w:t xml:space="preserve"> </w:t>
      </w:r>
      <w:r>
        <w:t>een</w:t>
      </w:r>
      <w:r>
        <w:rPr>
          <w:spacing w:val="-3"/>
        </w:rPr>
        <w:t xml:space="preserve"> </w:t>
      </w:r>
      <w:r>
        <w:t>cruciale</w:t>
      </w:r>
      <w:r>
        <w:rPr>
          <w:spacing w:val="-6"/>
        </w:rPr>
        <w:t xml:space="preserve"> </w:t>
      </w:r>
      <w:r>
        <w:t>rol in. De sterke verbondenheid van een hubluchthaven heeft een aanzienlijk netto effect</w:t>
      </w:r>
      <w:r>
        <w:rPr>
          <w:spacing w:val="-4"/>
        </w:rPr>
        <w:t xml:space="preserve"> </w:t>
      </w:r>
      <w:r>
        <w:t>op</w:t>
      </w:r>
      <w:r>
        <w:rPr>
          <w:spacing w:val="-5"/>
        </w:rPr>
        <w:t xml:space="preserve"> </w:t>
      </w:r>
      <w:r>
        <w:t>de</w:t>
      </w:r>
      <w:r>
        <w:rPr>
          <w:spacing w:val="-5"/>
        </w:rPr>
        <w:t xml:space="preserve"> </w:t>
      </w:r>
      <w:r>
        <w:t>economie.</w:t>
      </w:r>
      <w:r>
        <w:rPr>
          <w:spacing w:val="-3"/>
        </w:rPr>
        <w:t xml:space="preserve"> </w:t>
      </w:r>
      <w:r>
        <w:t>Het</w:t>
      </w:r>
      <w:r>
        <w:rPr>
          <w:spacing w:val="-4"/>
        </w:rPr>
        <w:t xml:space="preserve"> </w:t>
      </w:r>
      <w:r>
        <w:t>extra</w:t>
      </w:r>
      <w:r>
        <w:rPr>
          <w:spacing w:val="-1"/>
        </w:rPr>
        <w:t xml:space="preserve"> </w:t>
      </w:r>
      <w:r>
        <w:t>aanbod in</w:t>
      </w:r>
      <w:r>
        <w:rPr>
          <w:spacing w:val="-2"/>
        </w:rPr>
        <w:t xml:space="preserve"> </w:t>
      </w:r>
      <w:r>
        <w:t>bestemmingen door</w:t>
      </w:r>
      <w:r>
        <w:rPr>
          <w:spacing w:val="-4"/>
        </w:rPr>
        <w:t xml:space="preserve"> </w:t>
      </w:r>
      <w:r>
        <w:t>de</w:t>
      </w:r>
      <w:r>
        <w:rPr>
          <w:spacing w:val="-5"/>
        </w:rPr>
        <w:t xml:space="preserve"> </w:t>
      </w:r>
      <w:r>
        <w:t>hubfunctie</w:t>
      </w:r>
      <w:r>
        <w:rPr>
          <w:spacing w:val="-5"/>
        </w:rPr>
        <w:t xml:space="preserve"> </w:t>
      </w:r>
      <w:r>
        <w:t>van een luchthaven zorgt ervoor</w:t>
      </w:r>
      <w:r>
        <w:rPr>
          <w:spacing w:val="-1"/>
        </w:rPr>
        <w:t xml:space="preserve"> </w:t>
      </w:r>
      <w:r>
        <w:t>dat bedrijven hun bedrijfskosten kunnen verlagen en hun productiviteit kunnen verhogen. Het netwerk op Schiphol is daarmee van groot belang voor het concurrentievermogen van Nederland en het Nederlandse vestigingsklimaat. De verbondenheid van Schiphol</w:t>
      </w:r>
      <w:r>
        <w:rPr>
          <w:spacing w:val="-1"/>
        </w:rPr>
        <w:t xml:space="preserve"> </w:t>
      </w:r>
      <w:r>
        <w:t>behoort immers tot de top van Europa. Voor de verbondenheid van Schiphol is het intercontinentale bestemmingennetwerk van KLM van significant belang. Zonder het netwerk van KLM zou Nederland minder goed verbonden zijn met de rest van de wereld.</w:t>
      </w:r>
    </w:p>
    <w:p w:rsidR="00D62B33" w:rsidRDefault="00D62B33" w14:paraId="4B321838" w14:textId="77777777">
      <w:pPr>
        <w:pStyle w:val="Plattetekst"/>
        <w:spacing w:before="15"/>
      </w:pPr>
    </w:p>
    <w:p w:rsidR="00D62B33" w:rsidRDefault="003042F7" w14:paraId="5BD8010C" w14:textId="77777777">
      <w:pPr>
        <w:pStyle w:val="Plattetekst"/>
        <w:spacing w:line="264" w:lineRule="auto"/>
        <w:ind w:left="26" w:right="1461"/>
      </w:pPr>
      <w:r>
        <w:t>Schiphol</w:t>
      </w:r>
      <w:r>
        <w:rPr>
          <w:spacing w:val="-1"/>
        </w:rPr>
        <w:t xml:space="preserve"> </w:t>
      </w:r>
      <w:r>
        <w:t>zorgt niet alleen voor werkgelegenheid en economische bedrijvigheid in haar directe omgeving, maar draagt via de hubfunctie van de luchthaven en het internationale bestemmingennetwerk van KLM ook bij aan de creatie van hoogwaardige</w:t>
      </w:r>
      <w:r>
        <w:rPr>
          <w:spacing w:val="-7"/>
        </w:rPr>
        <w:t xml:space="preserve"> </w:t>
      </w:r>
      <w:r>
        <w:t>werkgelegenheid</w:t>
      </w:r>
      <w:r>
        <w:rPr>
          <w:spacing w:val="-3"/>
        </w:rPr>
        <w:t xml:space="preserve"> </w:t>
      </w:r>
      <w:r>
        <w:t>in</w:t>
      </w:r>
      <w:r>
        <w:rPr>
          <w:spacing w:val="-4"/>
        </w:rPr>
        <w:t xml:space="preserve"> </w:t>
      </w:r>
      <w:r>
        <w:t>heel</w:t>
      </w:r>
      <w:r>
        <w:rPr>
          <w:spacing w:val="-8"/>
        </w:rPr>
        <w:t xml:space="preserve"> </w:t>
      </w:r>
      <w:r>
        <w:t>Nederland.</w:t>
      </w:r>
      <w:r>
        <w:rPr>
          <w:spacing w:val="-5"/>
        </w:rPr>
        <w:t xml:space="preserve"> </w:t>
      </w:r>
      <w:r>
        <w:t>Het</w:t>
      </w:r>
      <w:r>
        <w:rPr>
          <w:spacing w:val="-6"/>
        </w:rPr>
        <w:t xml:space="preserve"> </w:t>
      </w:r>
      <w:r>
        <w:t>aandeelhouderschap</w:t>
      </w:r>
      <w:r>
        <w:rPr>
          <w:spacing w:val="-7"/>
        </w:rPr>
        <w:t xml:space="preserve"> </w:t>
      </w:r>
      <w:r>
        <w:t>in</w:t>
      </w:r>
      <w:r>
        <w:rPr>
          <w:spacing w:val="-4"/>
        </w:rPr>
        <w:t xml:space="preserve"> </w:t>
      </w:r>
      <w:r>
        <w:t>de luchtvaartdeelnemingen Schiphol, Air France-KLM en KLM komt voort uit de behoefte voor het bestendigen van het publieke belang van verbondenheid van Nederland via Schiphol als hubluchthaven.</w:t>
      </w:r>
    </w:p>
    <w:p w:rsidR="00D62B33" w:rsidRDefault="00D62B33" w14:paraId="08AD07FF" w14:textId="77777777">
      <w:pPr>
        <w:pStyle w:val="Plattetekst"/>
        <w:spacing w:before="17"/>
      </w:pPr>
    </w:p>
    <w:p w:rsidR="00D62B33" w:rsidRDefault="003042F7" w14:paraId="711884EB" w14:textId="77777777">
      <w:pPr>
        <w:ind w:left="26"/>
        <w:rPr>
          <w:i/>
          <w:sz w:val="18"/>
        </w:rPr>
      </w:pPr>
      <w:r>
        <w:rPr>
          <w:i/>
          <w:sz w:val="18"/>
        </w:rPr>
        <w:t>Opzet</w:t>
      </w:r>
      <w:r>
        <w:rPr>
          <w:i/>
          <w:spacing w:val="-7"/>
          <w:sz w:val="18"/>
        </w:rPr>
        <w:t xml:space="preserve"> </w:t>
      </w:r>
      <w:r>
        <w:rPr>
          <w:i/>
          <w:spacing w:val="-2"/>
          <w:sz w:val="18"/>
        </w:rPr>
        <w:t>evaluatie</w:t>
      </w:r>
    </w:p>
    <w:p w:rsidR="00D62B33" w:rsidRDefault="003042F7" w14:paraId="54B02FEB" w14:textId="77777777">
      <w:pPr>
        <w:pStyle w:val="Plattetekst"/>
        <w:spacing w:before="32" w:line="264" w:lineRule="auto"/>
        <w:ind w:left="26" w:right="1461"/>
      </w:pPr>
      <w:r>
        <w:t>Conform de Nota Deelnemingenbeleid Rijksoverheid 2022 wordt het aandeelhouderschap in elke deelneming minimaal één keer per zeven jaar geëvalueerd.</w:t>
      </w:r>
      <w:r>
        <w:rPr>
          <w:spacing w:val="-4"/>
        </w:rPr>
        <w:t xml:space="preserve"> </w:t>
      </w:r>
      <w:r>
        <w:t>In</w:t>
      </w:r>
      <w:r>
        <w:rPr>
          <w:spacing w:val="-4"/>
        </w:rPr>
        <w:t xml:space="preserve"> </w:t>
      </w:r>
      <w:r>
        <w:t>de</w:t>
      </w:r>
      <w:r>
        <w:rPr>
          <w:spacing w:val="-7"/>
        </w:rPr>
        <w:t xml:space="preserve"> </w:t>
      </w:r>
      <w:r>
        <w:t>evaluaties</w:t>
      </w:r>
      <w:r>
        <w:rPr>
          <w:spacing w:val="-4"/>
        </w:rPr>
        <w:t xml:space="preserve"> </w:t>
      </w:r>
      <w:r>
        <w:t>wordt</w:t>
      </w:r>
      <w:r>
        <w:rPr>
          <w:spacing w:val="-6"/>
        </w:rPr>
        <w:t xml:space="preserve"> </w:t>
      </w:r>
      <w:r>
        <w:t>onderzocht</w:t>
      </w:r>
      <w:r>
        <w:rPr>
          <w:spacing w:val="-6"/>
        </w:rPr>
        <w:t xml:space="preserve"> </w:t>
      </w:r>
      <w:r>
        <w:t>of het</w:t>
      </w:r>
      <w:r>
        <w:rPr>
          <w:spacing w:val="-6"/>
        </w:rPr>
        <w:t xml:space="preserve"> </w:t>
      </w:r>
      <w:r>
        <w:t>staatsaandeelhouderschap nog steeds nodig is om de publieke belangen te borgen en of het staatsaandeelhouderschap toegevoegde waarde heeft gehad. Voor de luchtvaartdeelnemingen zijn vier publieke belangen vastgesteld door de minister van Infrastructuur en Waterstaat in de Nota Luchtvaart 2050: verbondenheid, veiligheid, leefbaarheid en duurzaamheid.</w:t>
      </w:r>
      <w:r>
        <w:rPr>
          <w:vertAlign w:val="superscript"/>
        </w:rPr>
        <w:t>2</w:t>
      </w:r>
      <w:r>
        <w:t xml:space="preserve"> In het kort ziet verbondenheid toe op hoogwaardige netwerkkwaliteit ten behoeve van het vestigingsklimaat,</w:t>
      </w:r>
    </w:p>
    <w:p w:rsidR="00D62B33" w:rsidRDefault="003042F7" w14:paraId="062B30A7" w14:textId="77777777">
      <w:pPr>
        <w:pStyle w:val="Plattetekst"/>
        <w:spacing w:before="9"/>
        <w:rPr>
          <w:sz w:val="15"/>
        </w:rPr>
      </w:pPr>
      <w:r>
        <w:rPr>
          <w:noProof/>
          <w:sz w:val="15"/>
        </w:rPr>
        <mc:AlternateContent>
          <mc:Choice Requires="wps">
            <w:drawing>
              <wp:anchor distT="0" distB="0" distL="0" distR="0" simplePos="0" relativeHeight="487587840" behindDoc="1" locked="0" layoutInCell="1" allowOverlap="1" wp14:editId="52F99155" wp14:anchorId="7FB16195">
                <wp:simplePos x="0" y="0"/>
                <wp:positionH relativeFrom="page">
                  <wp:posOffset>1006792</wp:posOffset>
                </wp:positionH>
                <wp:positionV relativeFrom="paragraph">
                  <wp:posOffset>137022</wp:posOffset>
                </wp:positionV>
                <wp:extent cx="1830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79.25pt;margin-top:10.8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spid="_x0000_s1026" fillcolor="black"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" w14:anchorId="0682AAD1">
                <v:path arrowok="t"/>
                <w10:wrap type="topAndBottom" anchorx="page"/>
              </v:shape>
            </w:pict>
          </mc:Fallback>
        </mc:AlternateContent>
      </w:r>
    </w:p>
    <w:p w:rsidR="00D62B33" w:rsidRDefault="003042F7" w14:paraId="41F627D2" w14:textId="77777777">
      <w:pPr>
        <w:spacing w:before="89"/>
        <w:ind w:left="26"/>
        <w:rPr>
          <w:sz w:val="16"/>
        </w:rPr>
      </w:pPr>
      <w:r>
        <w:rPr>
          <w:position w:val="5"/>
          <w:sz w:val="10"/>
        </w:rPr>
        <w:t>1</w:t>
      </w:r>
      <w:r>
        <w:rPr>
          <w:spacing w:val="17"/>
          <w:position w:val="5"/>
          <w:sz w:val="10"/>
        </w:rPr>
        <w:t xml:space="preserve"> </w:t>
      </w:r>
      <w:r>
        <w:rPr>
          <w:sz w:val="16"/>
        </w:rPr>
        <w:t>Kamerstukken</w:t>
      </w:r>
      <w:r>
        <w:rPr>
          <w:spacing w:val="-6"/>
          <w:sz w:val="16"/>
        </w:rPr>
        <w:t xml:space="preserve"> </w:t>
      </w:r>
      <w:r>
        <w:rPr>
          <w:sz w:val="16"/>
        </w:rPr>
        <w:t>II,</w:t>
      </w:r>
      <w:r>
        <w:rPr>
          <w:spacing w:val="1"/>
          <w:sz w:val="16"/>
        </w:rPr>
        <w:t xml:space="preserve"> </w:t>
      </w:r>
      <w:r>
        <w:rPr>
          <w:sz w:val="16"/>
        </w:rPr>
        <w:t>2024–2025,</w:t>
      </w:r>
      <w:r>
        <w:rPr>
          <w:spacing w:val="2"/>
          <w:sz w:val="16"/>
        </w:rPr>
        <w:t xml:space="preserve"> </w:t>
      </w:r>
      <w:r>
        <w:rPr>
          <w:sz w:val="16"/>
        </w:rPr>
        <w:t>28</w:t>
      </w:r>
      <w:r>
        <w:rPr>
          <w:spacing w:val="-2"/>
          <w:sz w:val="16"/>
        </w:rPr>
        <w:t xml:space="preserve"> </w:t>
      </w:r>
      <w:r>
        <w:rPr>
          <w:sz w:val="16"/>
        </w:rPr>
        <w:t>165,</w:t>
      </w:r>
      <w:r>
        <w:rPr>
          <w:spacing w:val="-3"/>
          <w:sz w:val="16"/>
        </w:rPr>
        <w:t xml:space="preserve"> </w:t>
      </w:r>
      <w:r>
        <w:rPr>
          <w:sz w:val="16"/>
        </w:rPr>
        <w:t>nr.</w:t>
      </w:r>
      <w:r>
        <w:rPr>
          <w:spacing w:val="-3"/>
          <w:sz w:val="16"/>
        </w:rPr>
        <w:t xml:space="preserve"> </w:t>
      </w:r>
      <w:r>
        <w:rPr>
          <w:spacing w:val="-5"/>
          <w:sz w:val="16"/>
        </w:rPr>
        <w:t>446</w:t>
      </w:r>
    </w:p>
    <w:p w:rsidR="00D62B33" w:rsidRDefault="003042F7" w14:paraId="1B628320" w14:textId="77777777">
      <w:pPr>
        <w:ind w:left="26"/>
        <w:rPr>
          <w:sz w:val="16"/>
        </w:rPr>
      </w:pPr>
      <w:r>
        <w:rPr>
          <w:position w:val="5"/>
          <w:sz w:val="10"/>
        </w:rPr>
        <w:t>2</w:t>
      </w:r>
      <w:r>
        <w:rPr>
          <w:spacing w:val="17"/>
          <w:position w:val="5"/>
          <w:sz w:val="10"/>
        </w:rPr>
        <w:t xml:space="preserve"> </w:t>
      </w:r>
      <w:r>
        <w:rPr>
          <w:sz w:val="16"/>
        </w:rPr>
        <w:t>Kamerstukken</w:t>
      </w:r>
      <w:r>
        <w:rPr>
          <w:spacing w:val="-6"/>
          <w:sz w:val="16"/>
        </w:rPr>
        <w:t xml:space="preserve"> </w:t>
      </w:r>
      <w:r>
        <w:rPr>
          <w:sz w:val="16"/>
        </w:rPr>
        <w:t>II,</w:t>
      </w:r>
      <w:r>
        <w:rPr>
          <w:spacing w:val="1"/>
          <w:sz w:val="16"/>
        </w:rPr>
        <w:t xml:space="preserve"> </w:t>
      </w:r>
      <w:r>
        <w:rPr>
          <w:sz w:val="16"/>
        </w:rPr>
        <w:t>2020–2021,</w:t>
      </w:r>
      <w:r>
        <w:rPr>
          <w:spacing w:val="2"/>
          <w:sz w:val="16"/>
        </w:rPr>
        <w:t xml:space="preserve"> </w:t>
      </w:r>
      <w:r>
        <w:rPr>
          <w:sz w:val="16"/>
        </w:rPr>
        <w:t>31</w:t>
      </w:r>
      <w:r>
        <w:rPr>
          <w:spacing w:val="-3"/>
          <w:sz w:val="16"/>
        </w:rPr>
        <w:t xml:space="preserve"> </w:t>
      </w:r>
      <w:r>
        <w:rPr>
          <w:sz w:val="16"/>
        </w:rPr>
        <w:t>936,</w:t>
      </w:r>
      <w:r>
        <w:rPr>
          <w:spacing w:val="-3"/>
          <w:sz w:val="16"/>
        </w:rPr>
        <w:t xml:space="preserve"> </w:t>
      </w:r>
      <w:r>
        <w:rPr>
          <w:sz w:val="16"/>
        </w:rPr>
        <w:t>nr.</w:t>
      </w:r>
      <w:r>
        <w:rPr>
          <w:spacing w:val="-3"/>
          <w:sz w:val="16"/>
        </w:rPr>
        <w:t xml:space="preserve"> </w:t>
      </w:r>
      <w:r>
        <w:rPr>
          <w:spacing w:val="-5"/>
          <w:sz w:val="16"/>
        </w:rPr>
        <w:t>820</w:t>
      </w:r>
    </w:p>
    <w:p w:rsidR="00D62B33" w:rsidRDefault="00D62B33" w14:paraId="2D4D2251" w14:textId="77777777">
      <w:pPr>
        <w:rPr>
          <w:sz w:val="16"/>
        </w:rPr>
        <w:sectPr w:rsidR="00D62B33">
          <w:type w:val="continuous"/>
          <w:pgSz w:w="11910" w:h="16840"/>
          <w:pgMar w:top="0" w:right="1275" w:bottom="760" w:left="1559" w:header="0" w:footer="561" w:gutter="0"/>
          <w:cols w:space="708"/>
        </w:sectPr>
      </w:pPr>
    </w:p>
    <w:p w:rsidR="00D62B33" w:rsidRDefault="00D62B33" w14:paraId="032A400B" w14:textId="77777777">
      <w:pPr>
        <w:pStyle w:val="Plattetekst"/>
        <w:rPr>
          <w:sz w:val="20"/>
        </w:rPr>
      </w:pPr>
    </w:p>
    <w:p w:rsidR="00D62B33" w:rsidRDefault="00D62B33" w14:paraId="06E78578" w14:textId="77777777">
      <w:pPr>
        <w:pStyle w:val="Plattetekst"/>
        <w:rPr>
          <w:sz w:val="20"/>
        </w:rPr>
      </w:pPr>
    </w:p>
    <w:p w:rsidR="00D62B33" w:rsidRDefault="00D62B33" w14:paraId="7AF80B28" w14:textId="77777777">
      <w:pPr>
        <w:pStyle w:val="Plattetekst"/>
        <w:rPr>
          <w:sz w:val="20"/>
        </w:rPr>
      </w:pPr>
    </w:p>
    <w:p w:rsidR="00D62B33" w:rsidRDefault="00D62B33" w14:paraId="18D10811" w14:textId="77777777">
      <w:pPr>
        <w:pStyle w:val="Plattetekst"/>
        <w:spacing w:before="103"/>
        <w:rPr>
          <w:sz w:val="20"/>
        </w:rPr>
      </w:pPr>
    </w:p>
    <w:p w:rsidR="00D62B33" w:rsidRDefault="00D62B33" w14:paraId="262F3930" w14:textId="77777777">
      <w:pPr>
        <w:pStyle w:val="Plattetekst"/>
        <w:rPr>
          <w:sz w:val="20"/>
        </w:rPr>
        <w:sectPr w:rsidR="00D62B33">
          <w:pgSz w:w="11910" w:h="16840"/>
          <w:pgMar w:top="1920" w:right="1275" w:bottom="760" w:left="1559" w:header="0" w:footer="561" w:gutter="0"/>
          <w:cols w:space="708"/>
        </w:sectPr>
      </w:pPr>
    </w:p>
    <w:p w:rsidR="00D62B33" w:rsidRDefault="00D62B33" w14:paraId="7CB1A513" w14:textId="77777777">
      <w:pPr>
        <w:pStyle w:val="Plattetekst"/>
      </w:pPr>
    </w:p>
    <w:p w:rsidR="00D62B33" w:rsidRDefault="00D62B33" w14:paraId="4616C469" w14:textId="77777777">
      <w:pPr>
        <w:pStyle w:val="Plattetekst"/>
      </w:pPr>
    </w:p>
    <w:p w:rsidR="00D62B33" w:rsidRDefault="00D62B33" w14:paraId="7279C962" w14:textId="77777777">
      <w:pPr>
        <w:pStyle w:val="Plattetekst"/>
        <w:spacing w:before="118"/>
      </w:pPr>
    </w:p>
    <w:p w:rsidR="00D62B33" w:rsidRDefault="003042F7" w14:paraId="452F9B41" w14:textId="77777777">
      <w:pPr>
        <w:pStyle w:val="Plattetekst"/>
        <w:spacing w:line="264" w:lineRule="auto"/>
        <w:ind w:left="26" w:right="23"/>
      </w:pPr>
      <w:r>
        <w:t>hoogwaardige werkgelegenheid, concurrentiekracht en strategische autonomie. Veiligheid betreft vooral luchtvaartveiligheid, veilige luchthavens en een veilig luchtruim.</w:t>
      </w:r>
      <w:r>
        <w:rPr>
          <w:spacing w:val="-5"/>
        </w:rPr>
        <w:t xml:space="preserve"> </w:t>
      </w:r>
      <w:r>
        <w:t>Leefbaarheid</w:t>
      </w:r>
      <w:r>
        <w:rPr>
          <w:spacing w:val="-7"/>
        </w:rPr>
        <w:t xml:space="preserve"> </w:t>
      </w:r>
      <w:r>
        <w:t>heeft</w:t>
      </w:r>
      <w:r>
        <w:rPr>
          <w:spacing w:val="-6"/>
        </w:rPr>
        <w:t xml:space="preserve"> </w:t>
      </w:r>
      <w:r>
        <w:t>als</w:t>
      </w:r>
      <w:r>
        <w:rPr>
          <w:spacing w:val="-4"/>
        </w:rPr>
        <w:t xml:space="preserve"> </w:t>
      </w:r>
      <w:r>
        <w:t>doel</w:t>
      </w:r>
      <w:r>
        <w:rPr>
          <w:spacing w:val="-9"/>
        </w:rPr>
        <w:t xml:space="preserve"> </w:t>
      </w:r>
      <w:r>
        <w:t>het</w:t>
      </w:r>
      <w:r>
        <w:rPr>
          <w:spacing w:val="-6"/>
        </w:rPr>
        <w:t xml:space="preserve"> </w:t>
      </w:r>
      <w:r>
        <w:t>beperken</w:t>
      </w:r>
      <w:r>
        <w:rPr>
          <w:spacing w:val="-4"/>
        </w:rPr>
        <w:t xml:space="preserve"> </w:t>
      </w:r>
      <w:r>
        <w:t>van</w:t>
      </w:r>
      <w:r>
        <w:rPr>
          <w:spacing w:val="-4"/>
        </w:rPr>
        <w:t xml:space="preserve"> </w:t>
      </w:r>
      <w:r>
        <w:t>geluidshinder</w:t>
      </w:r>
      <w:r>
        <w:rPr>
          <w:spacing w:val="-7"/>
        </w:rPr>
        <w:t xml:space="preserve"> </w:t>
      </w:r>
      <w:r>
        <w:t>en</w:t>
      </w:r>
      <w:r>
        <w:rPr>
          <w:spacing w:val="-4"/>
        </w:rPr>
        <w:t xml:space="preserve"> </w:t>
      </w:r>
      <w:r>
        <w:t>uitstoot, waarbij duurzaamheid meer specifiek toeziet op het beperken van Co2 uitstoot.</w:t>
      </w:r>
    </w:p>
    <w:p w:rsidR="00D62B33" w:rsidRDefault="00D62B33" w14:paraId="4E63E0C2" w14:textId="77777777">
      <w:pPr>
        <w:pStyle w:val="Plattetekst"/>
        <w:spacing w:before="19"/>
      </w:pPr>
    </w:p>
    <w:p w:rsidR="00D62B33" w:rsidRDefault="003042F7" w14:paraId="68B24BA4" w14:textId="77777777">
      <w:pPr>
        <w:pStyle w:val="Plattetekst"/>
        <w:spacing w:line="264" w:lineRule="auto"/>
        <w:ind w:left="26" w:right="23"/>
      </w:pPr>
      <w:r>
        <w:t>In</w:t>
      </w:r>
      <w:r>
        <w:rPr>
          <w:spacing w:val="-5"/>
        </w:rPr>
        <w:t xml:space="preserve"> </w:t>
      </w:r>
      <w:r>
        <w:t>beginsel</w:t>
      </w:r>
      <w:r>
        <w:rPr>
          <w:spacing w:val="-10"/>
        </w:rPr>
        <w:t xml:space="preserve"> </w:t>
      </w:r>
      <w:r>
        <w:t>worden</w:t>
      </w:r>
      <w:r>
        <w:rPr>
          <w:spacing w:val="-5"/>
        </w:rPr>
        <w:t xml:space="preserve"> </w:t>
      </w:r>
      <w:r>
        <w:t>evaluaties</w:t>
      </w:r>
      <w:r>
        <w:rPr>
          <w:spacing w:val="-5"/>
        </w:rPr>
        <w:t xml:space="preserve"> </w:t>
      </w:r>
      <w:r>
        <w:t>van</w:t>
      </w:r>
      <w:r>
        <w:rPr>
          <w:spacing w:val="-5"/>
        </w:rPr>
        <w:t xml:space="preserve"> </w:t>
      </w:r>
      <w:r>
        <w:t>het</w:t>
      </w:r>
      <w:r>
        <w:rPr>
          <w:spacing w:val="-7"/>
        </w:rPr>
        <w:t xml:space="preserve"> </w:t>
      </w:r>
      <w:r>
        <w:t>aandeelhouderschap</w:t>
      </w:r>
      <w:r>
        <w:rPr>
          <w:spacing w:val="-8"/>
        </w:rPr>
        <w:t xml:space="preserve"> </w:t>
      </w:r>
      <w:r>
        <w:t>in</w:t>
      </w:r>
      <w:r>
        <w:rPr>
          <w:spacing w:val="-5"/>
        </w:rPr>
        <w:t xml:space="preserve"> </w:t>
      </w:r>
      <w:r>
        <w:t>staatsdeelnemingen door het ministerie van Financiën zelf uitgevoerd. In dit geval is ervoor gekozen om de evaluaties uit te laten voeren door een externe partij. Deze keuze is gemaakt om consistentie tussen de evaluaties te waarborgen en onderzoek te doen naar onderlinge afhankelijkheden.</w:t>
      </w:r>
    </w:p>
    <w:p w:rsidR="00D62B33" w:rsidRDefault="00D62B33" w14:paraId="1B0CB244" w14:textId="77777777">
      <w:pPr>
        <w:pStyle w:val="Plattetekst"/>
        <w:spacing w:before="9"/>
      </w:pPr>
    </w:p>
    <w:p w:rsidR="00D62B33" w:rsidRDefault="003042F7" w14:paraId="511F8C74" w14:textId="77777777">
      <w:pPr>
        <w:ind w:left="26"/>
        <w:rPr>
          <w:i/>
          <w:sz w:val="18"/>
        </w:rPr>
      </w:pPr>
      <w:r>
        <w:rPr>
          <w:i/>
          <w:sz w:val="18"/>
        </w:rPr>
        <w:t>Algemene</w:t>
      </w:r>
      <w:r>
        <w:rPr>
          <w:i/>
          <w:spacing w:val="-8"/>
          <w:sz w:val="18"/>
        </w:rPr>
        <w:t xml:space="preserve"> </w:t>
      </w:r>
      <w:r>
        <w:rPr>
          <w:i/>
          <w:spacing w:val="-2"/>
          <w:sz w:val="18"/>
        </w:rPr>
        <w:t>conclusies</w:t>
      </w:r>
    </w:p>
    <w:p w:rsidR="00D62B33" w:rsidRDefault="003042F7" w14:paraId="425C2F5C" w14:textId="77777777">
      <w:pPr>
        <w:pStyle w:val="Plattetekst"/>
        <w:spacing w:before="21" w:line="264" w:lineRule="auto"/>
        <w:ind w:left="26" w:right="23"/>
      </w:pPr>
      <w:r>
        <w:t>In de evaluaties van het aandeelhouderschap heeft extern adviseur ABN AMRO eerst gekeken naar de borging van de hierboven benoemde publieke belangen behorende bij de luchtvaart: verbondenheid, veiligheid, leefbaarheid en duurzaamheid. De externe adviseur ABN AMRO concludeert dat de publieke belangen veiligheid, leefbaarheid en duurzaamheid voldoende geborgd worden door</w:t>
      </w:r>
      <w:r>
        <w:rPr>
          <w:spacing w:val="-5"/>
        </w:rPr>
        <w:t xml:space="preserve"> </w:t>
      </w:r>
      <w:r>
        <w:t>wet-</w:t>
      </w:r>
      <w:r>
        <w:rPr>
          <w:spacing w:val="-5"/>
        </w:rPr>
        <w:t xml:space="preserve"> </w:t>
      </w:r>
      <w:r>
        <w:t>en</w:t>
      </w:r>
      <w:r>
        <w:rPr>
          <w:spacing w:val="-2"/>
        </w:rPr>
        <w:t xml:space="preserve"> </w:t>
      </w:r>
      <w:r>
        <w:t>regelgeving,</w:t>
      </w:r>
      <w:r>
        <w:rPr>
          <w:spacing w:val="-3"/>
        </w:rPr>
        <w:t xml:space="preserve"> </w:t>
      </w:r>
      <w:r>
        <w:t>waardoor</w:t>
      </w:r>
      <w:r>
        <w:rPr>
          <w:spacing w:val="-5"/>
        </w:rPr>
        <w:t xml:space="preserve"> </w:t>
      </w:r>
      <w:r>
        <w:t>er</w:t>
      </w:r>
      <w:r>
        <w:rPr>
          <w:spacing w:val="-5"/>
        </w:rPr>
        <w:t xml:space="preserve"> </w:t>
      </w:r>
      <w:r>
        <w:t>voor</w:t>
      </w:r>
      <w:r>
        <w:rPr>
          <w:spacing w:val="-5"/>
        </w:rPr>
        <w:t xml:space="preserve"> </w:t>
      </w:r>
      <w:r>
        <w:t>die</w:t>
      </w:r>
      <w:r>
        <w:rPr>
          <w:spacing w:val="-2"/>
        </w:rPr>
        <w:t xml:space="preserve"> </w:t>
      </w:r>
      <w:r>
        <w:t>publieke</w:t>
      </w:r>
      <w:r>
        <w:rPr>
          <w:spacing w:val="-4"/>
        </w:rPr>
        <w:t xml:space="preserve"> </w:t>
      </w:r>
      <w:r>
        <w:t>belangen</w:t>
      </w:r>
      <w:r>
        <w:rPr>
          <w:spacing w:val="-2"/>
        </w:rPr>
        <w:t xml:space="preserve"> </w:t>
      </w:r>
      <w:r>
        <w:t>geen</w:t>
      </w:r>
      <w:r>
        <w:rPr>
          <w:spacing w:val="-2"/>
        </w:rPr>
        <w:t xml:space="preserve"> </w:t>
      </w:r>
      <w:r>
        <w:t>noodzaak is voor een andere vorm van overheidsinterventie. Het publieke belang verbondenheid is echter niet volledig te borgen in wet- en regelgeving. Hierdoor ligt de focus van de evaluaties van het aandeelhouderschap op verbondenheid, omdat dit andere manieren van overheidsinterventie kan rechtvaardigen.</w:t>
      </w:r>
    </w:p>
    <w:p w:rsidR="00D62B33" w:rsidRDefault="003042F7" w14:paraId="6591A181" w14:textId="77777777">
      <w:pPr>
        <w:pStyle w:val="Plattetekst"/>
        <w:spacing w:line="264" w:lineRule="auto"/>
        <w:ind w:left="26"/>
      </w:pPr>
      <w:r>
        <w:t>Vervolgens</w:t>
      </w:r>
      <w:r>
        <w:rPr>
          <w:spacing w:val="-5"/>
        </w:rPr>
        <w:t xml:space="preserve"> </w:t>
      </w:r>
      <w:r>
        <w:t>is</w:t>
      </w:r>
      <w:r>
        <w:rPr>
          <w:spacing w:val="-5"/>
        </w:rPr>
        <w:t xml:space="preserve"> </w:t>
      </w:r>
      <w:r>
        <w:t>onderzocht</w:t>
      </w:r>
      <w:r>
        <w:rPr>
          <w:spacing w:val="-7"/>
        </w:rPr>
        <w:t xml:space="preserve"> </w:t>
      </w:r>
      <w:r>
        <w:t>of</w:t>
      </w:r>
      <w:r>
        <w:rPr>
          <w:spacing w:val="-4"/>
        </w:rPr>
        <w:t xml:space="preserve"> </w:t>
      </w:r>
      <w:r>
        <w:t>het</w:t>
      </w:r>
      <w:r>
        <w:rPr>
          <w:spacing w:val="-7"/>
        </w:rPr>
        <w:t xml:space="preserve"> </w:t>
      </w:r>
      <w:r>
        <w:t>aandeelhouderschap</w:t>
      </w:r>
      <w:r>
        <w:rPr>
          <w:spacing w:val="-7"/>
        </w:rPr>
        <w:t xml:space="preserve"> </w:t>
      </w:r>
      <w:r>
        <w:t>in</w:t>
      </w:r>
      <w:r>
        <w:rPr>
          <w:spacing w:val="-5"/>
        </w:rPr>
        <w:t xml:space="preserve"> </w:t>
      </w:r>
      <w:r>
        <w:t>de</w:t>
      </w:r>
      <w:r>
        <w:rPr>
          <w:spacing w:val="-7"/>
        </w:rPr>
        <w:t xml:space="preserve"> </w:t>
      </w:r>
      <w:r>
        <w:t>luchtvaartdeelnemingen aan de borging van het publieke belang verbondenheid heeft bijgedragen. De ministeries Infrastructuur</w:t>
      </w:r>
      <w:r>
        <w:rPr>
          <w:spacing w:val="-2"/>
        </w:rPr>
        <w:t xml:space="preserve"> </w:t>
      </w:r>
      <w:r>
        <w:t>en Waterstaat</w:t>
      </w:r>
      <w:r>
        <w:rPr>
          <w:spacing w:val="-1"/>
        </w:rPr>
        <w:t xml:space="preserve"> </w:t>
      </w:r>
      <w:r>
        <w:t>en Economische</w:t>
      </w:r>
      <w:r>
        <w:rPr>
          <w:spacing w:val="-2"/>
        </w:rPr>
        <w:t xml:space="preserve"> </w:t>
      </w:r>
      <w:r>
        <w:t>Zaken zijn bij</w:t>
      </w:r>
      <w:r>
        <w:rPr>
          <w:spacing w:val="-2"/>
        </w:rPr>
        <w:t xml:space="preserve"> </w:t>
      </w:r>
      <w:r>
        <w:t>de</w:t>
      </w:r>
      <w:r>
        <w:rPr>
          <w:spacing w:val="-2"/>
        </w:rPr>
        <w:t xml:space="preserve"> </w:t>
      </w:r>
      <w:r>
        <w:t>analyse rondom de borging van de publieke belangen betrokken geweest.</w:t>
      </w:r>
    </w:p>
    <w:p w:rsidR="00D62B33" w:rsidRDefault="00D62B33" w14:paraId="1EEDBDD6" w14:textId="77777777">
      <w:pPr>
        <w:pStyle w:val="Plattetekst"/>
        <w:spacing w:before="13"/>
      </w:pPr>
    </w:p>
    <w:p w:rsidR="00D62B33" w:rsidRDefault="003042F7" w14:paraId="21988AC5" w14:textId="77777777">
      <w:pPr>
        <w:pStyle w:val="Plattetekst"/>
        <w:spacing w:before="1" w:line="264" w:lineRule="auto"/>
        <w:ind w:left="26" w:right="23"/>
      </w:pPr>
      <w:r>
        <w:t>Geconcludeerd wordt dat via formele en informele wijzen van invloed het aandeelhouderschap in de luchtvaartdeelnemingen heeft bijgedragen aan het borgen</w:t>
      </w:r>
      <w:r>
        <w:rPr>
          <w:spacing w:val="-4"/>
        </w:rPr>
        <w:t xml:space="preserve"> </w:t>
      </w:r>
      <w:r>
        <w:t>van</w:t>
      </w:r>
      <w:r>
        <w:rPr>
          <w:spacing w:val="-4"/>
        </w:rPr>
        <w:t xml:space="preserve"> </w:t>
      </w:r>
      <w:r>
        <w:t>de</w:t>
      </w:r>
      <w:r>
        <w:rPr>
          <w:spacing w:val="-7"/>
        </w:rPr>
        <w:t xml:space="preserve"> </w:t>
      </w:r>
      <w:r>
        <w:t>verbondenheid.</w:t>
      </w:r>
      <w:r>
        <w:rPr>
          <w:spacing w:val="-5"/>
        </w:rPr>
        <w:t xml:space="preserve"> </w:t>
      </w:r>
      <w:r>
        <w:t>Het</w:t>
      </w:r>
      <w:r>
        <w:rPr>
          <w:spacing w:val="-6"/>
        </w:rPr>
        <w:t xml:space="preserve"> </w:t>
      </w:r>
      <w:r>
        <w:t>aandeelhouderschap is</w:t>
      </w:r>
      <w:r>
        <w:rPr>
          <w:spacing w:val="-4"/>
        </w:rPr>
        <w:t xml:space="preserve"> </w:t>
      </w:r>
      <w:r>
        <w:t>daarmee</w:t>
      </w:r>
      <w:r>
        <w:rPr>
          <w:spacing w:val="-7"/>
        </w:rPr>
        <w:t xml:space="preserve"> </w:t>
      </w:r>
      <w:r>
        <w:t>nog</w:t>
      </w:r>
      <w:r>
        <w:rPr>
          <w:spacing w:val="-7"/>
        </w:rPr>
        <w:t xml:space="preserve"> </w:t>
      </w:r>
      <w:r>
        <w:t>steeds nodig om dit publieke belang nu en in de toekomst te borgen.</w:t>
      </w:r>
    </w:p>
    <w:p w:rsidR="00D62B33" w:rsidRDefault="00D62B33" w14:paraId="74105ABD" w14:textId="77777777">
      <w:pPr>
        <w:pStyle w:val="Plattetekst"/>
        <w:spacing w:before="18"/>
      </w:pPr>
    </w:p>
    <w:p w:rsidR="00D62B33" w:rsidRDefault="003042F7" w14:paraId="32760730" w14:textId="77777777">
      <w:pPr>
        <w:pStyle w:val="Plattetekst"/>
        <w:spacing w:before="1" w:line="264" w:lineRule="auto"/>
        <w:ind w:left="26" w:right="10"/>
      </w:pPr>
      <w:r>
        <w:t>Tenslotte heeft ABN AMRO geëvalueerd wat de toegevoegde waarde is geweest van het gelijktijdig zijn van aandeelhouder in de drie luchtvaartdeelnemingen ter borging van het publiek belang. ABN AMRO concludeert dat de hubfunctie van Schiphol, met KLM als hubcarrier, bijdraagt aan de verbondenheid van Nederland. Dit</w:t>
      </w:r>
      <w:r>
        <w:rPr>
          <w:spacing w:val="-5"/>
        </w:rPr>
        <w:t xml:space="preserve"> </w:t>
      </w:r>
      <w:r>
        <w:t>impliceert</w:t>
      </w:r>
      <w:r>
        <w:rPr>
          <w:spacing w:val="-5"/>
        </w:rPr>
        <w:t xml:space="preserve"> </w:t>
      </w:r>
      <w:r>
        <w:t>dat</w:t>
      </w:r>
      <w:r>
        <w:rPr>
          <w:spacing w:val="-5"/>
        </w:rPr>
        <w:t xml:space="preserve"> </w:t>
      </w:r>
      <w:r>
        <w:t>voor</w:t>
      </w:r>
      <w:r>
        <w:rPr>
          <w:spacing w:val="-6"/>
        </w:rPr>
        <w:t xml:space="preserve"> </w:t>
      </w:r>
      <w:r>
        <w:t>het</w:t>
      </w:r>
      <w:r>
        <w:rPr>
          <w:spacing w:val="-5"/>
        </w:rPr>
        <w:t xml:space="preserve"> </w:t>
      </w:r>
      <w:r>
        <w:t>borgen</w:t>
      </w:r>
      <w:r>
        <w:rPr>
          <w:spacing w:val="-3"/>
        </w:rPr>
        <w:t xml:space="preserve"> </w:t>
      </w:r>
      <w:r>
        <w:t>van</w:t>
      </w:r>
      <w:r>
        <w:rPr>
          <w:spacing w:val="-3"/>
        </w:rPr>
        <w:t xml:space="preserve"> </w:t>
      </w:r>
      <w:r>
        <w:t>het</w:t>
      </w:r>
      <w:r>
        <w:rPr>
          <w:spacing w:val="-5"/>
        </w:rPr>
        <w:t xml:space="preserve"> </w:t>
      </w:r>
      <w:r>
        <w:t>publiek</w:t>
      </w:r>
      <w:r>
        <w:rPr>
          <w:spacing w:val="-6"/>
        </w:rPr>
        <w:t xml:space="preserve"> </w:t>
      </w:r>
      <w:r>
        <w:t>belang</w:t>
      </w:r>
      <w:r>
        <w:rPr>
          <w:spacing w:val="-6"/>
        </w:rPr>
        <w:t xml:space="preserve"> </w:t>
      </w:r>
      <w:r>
        <w:t>verbondenheid,</w:t>
      </w:r>
      <w:r>
        <w:rPr>
          <w:spacing w:val="-4"/>
        </w:rPr>
        <w:t xml:space="preserve"> </w:t>
      </w:r>
      <w:r>
        <w:t>rekening gehouden dient te worden met de onderlinge afhankelijkheid van de drie luchtvaartdeelnemingen. Ook stelt ABN AMRO dat het aandeelhouderschap</w:t>
      </w:r>
      <w:r>
        <w:rPr>
          <w:spacing w:val="-1"/>
        </w:rPr>
        <w:t xml:space="preserve"> </w:t>
      </w:r>
      <w:r>
        <w:t>van de staat in de ene deelneming van meerwaarde is bij het borgen van de publieke belangen omtrent de andere deelnemingen.</w:t>
      </w:r>
    </w:p>
    <w:p w:rsidR="00D62B33" w:rsidRDefault="00D62B33" w14:paraId="74FE8018" w14:textId="77777777">
      <w:pPr>
        <w:pStyle w:val="Plattetekst"/>
        <w:spacing w:before="26"/>
      </w:pPr>
    </w:p>
    <w:p w:rsidR="00D62B33" w:rsidRDefault="003042F7" w14:paraId="628519BE" w14:textId="77777777">
      <w:pPr>
        <w:pStyle w:val="Plattetekst"/>
        <w:spacing w:line="264" w:lineRule="auto"/>
        <w:ind w:left="26" w:right="23"/>
      </w:pPr>
      <w:r>
        <w:t>Voor</w:t>
      </w:r>
      <w:r>
        <w:rPr>
          <w:spacing w:val="-1"/>
        </w:rPr>
        <w:t xml:space="preserve"> </w:t>
      </w:r>
      <w:r>
        <w:t>Schiphol</w:t>
      </w:r>
      <w:r>
        <w:rPr>
          <w:spacing w:val="-3"/>
        </w:rPr>
        <w:t xml:space="preserve"> </w:t>
      </w:r>
      <w:r>
        <w:t>wordt daarnaast geconcludeerd</w:t>
      </w:r>
      <w:r>
        <w:rPr>
          <w:spacing w:val="-1"/>
        </w:rPr>
        <w:t xml:space="preserve"> </w:t>
      </w:r>
      <w:r>
        <w:t>dat de</w:t>
      </w:r>
      <w:r>
        <w:rPr>
          <w:spacing w:val="-1"/>
        </w:rPr>
        <w:t xml:space="preserve"> </w:t>
      </w:r>
      <w:r>
        <w:t>staat zich vanuit haar</w:t>
      </w:r>
      <w:r>
        <w:rPr>
          <w:spacing w:val="-1"/>
        </w:rPr>
        <w:t xml:space="preserve"> </w:t>
      </w:r>
      <w:r>
        <w:t>rol</w:t>
      </w:r>
      <w:r>
        <w:rPr>
          <w:spacing w:val="-3"/>
        </w:rPr>
        <w:t xml:space="preserve"> </w:t>
      </w:r>
      <w:r>
        <w:t>als meerderheidsaandeelhouder actief heeft ingezet voor behoud en versterking van de</w:t>
      </w:r>
      <w:r>
        <w:rPr>
          <w:spacing w:val="-7"/>
        </w:rPr>
        <w:t xml:space="preserve"> </w:t>
      </w:r>
      <w:r>
        <w:t>netwerkkwaliteit.</w:t>
      </w:r>
      <w:r>
        <w:rPr>
          <w:spacing w:val="-5"/>
        </w:rPr>
        <w:t xml:space="preserve"> </w:t>
      </w:r>
      <w:r>
        <w:t>Namelijk</w:t>
      </w:r>
      <w:r>
        <w:rPr>
          <w:spacing w:val="-5"/>
        </w:rPr>
        <w:t xml:space="preserve"> </w:t>
      </w:r>
      <w:r>
        <w:t>door</w:t>
      </w:r>
      <w:r>
        <w:rPr>
          <w:spacing w:val="-7"/>
        </w:rPr>
        <w:t xml:space="preserve"> </w:t>
      </w:r>
      <w:r>
        <w:t>het</w:t>
      </w:r>
      <w:r>
        <w:rPr>
          <w:spacing w:val="-6"/>
        </w:rPr>
        <w:t xml:space="preserve"> </w:t>
      </w:r>
      <w:r>
        <w:t>faciliteren</w:t>
      </w:r>
      <w:r>
        <w:rPr>
          <w:spacing w:val="-4"/>
        </w:rPr>
        <w:t xml:space="preserve"> </w:t>
      </w:r>
      <w:r>
        <w:t>van</w:t>
      </w:r>
      <w:r>
        <w:rPr>
          <w:spacing w:val="-4"/>
        </w:rPr>
        <w:t xml:space="preserve"> </w:t>
      </w:r>
      <w:r>
        <w:t>investeringen</w:t>
      </w:r>
      <w:r>
        <w:rPr>
          <w:spacing w:val="-4"/>
        </w:rPr>
        <w:t xml:space="preserve"> </w:t>
      </w:r>
      <w:r>
        <w:t>in</w:t>
      </w:r>
      <w:r>
        <w:rPr>
          <w:spacing w:val="-4"/>
        </w:rPr>
        <w:t xml:space="preserve"> </w:t>
      </w:r>
      <w:r>
        <w:t>kwaliteit,</w:t>
      </w:r>
      <w:r>
        <w:rPr>
          <w:spacing w:val="-5"/>
        </w:rPr>
        <w:t xml:space="preserve"> </w:t>
      </w:r>
      <w:r>
        <w:t>in plaats van te kiezen voor direct dividendrendement op de korte termijn. Het vooropstellen van de publieke belangen door de staat als aandeelhouder biedt Schiphol de ruimte en ondersteuning die nodig is om deze langetermijninvesteringen te realiseren. Tegelijkertijd wordt ook oog gehouden</w:t>
      </w:r>
    </w:p>
    <w:p w:rsidR="00D62B33" w:rsidRDefault="003042F7" w14:paraId="27398623" w14:textId="77777777">
      <w:pPr>
        <w:spacing w:before="100"/>
        <w:ind w:left="26"/>
        <w:rPr>
          <w:b/>
          <w:sz w:val="13"/>
        </w:rPr>
      </w:pPr>
      <w:r>
        <w:br w:type="column"/>
      </w:r>
      <w:r>
        <w:rPr>
          <w:b/>
          <w:spacing w:val="-2"/>
          <w:sz w:val="13"/>
        </w:rPr>
        <w:t>Datum</w:t>
      </w:r>
    </w:p>
    <w:p w:rsidR="00D62B33" w:rsidRDefault="003042F7" w14:paraId="64DBA6B5" w14:textId="77777777">
      <w:pPr>
        <w:spacing w:before="22"/>
        <w:ind w:left="26"/>
        <w:rPr>
          <w:sz w:val="13"/>
        </w:rPr>
      </w:pPr>
      <w:r>
        <w:rPr>
          <w:sz w:val="13"/>
        </w:rPr>
        <w:t>28</w:t>
      </w:r>
      <w:r>
        <w:rPr>
          <w:spacing w:val="-8"/>
          <w:sz w:val="13"/>
        </w:rPr>
        <w:t xml:space="preserve"> </w:t>
      </w:r>
      <w:r>
        <w:rPr>
          <w:sz w:val="13"/>
        </w:rPr>
        <w:t>september</w:t>
      </w:r>
      <w:r>
        <w:rPr>
          <w:spacing w:val="-8"/>
          <w:sz w:val="13"/>
        </w:rPr>
        <w:t xml:space="preserve"> </w:t>
      </w:r>
      <w:r>
        <w:rPr>
          <w:spacing w:val="-4"/>
          <w:sz w:val="13"/>
        </w:rPr>
        <w:t>2025</w:t>
      </w:r>
    </w:p>
    <w:p w:rsidR="00D62B33" w:rsidRDefault="003042F7" w14:paraId="59975E38" w14:textId="77777777">
      <w:pPr>
        <w:spacing w:before="112"/>
        <w:ind w:left="26"/>
        <w:rPr>
          <w:b/>
          <w:sz w:val="13"/>
        </w:rPr>
      </w:pPr>
      <w:r>
        <w:rPr>
          <w:b/>
          <w:sz w:val="13"/>
        </w:rPr>
        <w:t xml:space="preserve">Onze </w:t>
      </w:r>
      <w:r>
        <w:rPr>
          <w:b/>
          <w:spacing w:val="-2"/>
          <w:sz w:val="13"/>
        </w:rPr>
        <w:t>referentie</w:t>
      </w:r>
    </w:p>
    <w:p w:rsidR="00D62B33" w:rsidRDefault="003042F7" w14:paraId="1F067CD6" w14:textId="77777777">
      <w:pPr>
        <w:spacing w:before="22"/>
        <w:ind w:left="26"/>
        <w:rPr>
          <w:sz w:val="13"/>
        </w:rPr>
      </w:pPr>
      <w:r>
        <w:rPr>
          <w:spacing w:val="-2"/>
          <w:sz w:val="13"/>
        </w:rPr>
        <w:t>2025-0000463467</w:t>
      </w:r>
    </w:p>
    <w:p w:rsidR="00D62B33" w:rsidRDefault="00D62B33" w14:paraId="56EFE632" w14:textId="77777777">
      <w:pPr>
        <w:rPr>
          <w:sz w:val="13"/>
        </w:rPr>
        <w:sectPr w:rsidR="00D62B33">
          <w:type w:val="continuous"/>
          <w:pgSz w:w="11910" w:h="16840"/>
          <w:pgMar w:top="0" w:right="1275" w:bottom="760" w:left="1559" w:header="0" w:footer="561" w:gutter="0"/>
          <w:cols w:equalWidth="0" w:space="708" w:num="2">
            <w:col w:w="7564" w:space="180"/>
            <w:col w:w="1332"/>
          </w:cols>
        </w:sectPr>
      </w:pPr>
    </w:p>
    <w:p w:rsidR="00D62B33" w:rsidRDefault="00D62B33" w14:paraId="4C5EFECE" w14:textId="77777777">
      <w:pPr>
        <w:pStyle w:val="Plattetekst"/>
        <w:rPr>
          <w:sz w:val="20"/>
        </w:rPr>
      </w:pPr>
    </w:p>
    <w:p w:rsidR="00D62B33" w:rsidRDefault="00D62B33" w14:paraId="7361FB3A" w14:textId="77777777">
      <w:pPr>
        <w:pStyle w:val="Plattetekst"/>
        <w:rPr>
          <w:sz w:val="20"/>
        </w:rPr>
      </w:pPr>
    </w:p>
    <w:p w:rsidR="00D62B33" w:rsidRDefault="00D62B33" w14:paraId="10EFCA79" w14:textId="77777777">
      <w:pPr>
        <w:pStyle w:val="Plattetekst"/>
        <w:rPr>
          <w:sz w:val="20"/>
        </w:rPr>
      </w:pPr>
    </w:p>
    <w:p w:rsidR="00D62B33" w:rsidRDefault="00D62B33" w14:paraId="5A3734BC" w14:textId="77777777">
      <w:pPr>
        <w:pStyle w:val="Plattetekst"/>
        <w:spacing w:before="103"/>
        <w:rPr>
          <w:sz w:val="20"/>
        </w:rPr>
      </w:pPr>
    </w:p>
    <w:p w:rsidR="00D62B33" w:rsidRDefault="00D62B33" w14:paraId="12EEF3A8" w14:textId="77777777">
      <w:pPr>
        <w:pStyle w:val="Plattetekst"/>
        <w:rPr>
          <w:sz w:val="20"/>
        </w:rPr>
        <w:sectPr w:rsidR="00D62B33">
          <w:pgSz w:w="11910" w:h="16840"/>
          <w:pgMar w:top="1920" w:right="1275" w:bottom="760" w:left="1559" w:header="0" w:footer="561" w:gutter="0"/>
          <w:cols w:space="708"/>
        </w:sectPr>
      </w:pPr>
    </w:p>
    <w:p w:rsidR="00D62B33" w:rsidRDefault="00D62B33" w14:paraId="740621F6" w14:textId="77777777">
      <w:pPr>
        <w:pStyle w:val="Plattetekst"/>
      </w:pPr>
    </w:p>
    <w:p w:rsidR="00D62B33" w:rsidRDefault="00D62B33" w14:paraId="2A51C178" w14:textId="77777777">
      <w:pPr>
        <w:pStyle w:val="Plattetekst"/>
      </w:pPr>
    </w:p>
    <w:p w:rsidR="00D62B33" w:rsidRDefault="00D62B33" w14:paraId="1D77F00A" w14:textId="77777777">
      <w:pPr>
        <w:pStyle w:val="Plattetekst"/>
        <w:spacing w:before="118"/>
      </w:pPr>
    </w:p>
    <w:p w:rsidR="00D62B33" w:rsidRDefault="003042F7" w14:paraId="1D406223" w14:textId="77777777">
      <w:pPr>
        <w:pStyle w:val="Plattetekst"/>
        <w:spacing w:line="264" w:lineRule="auto"/>
        <w:ind w:left="26" w:right="79"/>
      </w:pPr>
      <w:r>
        <w:t>voor de concurrentiepositie en continuïteit van Schiphol. Daarmee heeft het staatsaandeelhouderschap</w:t>
      </w:r>
      <w:r>
        <w:rPr>
          <w:spacing w:val="-7"/>
        </w:rPr>
        <w:t xml:space="preserve"> </w:t>
      </w:r>
      <w:r>
        <w:t>in</w:t>
      </w:r>
      <w:r>
        <w:rPr>
          <w:spacing w:val="-4"/>
        </w:rPr>
        <w:t xml:space="preserve"> </w:t>
      </w:r>
      <w:r>
        <w:t>Schiphol</w:t>
      </w:r>
      <w:r>
        <w:rPr>
          <w:spacing w:val="-9"/>
        </w:rPr>
        <w:t xml:space="preserve"> </w:t>
      </w:r>
      <w:r>
        <w:t>toegevoegde</w:t>
      </w:r>
      <w:r>
        <w:rPr>
          <w:spacing w:val="-7"/>
        </w:rPr>
        <w:t xml:space="preserve"> </w:t>
      </w:r>
      <w:r>
        <w:t>waarde</w:t>
      </w:r>
      <w:r>
        <w:rPr>
          <w:spacing w:val="-7"/>
        </w:rPr>
        <w:t xml:space="preserve"> </w:t>
      </w:r>
      <w:r>
        <w:t>gehad,</w:t>
      </w:r>
      <w:r>
        <w:rPr>
          <w:spacing w:val="-5"/>
        </w:rPr>
        <w:t xml:space="preserve"> </w:t>
      </w:r>
      <w:r>
        <w:t>concludeert ABN AMRO.</w:t>
      </w:r>
    </w:p>
    <w:p w:rsidR="00D62B33" w:rsidRDefault="00D62B33" w14:paraId="4A019C86" w14:textId="77777777">
      <w:pPr>
        <w:pStyle w:val="Plattetekst"/>
        <w:spacing w:before="20"/>
      </w:pPr>
    </w:p>
    <w:p w:rsidR="00D62B33" w:rsidRDefault="003042F7" w14:paraId="3ADEA948" w14:textId="77777777">
      <w:pPr>
        <w:pStyle w:val="Plattetekst"/>
        <w:spacing w:line="264" w:lineRule="auto"/>
        <w:ind w:left="26"/>
      </w:pPr>
      <w:r>
        <w:t>Voor Air France-KLM is er geëvalueerd vanuit het beoogde doel van de aankoop van aandelen destijds. Dit doel was meer invloed uitoefenen op ontwikkelingen binnen de luchtvaartmaatschappij en de informatiepositie van de staat te versterken t.b.v. het Nederlandse publieke belang. ABN AMRO concludeert dat dit doel is behaald. Voor wat betreft KLM wordt geconcludeerd dat het relatief kleine aandeel in KLM zorgt voor het veiligstellen van de uitvoerbaarheid van luchtvaartverdragen en daarnaast ook voor een versterking van de informatiepositie van de staat aangaande de onderneming met reguliere contactmomenten met de directie van KLM. Daarmee heeft het staatsaandeelhouderschap in Air France-KLM en KLM ook toegevoegde waarde gehad, concludeert ABN AMRO. Daarnaast draagt het hebben van een nationale luchtvaartmaatschappij</w:t>
      </w:r>
      <w:r>
        <w:rPr>
          <w:spacing w:val="-6"/>
        </w:rPr>
        <w:t xml:space="preserve"> </w:t>
      </w:r>
      <w:r>
        <w:t>bij</w:t>
      </w:r>
      <w:r>
        <w:rPr>
          <w:spacing w:val="-6"/>
        </w:rPr>
        <w:t xml:space="preserve"> </w:t>
      </w:r>
      <w:r>
        <w:t>aan</w:t>
      </w:r>
      <w:r>
        <w:rPr>
          <w:spacing w:val="-3"/>
        </w:rPr>
        <w:t xml:space="preserve"> </w:t>
      </w:r>
      <w:r>
        <w:t>het</w:t>
      </w:r>
      <w:r>
        <w:rPr>
          <w:spacing w:val="-5"/>
        </w:rPr>
        <w:t xml:space="preserve"> </w:t>
      </w:r>
      <w:r>
        <w:t>waarborgen</w:t>
      </w:r>
      <w:r>
        <w:rPr>
          <w:spacing w:val="-3"/>
        </w:rPr>
        <w:t xml:space="preserve"> </w:t>
      </w:r>
      <w:r>
        <w:t>van</w:t>
      </w:r>
      <w:r>
        <w:rPr>
          <w:spacing w:val="-3"/>
        </w:rPr>
        <w:t xml:space="preserve"> </w:t>
      </w:r>
      <w:r>
        <w:t>de</w:t>
      </w:r>
      <w:r>
        <w:rPr>
          <w:spacing w:val="-1"/>
        </w:rPr>
        <w:t xml:space="preserve"> </w:t>
      </w:r>
      <w:r>
        <w:t>strategische</w:t>
      </w:r>
      <w:r>
        <w:rPr>
          <w:spacing w:val="-6"/>
        </w:rPr>
        <w:t xml:space="preserve"> </w:t>
      </w:r>
      <w:r>
        <w:t>autonomie</w:t>
      </w:r>
      <w:r>
        <w:rPr>
          <w:spacing w:val="-6"/>
        </w:rPr>
        <w:t xml:space="preserve"> </w:t>
      </w:r>
      <w:r>
        <w:t>van Nederland. In tijden van geopolitieke onzekerheid is het wenselijk dat de verbondenheid van Nederland niet afhankelijk is van buitenlandse luchtvaartmaatschappijen en luchthavens.</w:t>
      </w:r>
    </w:p>
    <w:p w:rsidR="00D62B33" w:rsidRDefault="00D62B33" w14:paraId="0B10F884" w14:textId="77777777">
      <w:pPr>
        <w:pStyle w:val="Plattetekst"/>
        <w:spacing w:before="12"/>
      </w:pPr>
    </w:p>
    <w:p w:rsidR="00D62B33" w:rsidRDefault="003042F7" w14:paraId="251A8CC3" w14:textId="77777777">
      <w:pPr>
        <w:spacing w:before="1"/>
        <w:ind w:left="26"/>
        <w:rPr>
          <w:i/>
          <w:sz w:val="18"/>
        </w:rPr>
      </w:pPr>
      <w:r>
        <w:rPr>
          <w:i/>
          <w:spacing w:val="-2"/>
          <w:sz w:val="18"/>
        </w:rPr>
        <w:t>Aanbevelingen</w:t>
      </w:r>
    </w:p>
    <w:p w:rsidR="00D62B33" w:rsidRDefault="003042F7" w14:paraId="0696E026" w14:textId="77777777">
      <w:pPr>
        <w:pStyle w:val="Plattetekst"/>
        <w:spacing w:before="21" w:line="264" w:lineRule="auto"/>
        <w:ind w:left="26" w:right="79"/>
      </w:pPr>
      <w:r>
        <w:t>Extern adviseur ABN AMRO geeft aan dat Schiphol mogelijk voordeel zou kunnen hebben van een kleine aanpassing in de aandeelhoudersstructuur. Een optie hierbij is het aangaan van een kruisparticipatie met een strategische partner, zoals in het verleden met Aéroports de Paris S.A. (ADP), ten behoeve van kennisdeling en procesverbetering. Een andere optie is het aantrekken van een private</w:t>
      </w:r>
      <w:r>
        <w:rPr>
          <w:spacing w:val="-7"/>
        </w:rPr>
        <w:t xml:space="preserve"> </w:t>
      </w:r>
      <w:r>
        <w:t>minderheidsaandeelhouder</w:t>
      </w:r>
      <w:r>
        <w:rPr>
          <w:spacing w:val="-7"/>
        </w:rPr>
        <w:t xml:space="preserve"> </w:t>
      </w:r>
      <w:r>
        <w:t>door</w:t>
      </w:r>
      <w:r>
        <w:rPr>
          <w:spacing w:val="-7"/>
        </w:rPr>
        <w:t xml:space="preserve"> </w:t>
      </w:r>
      <w:r>
        <w:t>plaatsing</w:t>
      </w:r>
      <w:r>
        <w:rPr>
          <w:spacing w:val="-7"/>
        </w:rPr>
        <w:t xml:space="preserve"> </w:t>
      </w:r>
      <w:r>
        <w:t>van bestaande</w:t>
      </w:r>
      <w:r>
        <w:rPr>
          <w:spacing w:val="-7"/>
        </w:rPr>
        <w:t xml:space="preserve"> </w:t>
      </w:r>
      <w:r>
        <w:t>treasury</w:t>
      </w:r>
      <w:r>
        <w:rPr>
          <w:spacing w:val="-7"/>
        </w:rPr>
        <w:t xml:space="preserve"> </w:t>
      </w:r>
      <w:r>
        <w:t>shares</w:t>
      </w:r>
      <w:r>
        <w:rPr>
          <w:vertAlign w:val="superscript"/>
        </w:rPr>
        <w:t>3</w:t>
      </w:r>
      <w:r>
        <w:t xml:space="preserve"> of door nieuw uitgegeven aandelen door de onderneming, wat extra kapitaal en expertise kan opleveren zonder dat de staat haar controlerende meerderheidspositie verliest. Een variant op deze optie waarbij een minderheidsaandeelhouder zou toetreden door de overname van bestaande aandelen gehouden door de staat, wederom met behoud van het meerderheidsaandeel, ligt volgens ABN</w:t>
      </w:r>
      <w:r>
        <w:rPr>
          <w:spacing w:val="-3"/>
        </w:rPr>
        <w:t xml:space="preserve"> </w:t>
      </w:r>
      <w:r>
        <w:t>AMRO echter niet voor</w:t>
      </w:r>
      <w:r>
        <w:rPr>
          <w:spacing w:val="-1"/>
        </w:rPr>
        <w:t xml:space="preserve"> </w:t>
      </w:r>
      <w:r>
        <w:t>de</w:t>
      </w:r>
      <w:r>
        <w:rPr>
          <w:spacing w:val="-1"/>
        </w:rPr>
        <w:t xml:space="preserve"> </w:t>
      </w:r>
      <w:r>
        <w:t>hand omdat dit niet bijdraagt verbetering van de balans van Schiphol.</w:t>
      </w:r>
    </w:p>
    <w:p w:rsidR="00D62B33" w:rsidRDefault="003042F7" w14:paraId="6521B3F8" w14:textId="77777777">
      <w:pPr>
        <w:spacing w:before="100"/>
        <w:ind w:left="26"/>
        <w:rPr>
          <w:b/>
          <w:sz w:val="13"/>
        </w:rPr>
      </w:pPr>
      <w:r>
        <w:br w:type="column"/>
      </w:r>
      <w:r>
        <w:rPr>
          <w:b/>
          <w:spacing w:val="-2"/>
          <w:sz w:val="13"/>
        </w:rPr>
        <w:t>Datum</w:t>
      </w:r>
    </w:p>
    <w:p w:rsidR="00D62B33" w:rsidRDefault="003042F7" w14:paraId="59022AB3" w14:textId="77777777">
      <w:pPr>
        <w:spacing w:before="22"/>
        <w:ind w:left="26"/>
        <w:rPr>
          <w:sz w:val="13"/>
        </w:rPr>
      </w:pPr>
      <w:r>
        <w:rPr>
          <w:sz w:val="13"/>
        </w:rPr>
        <w:t>28</w:t>
      </w:r>
      <w:r>
        <w:rPr>
          <w:spacing w:val="-8"/>
          <w:sz w:val="13"/>
        </w:rPr>
        <w:t xml:space="preserve"> </w:t>
      </w:r>
      <w:r>
        <w:rPr>
          <w:sz w:val="13"/>
        </w:rPr>
        <w:t>september</w:t>
      </w:r>
      <w:r>
        <w:rPr>
          <w:spacing w:val="-8"/>
          <w:sz w:val="13"/>
        </w:rPr>
        <w:t xml:space="preserve"> </w:t>
      </w:r>
      <w:r>
        <w:rPr>
          <w:spacing w:val="-4"/>
          <w:sz w:val="13"/>
        </w:rPr>
        <w:t>2025</w:t>
      </w:r>
    </w:p>
    <w:p w:rsidR="00D62B33" w:rsidRDefault="003042F7" w14:paraId="432D0DA9" w14:textId="77777777">
      <w:pPr>
        <w:spacing w:before="112"/>
        <w:ind w:left="26"/>
        <w:rPr>
          <w:b/>
          <w:sz w:val="13"/>
        </w:rPr>
      </w:pPr>
      <w:r>
        <w:rPr>
          <w:b/>
          <w:sz w:val="13"/>
        </w:rPr>
        <w:t xml:space="preserve">Onze </w:t>
      </w:r>
      <w:r>
        <w:rPr>
          <w:b/>
          <w:spacing w:val="-2"/>
          <w:sz w:val="13"/>
        </w:rPr>
        <w:t>referentie</w:t>
      </w:r>
    </w:p>
    <w:p w:rsidR="00D62B33" w:rsidRDefault="003042F7" w14:paraId="3271F72B" w14:textId="77777777">
      <w:pPr>
        <w:spacing w:before="22"/>
        <w:ind w:left="26"/>
        <w:rPr>
          <w:sz w:val="13"/>
        </w:rPr>
      </w:pPr>
      <w:r>
        <w:rPr>
          <w:spacing w:val="-2"/>
          <w:sz w:val="13"/>
        </w:rPr>
        <w:t>2025-0000463467</w:t>
      </w:r>
    </w:p>
    <w:p w:rsidR="00D62B33" w:rsidRDefault="00D62B33" w14:paraId="5924003D" w14:textId="77777777">
      <w:pPr>
        <w:rPr>
          <w:sz w:val="13"/>
        </w:rPr>
        <w:sectPr w:rsidR="00D62B33">
          <w:type w:val="continuous"/>
          <w:pgSz w:w="11910" w:h="16840"/>
          <w:pgMar w:top="0" w:right="1275" w:bottom="760" w:left="1559" w:header="0" w:footer="561" w:gutter="0"/>
          <w:cols w:equalWidth="0" w:space="708" w:num="2">
            <w:col w:w="7569" w:space="175"/>
            <w:col w:w="1332"/>
          </w:cols>
        </w:sectPr>
      </w:pPr>
    </w:p>
    <w:p w:rsidR="00D62B33" w:rsidRDefault="00D62B33" w14:paraId="552A1946" w14:textId="77777777">
      <w:pPr>
        <w:pStyle w:val="Plattetekst"/>
        <w:rPr>
          <w:sz w:val="20"/>
        </w:rPr>
      </w:pPr>
    </w:p>
    <w:p w:rsidR="00D62B33" w:rsidRDefault="00D62B33" w14:paraId="4B186899" w14:textId="77777777">
      <w:pPr>
        <w:pStyle w:val="Plattetekst"/>
        <w:rPr>
          <w:sz w:val="20"/>
        </w:rPr>
      </w:pPr>
    </w:p>
    <w:p w:rsidR="00D62B33" w:rsidRDefault="00D62B33" w14:paraId="02718B14" w14:textId="77777777">
      <w:pPr>
        <w:pStyle w:val="Plattetekst"/>
        <w:rPr>
          <w:sz w:val="20"/>
        </w:rPr>
      </w:pPr>
    </w:p>
    <w:p w:rsidR="00D62B33" w:rsidRDefault="00D62B33" w14:paraId="58F13B68" w14:textId="77777777">
      <w:pPr>
        <w:pStyle w:val="Plattetekst"/>
        <w:rPr>
          <w:sz w:val="20"/>
        </w:rPr>
      </w:pPr>
    </w:p>
    <w:p w:rsidR="00D62B33" w:rsidRDefault="00D62B33" w14:paraId="3980E704" w14:textId="77777777">
      <w:pPr>
        <w:pStyle w:val="Plattetekst"/>
        <w:rPr>
          <w:sz w:val="20"/>
        </w:rPr>
      </w:pPr>
    </w:p>
    <w:p w:rsidR="00D62B33" w:rsidRDefault="00D62B33" w14:paraId="212B53F4" w14:textId="77777777">
      <w:pPr>
        <w:pStyle w:val="Plattetekst"/>
        <w:rPr>
          <w:sz w:val="20"/>
        </w:rPr>
      </w:pPr>
    </w:p>
    <w:p w:rsidR="00D62B33" w:rsidRDefault="00D62B33" w14:paraId="164086C5" w14:textId="77777777">
      <w:pPr>
        <w:pStyle w:val="Plattetekst"/>
        <w:rPr>
          <w:sz w:val="20"/>
        </w:rPr>
      </w:pPr>
    </w:p>
    <w:p w:rsidR="00D62B33" w:rsidRDefault="00D62B33" w14:paraId="447EDFD9" w14:textId="77777777">
      <w:pPr>
        <w:pStyle w:val="Plattetekst"/>
        <w:rPr>
          <w:sz w:val="20"/>
        </w:rPr>
      </w:pPr>
    </w:p>
    <w:p w:rsidR="00D62B33" w:rsidRDefault="00D62B33" w14:paraId="525E6F15" w14:textId="77777777">
      <w:pPr>
        <w:pStyle w:val="Plattetekst"/>
        <w:rPr>
          <w:sz w:val="20"/>
        </w:rPr>
      </w:pPr>
    </w:p>
    <w:p w:rsidR="00D62B33" w:rsidRDefault="00D62B33" w14:paraId="0BD85E03" w14:textId="77777777">
      <w:pPr>
        <w:pStyle w:val="Plattetekst"/>
        <w:rPr>
          <w:sz w:val="20"/>
        </w:rPr>
      </w:pPr>
    </w:p>
    <w:p w:rsidR="00D62B33" w:rsidRDefault="00D62B33" w14:paraId="069B435A" w14:textId="77777777">
      <w:pPr>
        <w:pStyle w:val="Plattetekst"/>
        <w:rPr>
          <w:sz w:val="20"/>
        </w:rPr>
      </w:pPr>
    </w:p>
    <w:p w:rsidR="00D62B33" w:rsidRDefault="00D62B33" w14:paraId="0D739842" w14:textId="77777777">
      <w:pPr>
        <w:pStyle w:val="Plattetekst"/>
        <w:rPr>
          <w:sz w:val="20"/>
        </w:rPr>
      </w:pPr>
    </w:p>
    <w:p w:rsidR="00D62B33" w:rsidRDefault="00D62B33" w14:paraId="26A4D72C" w14:textId="77777777">
      <w:pPr>
        <w:pStyle w:val="Plattetekst"/>
        <w:spacing w:before="145"/>
        <w:rPr>
          <w:sz w:val="20"/>
        </w:rPr>
      </w:pPr>
    </w:p>
    <w:p w:rsidR="00D62B33" w:rsidRDefault="003042F7" w14:paraId="1CDF797F" w14:textId="77777777">
      <w:pPr>
        <w:pStyle w:val="Plattetekst"/>
        <w:spacing w:line="20" w:lineRule="exact"/>
        <w:ind w:left="26"/>
        <w:rPr>
          <w:sz w:val="2"/>
        </w:rPr>
      </w:pPr>
      <w:r>
        <w:rPr>
          <w:noProof/>
          <w:sz w:val="2"/>
        </w:rPr>
        <mc:AlternateContent>
          <mc:Choice Requires="wpg">
            <w:drawing>
              <wp:inline distT="0" distB="0" distL="0" distR="0" wp14:anchorId="4B493BA0" wp14:editId="5381497B">
                <wp:extent cx="183007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5" name="Graphic 5"/>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4"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" w14:anchorId="6BE2D9C0">
                <v:shape id="Graphic 5" style="position:absolute;width:18300;height:63;visibility:visible;mso-wrap-style:square;v-text-anchor:top" coordsize="1830070,6350" o:spid="_x0000_s1027" fillcolor="black" stroked="f" path="m1829816,l,,,6349r1829816,l1829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">
                  <v:path arrowok="t"/>
                </v:shape>
                <w10:anchorlock/>
              </v:group>
            </w:pict>
          </mc:Fallback>
        </mc:AlternateContent>
      </w:r>
    </w:p>
    <w:p w:rsidR="00D62B33" w:rsidRDefault="003042F7" w14:paraId="4444ADB1" w14:textId="77777777">
      <w:pPr>
        <w:spacing w:before="79"/>
        <w:ind w:left="26" w:right="1887"/>
        <w:rPr>
          <w:sz w:val="16"/>
        </w:rPr>
      </w:pPr>
      <w:r>
        <w:rPr>
          <w:position w:val="5"/>
          <w:sz w:val="10"/>
        </w:rPr>
        <w:t>3</w:t>
      </w:r>
      <w:r>
        <w:rPr>
          <w:spacing w:val="19"/>
          <w:position w:val="5"/>
          <w:sz w:val="10"/>
        </w:rPr>
        <w:t xml:space="preserve"> </w:t>
      </w:r>
      <w:r>
        <w:rPr>
          <w:sz w:val="16"/>
        </w:rPr>
        <w:t>De</w:t>
      </w:r>
      <w:r>
        <w:rPr>
          <w:spacing w:val="-4"/>
          <w:sz w:val="16"/>
        </w:rPr>
        <w:t xml:space="preserve"> </w:t>
      </w:r>
      <w:r>
        <w:rPr>
          <w:sz w:val="16"/>
        </w:rPr>
        <w:t>8%</w:t>
      </w:r>
      <w:r>
        <w:rPr>
          <w:spacing w:val="-6"/>
          <w:sz w:val="16"/>
        </w:rPr>
        <w:t xml:space="preserve"> </w:t>
      </w:r>
      <w:r>
        <w:rPr>
          <w:sz w:val="16"/>
        </w:rPr>
        <w:t>aandelen</w:t>
      </w:r>
      <w:r>
        <w:rPr>
          <w:spacing w:val="-5"/>
          <w:sz w:val="16"/>
        </w:rPr>
        <w:t xml:space="preserve"> </w:t>
      </w:r>
      <w:r>
        <w:rPr>
          <w:sz w:val="16"/>
        </w:rPr>
        <w:t>die</w:t>
      </w:r>
      <w:r>
        <w:rPr>
          <w:spacing w:val="-4"/>
          <w:sz w:val="16"/>
        </w:rPr>
        <w:t xml:space="preserve"> </w:t>
      </w:r>
      <w:r>
        <w:rPr>
          <w:sz w:val="16"/>
        </w:rPr>
        <w:t>Schiphol</w:t>
      </w:r>
      <w:r>
        <w:rPr>
          <w:spacing w:val="-3"/>
          <w:sz w:val="16"/>
        </w:rPr>
        <w:t xml:space="preserve"> </w:t>
      </w:r>
      <w:r>
        <w:rPr>
          <w:sz w:val="16"/>
        </w:rPr>
        <w:t>in</w:t>
      </w:r>
      <w:r>
        <w:rPr>
          <w:spacing w:val="-5"/>
          <w:sz w:val="16"/>
        </w:rPr>
        <w:t xml:space="preserve"> </w:t>
      </w:r>
      <w:r>
        <w:rPr>
          <w:sz w:val="16"/>
        </w:rPr>
        <w:t>eigen</w:t>
      </w:r>
      <w:r>
        <w:rPr>
          <w:spacing w:val="-5"/>
          <w:sz w:val="16"/>
        </w:rPr>
        <w:t xml:space="preserve"> </w:t>
      </w:r>
      <w:r>
        <w:rPr>
          <w:sz w:val="16"/>
        </w:rPr>
        <w:t>beheer</w:t>
      </w:r>
      <w:r>
        <w:rPr>
          <w:spacing w:val="-3"/>
          <w:sz w:val="16"/>
        </w:rPr>
        <w:t xml:space="preserve"> </w:t>
      </w:r>
      <w:r>
        <w:rPr>
          <w:sz w:val="16"/>
        </w:rPr>
        <w:t>heeft</w:t>
      </w:r>
      <w:r>
        <w:rPr>
          <w:spacing w:val="-2"/>
          <w:sz w:val="16"/>
        </w:rPr>
        <w:t xml:space="preserve"> </w:t>
      </w:r>
      <w:r>
        <w:rPr>
          <w:sz w:val="16"/>
        </w:rPr>
        <w:t>gehouden na</w:t>
      </w:r>
      <w:r>
        <w:rPr>
          <w:spacing w:val="-5"/>
          <w:sz w:val="16"/>
        </w:rPr>
        <w:t xml:space="preserve"> </w:t>
      </w:r>
      <w:r>
        <w:rPr>
          <w:sz w:val="16"/>
        </w:rPr>
        <w:t>de</w:t>
      </w:r>
      <w:r>
        <w:rPr>
          <w:spacing w:val="-4"/>
          <w:sz w:val="16"/>
        </w:rPr>
        <w:t xml:space="preserve"> </w:t>
      </w:r>
      <w:r>
        <w:rPr>
          <w:sz w:val="16"/>
        </w:rPr>
        <w:t>afwikkeling</w:t>
      </w:r>
      <w:r>
        <w:rPr>
          <w:spacing w:val="-3"/>
          <w:sz w:val="16"/>
        </w:rPr>
        <w:t xml:space="preserve"> </w:t>
      </w:r>
      <w:r>
        <w:rPr>
          <w:sz w:val="16"/>
        </w:rPr>
        <w:t>van</w:t>
      </w:r>
      <w:r>
        <w:rPr>
          <w:spacing w:val="-5"/>
          <w:sz w:val="16"/>
        </w:rPr>
        <w:t xml:space="preserve"> </w:t>
      </w:r>
      <w:r>
        <w:rPr>
          <w:sz w:val="16"/>
        </w:rPr>
        <w:t>de kruisparticipatie met ADP.</w:t>
      </w:r>
    </w:p>
    <w:p w:rsidR="00D62B33" w:rsidRDefault="00D62B33" w14:paraId="19C82DC1" w14:textId="77777777">
      <w:pPr>
        <w:rPr>
          <w:sz w:val="16"/>
        </w:rPr>
        <w:sectPr w:rsidR="00D62B33">
          <w:type w:val="continuous"/>
          <w:pgSz w:w="11910" w:h="16840"/>
          <w:pgMar w:top="0" w:right="1275" w:bottom="760" w:left="1559" w:header="0" w:footer="561" w:gutter="0"/>
          <w:cols w:space="708"/>
        </w:sectPr>
      </w:pPr>
    </w:p>
    <w:p w:rsidR="00D62B33" w:rsidRDefault="00D62B33" w14:paraId="2F8FFF69" w14:textId="77777777">
      <w:pPr>
        <w:pStyle w:val="Plattetekst"/>
        <w:rPr>
          <w:sz w:val="20"/>
        </w:rPr>
      </w:pPr>
    </w:p>
    <w:p w:rsidR="00D62B33" w:rsidRDefault="00D62B33" w14:paraId="42461EC2" w14:textId="77777777">
      <w:pPr>
        <w:pStyle w:val="Plattetekst"/>
        <w:rPr>
          <w:sz w:val="20"/>
        </w:rPr>
      </w:pPr>
    </w:p>
    <w:p w:rsidR="00D62B33" w:rsidRDefault="00D62B33" w14:paraId="1716DA7C" w14:textId="77777777">
      <w:pPr>
        <w:pStyle w:val="Plattetekst"/>
        <w:rPr>
          <w:sz w:val="20"/>
        </w:rPr>
      </w:pPr>
    </w:p>
    <w:p w:rsidR="00D62B33" w:rsidRDefault="00D62B33" w14:paraId="62C89100" w14:textId="77777777">
      <w:pPr>
        <w:pStyle w:val="Plattetekst"/>
        <w:spacing w:before="103"/>
        <w:rPr>
          <w:sz w:val="20"/>
        </w:rPr>
      </w:pPr>
    </w:p>
    <w:p w:rsidR="00D62B33" w:rsidRDefault="00D62B33" w14:paraId="436F918E" w14:textId="77777777">
      <w:pPr>
        <w:pStyle w:val="Plattetekst"/>
        <w:rPr>
          <w:sz w:val="20"/>
        </w:rPr>
        <w:sectPr w:rsidR="00D62B33">
          <w:pgSz w:w="11910" w:h="16840"/>
          <w:pgMar w:top="1920" w:right="1275" w:bottom="760" w:left="1559" w:header="0" w:footer="561" w:gutter="0"/>
          <w:cols w:space="708"/>
        </w:sectPr>
      </w:pPr>
    </w:p>
    <w:p w:rsidR="00D62B33" w:rsidRDefault="00D62B33" w14:paraId="2A2FC549" w14:textId="77777777">
      <w:pPr>
        <w:pStyle w:val="Plattetekst"/>
      </w:pPr>
    </w:p>
    <w:p w:rsidR="00D62B33" w:rsidRDefault="00D62B33" w14:paraId="05B04D0D" w14:textId="77777777">
      <w:pPr>
        <w:pStyle w:val="Plattetekst"/>
      </w:pPr>
    </w:p>
    <w:p w:rsidR="00D62B33" w:rsidRDefault="00D62B33" w14:paraId="5788A2CB" w14:textId="77777777">
      <w:pPr>
        <w:pStyle w:val="Plattetekst"/>
        <w:spacing w:before="118"/>
      </w:pPr>
    </w:p>
    <w:p w:rsidR="00D62B33" w:rsidRDefault="003042F7" w14:paraId="2FDA32FE" w14:textId="77777777">
      <w:pPr>
        <w:pStyle w:val="Plattetekst"/>
        <w:spacing w:line="264" w:lineRule="auto"/>
        <w:ind w:left="26"/>
      </w:pPr>
      <w:r>
        <w:t>Beide opties van aandelen verkoop door Schiphol (treasury shares of nieuwe aandelen)</w:t>
      </w:r>
      <w:r>
        <w:rPr>
          <w:spacing w:val="-1"/>
        </w:rPr>
        <w:t xml:space="preserve"> </w:t>
      </w:r>
      <w:r>
        <w:t>worden momenteel</w:t>
      </w:r>
      <w:r>
        <w:rPr>
          <w:spacing w:val="-4"/>
        </w:rPr>
        <w:t xml:space="preserve"> </w:t>
      </w:r>
      <w:r>
        <w:t>niet</w:t>
      </w:r>
      <w:r>
        <w:rPr>
          <w:spacing w:val="-1"/>
        </w:rPr>
        <w:t xml:space="preserve"> </w:t>
      </w:r>
      <w:r>
        <w:t>actief onderzocht onder</w:t>
      </w:r>
      <w:r>
        <w:rPr>
          <w:spacing w:val="-3"/>
        </w:rPr>
        <w:t xml:space="preserve"> </w:t>
      </w:r>
      <w:r>
        <w:t>andere in verband</w:t>
      </w:r>
      <w:r>
        <w:rPr>
          <w:spacing w:val="-3"/>
        </w:rPr>
        <w:t xml:space="preserve"> </w:t>
      </w:r>
      <w:r>
        <w:t>met de onzekerheden rondom het juridische kader van Schiphol, inclusief lopende rechtszaken.</w:t>
      </w:r>
      <w:r>
        <w:rPr>
          <w:spacing w:val="-3"/>
        </w:rPr>
        <w:t xml:space="preserve"> </w:t>
      </w:r>
      <w:r>
        <w:t>Mogelijk</w:t>
      </w:r>
      <w:r>
        <w:rPr>
          <w:spacing w:val="-5"/>
        </w:rPr>
        <w:t xml:space="preserve"> </w:t>
      </w:r>
      <w:r>
        <w:t>wordt</w:t>
      </w:r>
      <w:r>
        <w:rPr>
          <w:spacing w:val="-4"/>
        </w:rPr>
        <w:t xml:space="preserve"> </w:t>
      </w:r>
      <w:r>
        <w:t>dit</w:t>
      </w:r>
      <w:r>
        <w:rPr>
          <w:spacing w:val="-4"/>
        </w:rPr>
        <w:t xml:space="preserve"> </w:t>
      </w:r>
      <w:r>
        <w:t>in</w:t>
      </w:r>
      <w:r>
        <w:rPr>
          <w:spacing w:val="-2"/>
        </w:rPr>
        <w:t xml:space="preserve"> </w:t>
      </w:r>
      <w:r>
        <w:t>de</w:t>
      </w:r>
      <w:r>
        <w:rPr>
          <w:spacing w:val="-5"/>
        </w:rPr>
        <w:t xml:space="preserve"> </w:t>
      </w:r>
      <w:r>
        <w:t>toekomst</w:t>
      </w:r>
      <w:r>
        <w:rPr>
          <w:spacing w:val="-4"/>
        </w:rPr>
        <w:t xml:space="preserve"> </w:t>
      </w:r>
      <w:r>
        <w:t>wel</w:t>
      </w:r>
      <w:r>
        <w:rPr>
          <w:spacing w:val="-7"/>
        </w:rPr>
        <w:t xml:space="preserve"> </w:t>
      </w:r>
      <w:r>
        <w:t>overwogen.</w:t>
      </w:r>
      <w:r>
        <w:rPr>
          <w:spacing w:val="-3"/>
        </w:rPr>
        <w:t xml:space="preserve"> </w:t>
      </w:r>
      <w:r>
        <w:t>Tot</w:t>
      </w:r>
      <w:r>
        <w:rPr>
          <w:spacing w:val="-4"/>
        </w:rPr>
        <w:t xml:space="preserve"> </w:t>
      </w:r>
      <w:r>
        <w:t>slot</w:t>
      </w:r>
      <w:r>
        <w:rPr>
          <w:spacing w:val="-3"/>
        </w:rPr>
        <w:t xml:space="preserve"> </w:t>
      </w:r>
      <w:r>
        <w:t>sluit ik</w:t>
      </w:r>
      <w:r>
        <w:rPr>
          <w:spacing w:val="-5"/>
        </w:rPr>
        <w:t xml:space="preserve"> </w:t>
      </w:r>
      <w:r>
        <w:t>mij aan bij de conclusie van ABN AMRO omtrent een mogelijke verkleining van het belang van de staat in Schiphol, daar zie ik nu geen aanleiding toe.</w:t>
      </w:r>
    </w:p>
    <w:p w:rsidR="00D62B33" w:rsidRDefault="00D62B33" w14:paraId="60E30DAB" w14:textId="77777777">
      <w:pPr>
        <w:pStyle w:val="Plattetekst"/>
      </w:pPr>
    </w:p>
    <w:p w:rsidR="00D62B33" w:rsidRDefault="00D62B33" w14:paraId="01903955" w14:textId="77777777">
      <w:pPr>
        <w:pStyle w:val="Plattetekst"/>
        <w:spacing w:before="39"/>
      </w:pPr>
    </w:p>
    <w:p w:rsidR="00D62B33" w:rsidRDefault="003042F7" w14:paraId="14F42E0D" w14:textId="77777777">
      <w:pPr>
        <w:pStyle w:val="Plattetekst"/>
        <w:ind w:left="26"/>
      </w:pPr>
      <w:r>
        <w:rPr>
          <w:spacing w:val="-2"/>
        </w:rPr>
        <w:t>Hoogachtend,</w:t>
      </w:r>
    </w:p>
    <w:p w:rsidR="00D62B33" w:rsidRDefault="00D62B33" w14:paraId="769756BA" w14:textId="77777777">
      <w:pPr>
        <w:pStyle w:val="Plattetekst"/>
      </w:pPr>
    </w:p>
    <w:p w:rsidR="00D62B33" w:rsidRDefault="00D62B33" w14:paraId="26E71725" w14:textId="77777777">
      <w:pPr>
        <w:pStyle w:val="Plattetekst"/>
        <w:spacing w:before="64"/>
      </w:pPr>
    </w:p>
    <w:p w:rsidR="00D62B33" w:rsidRDefault="003042F7" w14:paraId="0A6FA22A" w14:textId="77777777">
      <w:pPr>
        <w:pStyle w:val="Plattetekst"/>
        <w:spacing w:before="1"/>
        <w:ind w:left="26"/>
        <w:rPr>
          <w:i/>
        </w:rPr>
      </w:pPr>
      <w:r>
        <w:t>De</w:t>
      </w:r>
      <w:r>
        <w:rPr>
          <w:spacing w:val="-5"/>
        </w:rPr>
        <w:t xml:space="preserve"> </w:t>
      </w:r>
      <w:r>
        <w:t>Minister</w:t>
      </w:r>
      <w:r>
        <w:rPr>
          <w:spacing w:val="-4"/>
        </w:rPr>
        <w:t xml:space="preserve"> </w:t>
      </w:r>
      <w:r>
        <w:t>van</w:t>
      </w:r>
      <w:r>
        <w:rPr>
          <w:spacing w:val="-1"/>
        </w:rPr>
        <w:t xml:space="preserve"> </w:t>
      </w:r>
      <w:r>
        <w:rPr>
          <w:spacing w:val="-2"/>
        </w:rPr>
        <w:t>Financiën</w:t>
      </w:r>
      <w:r>
        <w:rPr>
          <w:i/>
          <w:spacing w:val="-2"/>
        </w:rPr>
        <w:t>,</w:t>
      </w:r>
    </w:p>
    <w:p w:rsidR="00D62B33" w:rsidRDefault="00D62B33" w14:paraId="77ACCFD0" w14:textId="77777777">
      <w:pPr>
        <w:pStyle w:val="Plattetekst"/>
        <w:rPr>
          <w:i/>
        </w:rPr>
      </w:pPr>
    </w:p>
    <w:p w:rsidR="00D62B33" w:rsidRDefault="00D62B33" w14:paraId="3BAD655C" w14:textId="77777777">
      <w:pPr>
        <w:pStyle w:val="Plattetekst"/>
        <w:rPr>
          <w:i/>
        </w:rPr>
      </w:pPr>
    </w:p>
    <w:p w:rsidR="00D62B33" w:rsidRDefault="00D62B33" w14:paraId="06164B93" w14:textId="77777777">
      <w:pPr>
        <w:pStyle w:val="Plattetekst"/>
        <w:rPr>
          <w:i/>
        </w:rPr>
      </w:pPr>
    </w:p>
    <w:p w:rsidR="00D62B33" w:rsidRDefault="00D62B33" w14:paraId="205DEF04" w14:textId="77777777">
      <w:pPr>
        <w:pStyle w:val="Plattetekst"/>
        <w:rPr>
          <w:i/>
        </w:rPr>
      </w:pPr>
    </w:p>
    <w:p w:rsidR="00D62B33" w:rsidRDefault="00D62B33" w14:paraId="4EA73129" w14:textId="77777777">
      <w:pPr>
        <w:pStyle w:val="Plattetekst"/>
        <w:spacing w:before="127"/>
        <w:rPr>
          <w:i/>
        </w:rPr>
      </w:pPr>
    </w:p>
    <w:p w:rsidR="00D62B33" w:rsidRDefault="003042F7" w14:paraId="7F15E162" w14:textId="77777777">
      <w:pPr>
        <w:pStyle w:val="Plattetekst"/>
        <w:ind w:left="26"/>
      </w:pPr>
      <w:r>
        <w:t xml:space="preserve">E. </w:t>
      </w:r>
      <w:r>
        <w:rPr>
          <w:spacing w:val="-2"/>
        </w:rPr>
        <w:t>Heinen</w:t>
      </w:r>
    </w:p>
    <w:p w:rsidR="00D62B33" w:rsidRDefault="003042F7" w14:paraId="05747799" w14:textId="77777777">
      <w:pPr>
        <w:spacing w:before="100"/>
        <w:ind w:left="26"/>
        <w:rPr>
          <w:b/>
          <w:sz w:val="13"/>
        </w:rPr>
      </w:pPr>
      <w:r>
        <w:br w:type="column"/>
      </w:r>
      <w:r>
        <w:rPr>
          <w:b/>
          <w:spacing w:val="-2"/>
          <w:sz w:val="13"/>
        </w:rPr>
        <w:t>Datum</w:t>
      </w:r>
    </w:p>
    <w:p w:rsidR="00D62B33" w:rsidRDefault="003042F7" w14:paraId="601CD9F5" w14:textId="77777777">
      <w:pPr>
        <w:spacing w:before="22"/>
        <w:ind w:left="26"/>
        <w:rPr>
          <w:sz w:val="13"/>
        </w:rPr>
      </w:pPr>
      <w:r>
        <w:rPr>
          <w:sz w:val="13"/>
        </w:rPr>
        <w:t>28</w:t>
      </w:r>
      <w:r>
        <w:rPr>
          <w:spacing w:val="-8"/>
          <w:sz w:val="13"/>
        </w:rPr>
        <w:t xml:space="preserve"> </w:t>
      </w:r>
      <w:r>
        <w:rPr>
          <w:sz w:val="13"/>
        </w:rPr>
        <w:t>september</w:t>
      </w:r>
      <w:r>
        <w:rPr>
          <w:spacing w:val="-8"/>
          <w:sz w:val="13"/>
        </w:rPr>
        <w:t xml:space="preserve"> </w:t>
      </w:r>
      <w:r>
        <w:rPr>
          <w:spacing w:val="-4"/>
          <w:sz w:val="13"/>
        </w:rPr>
        <w:t>2025</w:t>
      </w:r>
    </w:p>
    <w:p w:rsidR="00D62B33" w:rsidRDefault="003042F7" w14:paraId="4DE280BE" w14:textId="77777777">
      <w:pPr>
        <w:spacing w:before="112"/>
        <w:ind w:left="26"/>
        <w:rPr>
          <w:b/>
          <w:sz w:val="13"/>
        </w:rPr>
      </w:pPr>
      <w:r>
        <w:rPr>
          <w:b/>
          <w:sz w:val="13"/>
        </w:rPr>
        <w:t xml:space="preserve">Onze </w:t>
      </w:r>
      <w:r>
        <w:rPr>
          <w:b/>
          <w:spacing w:val="-2"/>
          <w:sz w:val="13"/>
        </w:rPr>
        <w:t>referentie</w:t>
      </w:r>
    </w:p>
    <w:p w:rsidR="00D62B33" w:rsidRDefault="003042F7" w14:paraId="0571D2B7" w14:textId="77777777">
      <w:pPr>
        <w:spacing w:before="22"/>
        <w:ind w:left="26"/>
        <w:rPr>
          <w:sz w:val="13"/>
        </w:rPr>
      </w:pPr>
      <w:r>
        <w:rPr>
          <w:spacing w:val="-2"/>
          <w:sz w:val="13"/>
        </w:rPr>
        <w:t>2025-0000463467</w:t>
      </w:r>
    </w:p>
    <w:sectPr w:rsidR="00D62B33">
      <w:type w:val="continuous"/>
      <w:pgSz w:w="11910" w:h="16840"/>
      <w:pgMar w:top="0" w:right="1275" w:bottom="760" w:left="1559" w:header="0" w:footer="561" w:gutter="0"/>
      <w:cols w:equalWidth="0" w:space="708" w:num="2">
        <w:col w:w="7516" w:space="227"/>
        <w:col w:w="1333"/>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8FCE" w14:textId="77777777" w:rsidR="003042F7" w:rsidRDefault="003042F7">
      <w:r>
        <w:separator/>
      </w:r>
    </w:p>
  </w:endnote>
  <w:endnote w:type="continuationSeparator" w:id="0">
    <w:p w14:paraId="7B47622C" w14:textId="77777777" w:rsidR="003042F7" w:rsidRDefault="0030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9D64" w14:textId="77777777" w:rsidR="00594DF5" w:rsidRDefault="00594D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76C0" w14:textId="77777777" w:rsidR="00D62B33" w:rsidRDefault="003042F7">
    <w:pPr>
      <w:pStyle w:val="Plattetekst"/>
      <w:spacing w:line="14" w:lineRule="auto"/>
      <w:rPr>
        <w:sz w:val="20"/>
      </w:rPr>
    </w:pPr>
    <w:r>
      <w:rPr>
        <w:noProof/>
        <w:sz w:val="20"/>
      </w:rPr>
      <mc:AlternateContent>
        <mc:Choice Requires="wps">
          <w:drawing>
            <wp:anchor distT="0" distB="0" distL="0" distR="0" simplePos="0" relativeHeight="487501312" behindDoc="1" locked="0" layoutInCell="1" allowOverlap="1" wp14:anchorId="6BB3F08B" wp14:editId="711FE5D3">
              <wp:simplePos x="0" y="0"/>
              <wp:positionH relativeFrom="page">
                <wp:posOffset>5911215</wp:posOffset>
              </wp:positionH>
              <wp:positionV relativeFrom="page">
                <wp:posOffset>10194163</wp:posOffset>
              </wp:positionV>
              <wp:extent cx="643890"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25730"/>
                      </a:xfrm>
                      <a:prstGeom prst="rect">
                        <a:avLst/>
                      </a:prstGeom>
                    </wps:spPr>
                    <wps:txbx>
                      <w:txbxContent>
                        <w:p w14:paraId="6FC0CE0E" w14:textId="77777777" w:rsidR="00D62B33" w:rsidRDefault="003042F7">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z w:val="13"/>
                            </w:rPr>
                            <w:t xml:space="preserve"> 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4</w:t>
                          </w:r>
                          <w:r>
                            <w:rPr>
                              <w:spacing w:val="-10"/>
                              <w:sz w:val="13"/>
                            </w:rPr>
                            <w:fldChar w:fldCharType="end"/>
                          </w:r>
                        </w:p>
                      </w:txbxContent>
                    </wps:txbx>
                    <wps:bodyPr wrap="square" lIns="0" tIns="0" rIns="0" bIns="0" rtlCol="0">
                      <a:noAutofit/>
                    </wps:bodyPr>
                  </wps:wsp>
                </a:graphicData>
              </a:graphic>
            </wp:anchor>
          </w:drawing>
        </mc:Choice>
        <mc:Fallback>
          <w:pict>
            <v:shapetype w14:anchorId="6BB3F08B" id="_x0000_t202" coordsize="21600,21600" o:spt="202" path="m,l,21600r21600,l21600,xe">
              <v:stroke joinstyle="miter"/>
              <v:path gradientshapeok="t" o:connecttype="rect"/>
            </v:shapetype>
            <v:shape id="Textbox 1" o:spid="_x0000_s1026" type="#_x0000_t202" style="position:absolute;margin-left:465.45pt;margin-top:802.7pt;width:50.7pt;height:9.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" filled="f" stroked="f">
              <v:textbox inset="0,0,0,0">
                <w:txbxContent>
                  <w:p w14:paraId="6FC0CE0E" w14:textId="77777777" w:rsidR="00D62B33" w:rsidRDefault="003042F7">
                    <w:pPr>
                      <w:spacing w:before="20"/>
                      <w:ind w:left="20"/>
                      <w:rPr>
                        <w:sz w:val="13"/>
                      </w:rPr>
                    </w:pPr>
                    <w:r>
                      <w:rPr>
                        <w:sz w:val="13"/>
                      </w:rPr>
                      <w:t>Pagina</w:t>
                    </w:r>
                    <w:r>
                      <w:rPr>
                        <w:spacing w:val="-1"/>
                        <w:sz w:val="13"/>
                      </w:rPr>
                      <w:t xml:space="preserve"> </w:t>
                    </w:r>
                    <w:r>
                      <w:rPr>
                        <w:sz w:val="13"/>
                      </w:rPr>
                      <w:fldChar w:fldCharType="begin"/>
                    </w:r>
                    <w:r>
                      <w:rPr>
                        <w:sz w:val="13"/>
                      </w:rPr>
                      <w:instrText xml:space="preserve"> PAGE </w:instrText>
                    </w:r>
                    <w:r>
                      <w:rPr>
                        <w:sz w:val="13"/>
                      </w:rPr>
                      <w:fldChar w:fldCharType="separate"/>
                    </w:r>
                    <w:r>
                      <w:rPr>
                        <w:sz w:val="13"/>
                      </w:rPr>
                      <w:t>1</w:t>
                    </w:r>
                    <w:r>
                      <w:rPr>
                        <w:sz w:val="13"/>
                      </w:rPr>
                      <w:fldChar w:fldCharType="end"/>
                    </w:r>
                    <w:r>
                      <w:rPr>
                        <w:sz w:val="13"/>
                      </w:rPr>
                      <w:t xml:space="preserve"> 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4</w:t>
                    </w:r>
                    <w:r>
                      <w:rPr>
                        <w:spacing w:val="-10"/>
                        <w:sz w:val="13"/>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149E" w14:textId="77777777" w:rsidR="00594DF5" w:rsidRDefault="00594D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784C" w14:textId="77777777" w:rsidR="003042F7" w:rsidRDefault="003042F7">
      <w:r>
        <w:separator/>
      </w:r>
    </w:p>
  </w:footnote>
  <w:footnote w:type="continuationSeparator" w:id="0">
    <w:p w14:paraId="11D68C75" w14:textId="77777777" w:rsidR="003042F7" w:rsidRDefault="0030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B421" w14:textId="77777777" w:rsidR="00594DF5" w:rsidRDefault="00594D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1DCA" w14:textId="77777777" w:rsidR="00594DF5" w:rsidRDefault="00594D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F7BD" w14:textId="77777777" w:rsidR="00594DF5" w:rsidRDefault="00594D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62B33"/>
    <w:rsid w:val="002608D2"/>
    <w:rsid w:val="003042F7"/>
    <w:rsid w:val="00594DF5"/>
    <w:rsid w:val="00A743EE"/>
    <w:rsid w:val="00BE20DD"/>
    <w:rsid w:val="00D62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A6E1"/>
  <w15:docId w15:val="{A6DECC75-6655-49D7-B262-8053A7DB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3042F7"/>
    <w:pPr>
      <w:tabs>
        <w:tab w:val="center" w:pos="4536"/>
        <w:tab w:val="right" w:pos="9072"/>
      </w:tabs>
    </w:pPr>
  </w:style>
  <w:style w:type="character" w:customStyle="1" w:styleId="KoptekstChar">
    <w:name w:val="Koptekst Char"/>
    <w:basedOn w:val="Standaardalinea-lettertype"/>
    <w:link w:val="Koptekst"/>
    <w:uiPriority w:val="99"/>
    <w:rsid w:val="003042F7"/>
    <w:rPr>
      <w:rFonts w:ascii="Verdana" w:eastAsia="Verdana" w:hAnsi="Verdana" w:cs="Verdana"/>
      <w:lang w:val="nl-NL"/>
    </w:rPr>
  </w:style>
  <w:style w:type="paragraph" w:styleId="Voettekst">
    <w:name w:val="footer"/>
    <w:basedOn w:val="Standaard"/>
    <w:link w:val="VoettekstChar"/>
    <w:uiPriority w:val="99"/>
    <w:unhideWhenUsed/>
    <w:rsid w:val="003042F7"/>
    <w:pPr>
      <w:tabs>
        <w:tab w:val="center" w:pos="4536"/>
        <w:tab w:val="right" w:pos="9072"/>
      </w:tabs>
    </w:pPr>
  </w:style>
  <w:style w:type="character" w:customStyle="1" w:styleId="VoettekstChar">
    <w:name w:val="Voettekst Char"/>
    <w:basedOn w:val="Standaardalinea-lettertype"/>
    <w:link w:val="Voettekst"/>
    <w:uiPriority w:val="99"/>
    <w:rsid w:val="003042F7"/>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1374</ap:Words>
  <ap:Characters>7558</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 Evaluatie aandeelhouderschap luchtvaartdeelnemingen: Schiphol, Air-France KLM en KLM</vt:lpstr>
    </vt:vector>
  </ap:TitlesOfParts>
  <ap:LinksUpToDate>false</ap:LinksUpToDate>
  <ap:CharactersWithSpaces>8915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2025-09-30T12:23:00.0000000Z</dcterms:created>
  <dcterms:modified xsi:type="dcterms:W3CDTF">2025-09-30T12:23:00.0000000Z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vt:lpwstr>
  </property>
  <property fmtid="{D5CDD505-2E9C-101B-9397-08002B2CF9AE}" pid="4" name="LastSaved">
    <vt:filetime>2025-09-30T00:00:00Z</vt:filetime>
  </property>
  <property fmtid="{D5CDD505-2E9C-101B-9397-08002B2CF9AE}" pid="5" name="MSIP_Label_112e3eac-4767-4d29-949e-d809b1160d11_Enabled">
    <vt:lpwstr>true</vt:lpwstr>
  </property>
  <property fmtid="{D5CDD505-2E9C-101B-9397-08002B2CF9AE}" pid="6" name="MSIP_Label_112e3eac-4767-4d29-949e-d809b1160d11_SetDate">
    <vt:lpwstr>2025-09-30T12:20:19Z</vt:lpwstr>
  </property>
  <property fmtid="{D5CDD505-2E9C-101B-9397-08002B2CF9AE}" pid="7" name="MSIP_Label_112e3eac-4767-4d29-949e-d809b1160d11_Method">
    <vt:lpwstr>Standard</vt:lpwstr>
  </property>
  <property fmtid="{D5CDD505-2E9C-101B-9397-08002B2CF9AE}" pid="8" name="MSIP_Label_112e3eac-4767-4d29-949e-d809b1160d11_Name">
    <vt:lpwstr>Rijksoverheid (SGC)</vt:lpwstr>
  </property>
  <property fmtid="{D5CDD505-2E9C-101B-9397-08002B2CF9AE}" pid="9" name="MSIP_Label_112e3eac-4767-4d29-949e-d809b1160d11_SiteId">
    <vt:lpwstr>84712536-f524-40a0-913b-5d25ba502732</vt:lpwstr>
  </property>
  <property fmtid="{D5CDD505-2E9C-101B-9397-08002B2CF9AE}" pid="10" name="MSIP_Label_112e3eac-4767-4d29-949e-d809b1160d11_ActionId">
    <vt:lpwstr>d234e8e6-346d-4005-a0f2-1223dbb1f40e</vt:lpwstr>
  </property>
  <property fmtid="{D5CDD505-2E9C-101B-9397-08002B2CF9AE}" pid="11" name="MSIP_Label_112e3eac-4767-4d29-949e-d809b1160d11_ContentBits">
    <vt:lpwstr>0</vt:lpwstr>
  </property>
</Properties>
</file>