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6B4" w:rsidRDefault="005516B4" w14:paraId="0FDE2845" w14:textId="77777777"/>
    <w:p w:rsidR="00DE28DF" w:rsidRDefault="00DE28DF" w14:paraId="58BB88A7" w14:textId="77777777"/>
    <w:p w:rsidRPr="001068F5" w:rsidR="00DE28DF" w:rsidP="00DE28DF" w:rsidRDefault="00DE28DF" w14:paraId="2D76413E" w14:textId="77777777">
      <w:pPr>
        <w:pStyle w:val="WitregelW1bodytekst"/>
      </w:pPr>
      <w:r w:rsidRPr="00DE28DF">
        <w:t>Tijdens de Algemene Politieke Beschouwingen van 18 september jl. is door de leden</w:t>
      </w:r>
      <w:r>
        <w:t xml:space="preserve"> </w:t>
      </w:r>
      <w:r w:rsidRPr="00DE28DF">
        <w:t>Timmermans</w:t>
      </w:r>
      <w:r>
        <w:t xml:space="preserve"> (GroenLinks-PvdA)</w:t>
      </w:r>
      <w:r w:rsidRPr="00DE28DF">
        <w:t>, Bikker</w:t>
      </w:r>
      <w:r>
        <w:t xml:space="preserve"> (ChristenUnie</w:t>
      </w:r>
      <w:r w:rsidR="004922FD">
        <w:t>)</w:t>
      </w:r>
      <w:r w:rsidRPr="00DE28DF">
        <w:t xml:space="preserve"> en </w:t>
      </w:r>
      <w:r>
        <w:t>V</w:t>
      </w:r>
      <w:r w:rsidRPr="00DE28DF">
        <w:t xml:space="preserve">an Hijum </w:t>
      </w:r>
      <w:r>
        <w:t xml:space="preserve">(NSC) </w:t>
      </w:r>
      <w:r w:rsidRPr="00DE28DF">
        <w:t>een motie ingediend</w:t>
      </w:r>
      <w:r w:rsidRPr="00DE28DF">
        <w:rPr>
          <w:vertAlign w:val="superscript"/>
        </w:rPr>
        <w:footnoteReference w:id="1"/>
      </w:r>
      <w:r w:rsidRPr="00DE28DF">
        <w:t xml:space="preserve">. De motie verzoekt het kabinet om deze winter opnieuw directe inkomenssteun te organiseren voor huishoudens die hun energierekening niet kunnen betalen, om vaart te maken met de inrichting van een publiek energiefonds als opvolger van het Tijdelijk Noodfonds Energie en om de Kamer hier voor de </w:t>
      </w:r>
      <w:r w:rsidRPr="001068F5">
        <w:t>Algemene Financiële Beschouwingen over te informeren.</w:t>
      </w:r>
      <w:r w:rsidRPr="001068F5" w:rsidR="004C712E">
        <w:t xml:space="preserve"> In deze brief informeer ik u </w:t>
      </w:r>
      <w:r w:rsidRPr="001068F5" w:rsidR="00E40C53">
        <w:t xml:space="preserve">op </w:t>
      </w:r>
      <w:r w:rsidRPr="001068F5" w:rsidR="000D5B13">
        <w:t xml:space="preserve">welke </w:t>
      </w:r>
      <w:r w:rsidRPr="001068F5" w:rsidR="00E40C53">
        <w:t xml:space="preserve">wijze het kabinet deze motie zou kunnen uitvoeren en welke </w:t>
      </w:r>
      <w:r w:rsidRPr="001068F5" w:rsidR="000D5B13">
        <w:t>afweging</w:t>
      </w:r>
      <w:r w:rsidRPr="001068F5" w:rsidR="00E40C53">
        <w:t>en</w:t>
      </w:r>
      <w:r w:rsidRPr="001068F5" w:rsidR="000D5B13">
        <w:t xml:space="preserve"> </w:t>
      </w:r>
      <w:r w:rsidRPr="001068F5" w:rsidR="00B624F5">
        <w:t xml:space="preserve">en risico’s </w:t>
      </w:r>
      <w:r w:rsidRPr="001068F5" w:rsidR="00E40C53">
        <w:t>daarbij spelen</w:t>
      </w:r>
      <w:r w:rsidRPr="001068F5" w:rsidR="004C712E">
        <w:t>.</w:t>
      </w:r>
    </w:p>
    <w:p w:rsidRPr="001068F5" w:rsidR="00DE28DF" w:rsidP="00DE28DF" w:rsidRDefault="00DE28DF" w14:paraId="2CB1A172" w14:textId="77777777">
      <w:pPr>
        <w:pStyle w:val="WitregelW1bodytekst"/>
      </w:pPr>
    </w:p>
    <w:p w:rsidRPr="001068F5" w:rsidR="000D5B13" w:rsidP="00DE28DF" w:rsidRDefault="00DE28DF" w14:paraId="358B558D" w14:textId="77777777">
      <w:pPr>
        <w:pStyle w:val="WitregelW1bodytekst"/>
      </w:pPr>
      <w:r w:rsidRPr="001068F5">
        <w:t xml:space="preserve">Het kabinet deelt de urgentie van de Kamer en heeft hetzelfde doel: het ondersteunen van kwetsbare huishoudens en het betaalbaar houden van </w:t>
      </w:r>
      <w:r w:rsidRPr="001068F5" w:rsidR="00E40C53">
        <w:t xml:space="preserve">hun  </w:t>
      </w:r>
      <w:r w:rsidRPr="001068F5">
        <w:t xml:space="preserve">energierekening. </w:t>
      </w:r>
      <w:r w:rsidRPr="001068F5" w:rsidR="000D5B13">
        <w:t xml:space="preserve">Daarbij </w:t>
      </w:r>
      <w:r w:rsidRPr="001068F5" w:rsidR="00E40C53">
        <w:t xml:space="preserve">deelt </w:t>
      </w:r>
      <w:r w:rsidRPr="001068F5" w:rsidR="000D5B13">
        <w:t>het kabinet ook de wens om huishoudens zo snel mogelijk te helpen. De intentie om huishoudens nog deze winter te ondersteunen en daarvoor de beschikbare middelen uit het amendement van de leden Grinwis c.s. van € 50 miljoen aan te wenden, is daarmee een gedeelde wens van het kabinet en de Tweede Kamer.</w:t>
      </w:r>
    </w:p>
    <w:p w:rsidRPr="001068F5" w:rsidR="000D5B13" w:rsidP="000D5B13" w:rsidRDefault="000D5B13" w14:paraId="3D5DD279" w14:textId="77777777"/>
    <w:p w:rsidRPr="001068F5" w:rsidR="000D5B13" w:rsidP="000D5B13" w:rsidRDefault="00E40C53" w14:paraId="5360340A" w14:textId="77777777">
      <w:r w:rsidRPr="001068F5">
        <w:t>In deze brief schets ik op welke wijze deze steun gerealiseerd zou kunnen worden</w:t>
      </w:r>
      <w:r w:rsidRPr="001068F5" w:rsidR="00A66465">
        <w:t xml:space="preserve"> </w:t>
      </w:r>
      <w:r w:rsidRPr="001068F5">
        <w:t xml:space="preserve">aan de hand van </w:t>
      </w:r>
      <w:r w:rsidR="001068F5">
        <w:t>twee</w:t>
      </w:r>
      <w:r w:rsidRPr="001068F5" w:rsidR="000D5B13">
        <w:t xml:space="preserve"> mogelijke scenario</w:t>
      </w:r>
      <w:r w:rsidRPr="001068F5">
        <w:t>’</w:t>
      </w:r>
      <w:r w:rsidRPr="001068F5" w:rsidR="000D5B13">
        <w:t>s</w:t>
      </w:r>
      <w:r w:rsidRPr="001068F5">
        <w:t>.</w:t>
      </w:r>
      <w:r w:rsidR="001068F5">
        <w:t xml:space="preserve"> Bij het bepalen van deze scenario’s is ook nogmaals bezien of er mogelijkheden zijn om zonder private inleg een Rijksbijdrage in de bestaande publiek-private constructie te doen. Dit leidt echter tot </w:t>
      </w:r>
      <w:r w:rsidR="003D5ED9">
        <w:t xml:space="preserve">forse </w:t>
      </w:r>
      <w:r w:rsidRPr="001068F5" w:rsidR="001068F5">
        <w:t xml:space="preserve">financiële, juridische en maatschappelijke risico’s. </w:t>
      </w:r>
      <w:r w:rsidR="003D5ED9">
        <w:t xml:space="preserve">De Algemene Rekenkamer zal dit </w:t>
      </w:r>
      <w:r w:rsidRPr="001068F5" w:rsidR="001068F5">
        <w:t xml:space="preserve">scenario zeer waarschijnlijk </w:t>
      </w:r>
      <w:r w:rsidR="001068F5">
        <w:t xml:space="preserve">als </w:t>
      </w:r>
      <w:r w:rsidRPr="001068F5" w:rsidR="001068F5">
        <w:t>onrechtmatig</w:t>
      </w:r>
      <w:r w:rsidR="003D5ED9">
        <w:t xml:space="preserve">e besteding van belastingmiddelen aanmerken. </w:t>
      </w:r>
      <w:r w:rsidRPr="001068F5" w:rsidR="001068F5">
        <w:t xml:space="preserve">Deze optie beschouwt het kabinet daarom </w:t>
      </w:r>
      <w:r w:rsidR="00EE36E0">
        <w:t xml:space="preserve">als een niet-realistisch scenario </w:t>
      </w:r>
      <w:r w:rsidRPr="00EE36E0" w:rsidR="00EE36E0">
        <w:t>om op korte termijn de financieel meest kwetsbare huishoudens van steun te voorzien</w:t>
      </w:r>
      <w:r w:rsidR="00EE36E0">
        <w:t xml:space="preserve">. </w:t>
      </w:r>
      <w:r w:rsidR="001068F5">
        <w:t>Omdat het</w:t>
      </w:r>
      <w:r w:rsidRPr="001068F5">
        <w:t xml:space="preserve"> kabinet transparant </w:t>
      </w:r>
      <w:r w:rsidR="001068F5">
        <w:t>wil zijn over deze afweging, wordt dit later in deze brief nogmaals kort toegelicht.</w:t>
      </w:r>
    </w:p>
    <w:p w:rsidRPr="001068F5" w:rsidR="001E7EB9" w:rsidP="000D5B13" w:rsidRDefault="001E7EB9" w14:paraId="2CB9336F" w14:textId="77777777"/>
    <w:p w:rsidRPr="001068F5" w:rsidR="001E7EB9" w:rsidP="000D5B13" w:rsidRDefault="001E7EB9" w14:paraId="57F6EDF5" w14:textId="77777777">
      <w:pPr>
        <w:rPr>
          <w:b/>
          <w:bCs/>
        </w:rPr>
      </w:pPr>
      <w:r w:rsidRPr="001068F5">
        <w:rPr>
          <w:b/>
          <w:bCs/>
        </w:rPr>
        <w:t>Scenario 1</w:t>
      </w:r>
      <w:r w:rsidRPr="001068F5" w:rsidR="00A51D1E">
        <w:rPr>
          <w:b/>
          <w:bCs/>
        </w:rPr>
        <w:t>.</w:t>
      </w:r>
      <w:r w:rsidRPr="001068F5">
        <w:rPr>
          <w:b/>
          <w:bCs/>
        </w:rPr>
        <w:t xml:space="preserve"> Verzoek om een bijdrage </w:t>
      </w:r>
      <w:r w:rsidRPr="001068F5" w:rsidR="001714F4">
        <w:rPr>
          <w:b/>
          <w:bCs/>
        </w:rPr>
        <w:t>van</w:t>
      </w:r>
      <w:r w:rsidRPr="001068F5">
        <w:rPr>
          <w:b/>
          <w:bCs/>
        </w:rPr>
        <w:t xml:space="preserve"> derde partijen</w:t>
      </w:r>
    </w:p>
    <w:p w:rsidR="0036331B" w:rsidP="00DE28DF" w:rsidRDefault="001E7EB9" w14:paraId="3713B888" w14:textId="77777777">
      <w:pPr>
        <w:pStyle w:val="WitregelW1bodytekst"/>
      </w:pPr>
      <w:r w:rsidRPr="001068F5">
        <w:t>Het T</w:t>
      </w:r>
      <w:r w:rsidR="00D42E2A">
        <w:t xml:space="preserve">ijdelijk Noodfonds Energie (TNE) </w:t>
      </w:r>
      <w:r w:rsidRPr="001068F5">
        <w:t xml:space="preserve">was de afgelopen jaren gebaseerd op een publiek-private samenwerking, waarbij meer dan één derde van de middelen door </w:t>
      </w:r>
      <w:r w:rsidRPr="001068F5">
        <w:lastRenderedPageBreak/>
        <w:t>de energiesector werd ingelegd.</w:t>
      </w:r>
      <w:r w:rsidRPr="001068F5" w:rsidR="00E40C53">
        <w:t xml:space="preserve"> Om dit jaar opnieuw, binnen de bestaande juridische kaders, </w:t>
      </w:r>
      <w:r w:rsidRPr="001068F5" w:rsidR="00A66465">
        <w:t>een financiële tegemoetkoming op de energierekening</w:t>
      </w:r>
      <w:r w:rsidRPr="001068F5" w:rsidR="00E40C53">
        <w:t xml:space="preserve"> te verlenen via het TNE is een bijdrage van </w:t>
      </w:r>
      <w:r w:rsidR="00D42E2A">
        <w:t xml:space="preserve">derde partijen van </w:t>
      </w:r>
      <w:r w:rsidRPr="001068F5" w:rsidR="00786FDC">
        <w:t xml:space="preserve">meer dan </w:t>
      </w:r>
      <w:r w:rsidRPr="001068F5" w:rsidR="00E40C53">
        <w:t xml:space="preserve">één derde noodzakelijk. </w:t>
      </w:r>
      <w:r w:rsidR="001068F5">
        <w:t>Daarbij dienen uit deze bijdrage ook de uitvoeringskosten van het fonds bekostigd te worden</w:t>
      </w:r>
      <w:r w:rsidR="002B04DD">
        <w:t xml:space="preserve"> om staatsteunrisico’s te voorkomen. Dit </w:t>
      </w:r>
      <w:r w:rsidR="00D42E2A">
        <w:t xml:space="preserve">risico </w:t>
      </w:r>
      <w:r w:rsidR="002B04DD">
        <w:t>wordt later in deze brief nog nader toegelicht</w:t>
      </w:r>
      <w:r w:rsidR="001068F5">
        <w:t xml:space="preserve">. </w:t>
      </w:r>
    </w:p>
    <w:p w:rsidR="00E40C53" w:rsidP="00E40C53" w:rsidRDefault="00E40C53" w14:paraId="0A9AFBCC" w14:textId="77777777">
      <w:pPr>
        <w:pStyle w:val="WitregelW1bodytekst"/>
      </w:pPr>
      <w:r w:rsidRPr="001068F5">
        <w:t xml:space="preserve">Indien </w:t>
      </w:r>
      <w:r w:rsidR="0036331B">
        <w:t>derde partijen hiertoe bereid zouden</w:t>
      </w:r>
      <w:r w:rsidRPr="001068F5">
        <w:t xml:space="preserve"> zijn</w:t>
      </w:r>
      <w:r w:rsidRPr="001068F5" w:rsidR="002F1FD8">
        <w:t xml:space="preserve"> en de stichting TNE dit wil uitvoeren</w:t>
      </w:r>
      <w:r w:rsidRPr="001068F5">
        <w:t xml:space="preserve">, kan voor komende winter opnieuw een </w:t>
      </w:r>
      <w:r w:rsidRPr="001068F5" w:rsidR="002F1FD8">
        <w:t>T</w:t>
      </w:r>
      <w:r w:rsidRPr="001068F5">
        <w:t xml:space="preserve">ijdelijk </w:t>
      </w:r>
      <w:r w:rsidRPr="001068F5" w:rsidR="002F1FD8">
        <w:t>N</w:t>
      </w:r>
      <w:r w:rsidRPr="001068F5">
        <w:t xml:space="preserve">oodfonds </w:t>
      </w:r>
      <w:r w:rsidRPr="001068F5" w:rsidR="002F1FD8">
        <w:t xml:space="preserve">Energie </w:t>
      </w:r>
      <w:r w:rsidRPr="001068F5">
        <w:t xml:space="preserve">ingericht worden. </w:t>
      </w:r>
      <w:r w:rsidRPr="001068F5" w:rsidR="002F1FD8">
        <w:t xml:space="preserve">Het </w:t>
      </w:r>
      <w:r w:rsidRPr="001068F5">
        <w:t>kabinet</w:t>
      </w:r>
      <w:r w:rsidRPr="001068F5" w:rsidR="00A66465">
        <w:t xml:space="preserve"> </w:t>
      </w:r>
      <w:r w:rsidRPr="001068F5" w:rsidR="002F1FD8">
        <w:t xml:space="preserve">kan dus </w:t>
      </w:r>
      <w:r w:rsidRPr="001068F5" w:rsidR="001E7EB9">
        <w:t>alsnog derde partijen vragen of zij bereid zijn om bij te dragen</w:t>
      </w:r>
      <w:r w:rsidRPr="001068F5" w:rsidR="002F1FD8">
        <w:t xml:space="preserve"> en hier de Tweede Kamer </w:t>
      </w:r>
      <w:r w:rsidRPr="001068F5" w:rsidR="00B036FC">
        <w:t>over informeren</w:t>
      </w:r>
      <w:r w:rsidRPr="001068F5" w:rsidR="006A783A">
        <w:t>.</w:t>
      </w:r>
      <w:r w:rsidRPr="001068F5">
        <w:t xml:space="preserve"> Hierbij is wel van belang om op te merken dat</w:t>
      </w:r>
      <w:r w:rsidRPr="001068F5" w:rsidR="00B624F5">
        <w:t xml:space="preserve"> zij in een eerder stadium hebben aangegeven hiertoe niet bereid te zijn</w:t>
      </w:r>
      <w:r w:rsidRPr="001068F5" w:rsidR="002F1FD8">
        <w:t xml:space="preserve">. Daarnaast is, </w:t>
      </w:r>
      <w:r w:rsidRPr="001068F5">
        <w:t>zoals ook in de brief van 27 juni jl.</w:t>
      </w:r>
      <w:r w:rsidRPr="001068F5">
        <w:rPr>
          <w:vertAlign w:val="superscript"/>
        </w:rPr>
        <w:footnoteReference w:id="2"/>
      </w:r>
      <w:r w:rsidRPr="001068F5">
        <w:t xml:space="preserve"> is </w:t>
      </w:r>
      <w:r w:rsidRPr="001068F5" w:rsidR="00B624F5">
        <w:t>vermeld</w:t>
      </w:r>
      <w:r w:rsidRPr="001068F5">
        <w:t xml:space="preserve">, met de energiesector afgesproken dat het fonds van 2025 het laatste fonds zou zijn waarvoor </w:t>
      </w:r>
      <w:r w:rsidR="005C08F3">
        <w:t>zij</w:t>
      </w:r>
      <w:r w:rsidRPr="001068F5">
        <w:t xml:space="preserve"> zouden inleggen.</w:t>
      </w:r>
    </w:p>
    <w:p w:rsidR="002B04DD" w:rsidP="002B04DD" w:rsidRDefault="002B04DD" w14:paraId="76BA7209" w14:textId="77777777"/>
    <w:p w:rsidR="005C08F3" w:rsidP="00D42E2A" w:rsidRDefault="002B04DD" w14:paraId="69B5B48F" w14:textId="77777777">
      <w:r>
        <w:t xml:space="preserve">Daarbij moet </w:t>
      </w:r>
      <w:r w:rsidR="00D42E2A">
        <w:t xml:space="preserve">ook </w:t>
      </w:r>
      <w:r>
        <w:t xml:space="preserve">dezelfde kanttekening gemaakt worden zoals ik heb gedaan </w:t>
      </w:r>
      <w:r w:rsidR="00EE36E0">
        <w:t>in de brief aan de Tweede Kamer op 4 april 2025</w:t>
      </w:r>
      <w:r w:rsidR="00D42E2A">
        <w:t xml:space="preserve"> bij het afgelopen energiefonds</w:t>
      </w:r>
      <w:r w:rsidR="00403BA0">
        <w:t>.</w:t>
      </w:r>
      <w:r w:rsidR="00EE36E0">
        <w:rPr>
          <w:rStyle w:val="Voetnootmarkering"/>
        </w:rPr>
        <w:footnoteReference w:id="3"/>
      </w:r>
      <w:r w:rsidR="00403BA0">
        <w:t xml:space="preserve"> </w:t>
      </w:r>
      <w:r w:rsidRPr="00EE36E0" w:rsidR="00EE36E0">
        <w:t>Het is goed als uw Kamer zich realiseert dat met de beschikbare middelen mogelijk niet alle aanvragen kunnen worden gehonoreerd.</w:t>
      </w:r>
      <w:r w:rsidR="00EE36E0">
        <w:t xml:space="preserve"> </w:t>
      </w:r>
      <w:r w:rsidRPr="00EE36E0" w:rsidR="00EE36E0">
        <w:t>Het TNE heeft in 2025 zo’n 115.000 huishoudens een financiële tegemoetkoming kunnen verstrekken</w:t>
      </w:r>
      <w:r w:rsidR="00EE36E0">
        <w:t xml:space="preserve"> met </w:t>
      </w:r>
      <w:r w:rsidRPr="00EE36E0" w:rsidR="00EE36E0">
        <w:t>€ 5</w:t>
      </w:r>
      <w:r w:rsidR="00EE36E0">
        <w:t xml:space="preserve">6,3 </w:t>
      </w:r>
      <w:r w:rsidRPr="00EE36E0" w:rsidR="00EE36E0">
        <w:t>miljoen</w:t>
      </w:r>
      <w:r w:rsidR="00EE36E0">
        <w:t>.</w:t>
      </w:r>
      <w:r w:rsidRPr="00EE36E0" w:rsidR="00EE36E0">
        <w:t xml:space="preserve"> </w:t>
      </w:r>
    </w:p>
    <w:p w:rsidR="002B04DD" w:rsidP="00D42E2A" w:rsidRDefault="00EE36E0" w14:paraId="7ADCC45D" w14:textId="77777777">
      <w:r>
        <w:t xml:space="preserve">Het Rijk heeft nu </w:t>
      </w:r>
      <w:r w:rsidRPr="00EE36E0">
        <w:t>€ 50 miljoen</w:t>
      </w:r>
      <w:r>
        <w:t xml:space="preserve"> tot de beschikking. Om deze volledig in te kunnen zetten, dienen derde partijen meer dan </w:t>
      </w:r>
      <w:r w:rsidRPr="00EE36E0">
        <w:t xml:space="preserve">€ </w:t>
      </w:r>
      <w:r>
        <w:t>25</w:t>
      </w:r>
      <w:r w:rsidRPr="00EE36E0">
        <w:t xml:space="preserve"> miljoen</w:t>
      </w:r>
      <w:r>
        <w:t xml:space="preserve"> in te leggen. Elk lager bedrag van derden, leidt ook tot een lagere bijdrage van het Rijk (</w:t>
      </w:r>
      <w:r w:rsidR="00D42E2A">
        <w:t>verhouding meer dan één derde/minder dan twee derde). Van het bedrag van derde partijen dienen ook de uitvoeringskosten bekostigd te worden.</w:t>
      </w:r>
      <w:r w:rsidR="00D42E2A">
        <w:rPr>
          <w:rStyle w:val="Voetnootmarkering"/>
        </w:rPr>
        <w:footnoteReference w:id="4"/>
      </w:r>
      <w:r w:rsidR="00D42E2A">
        <w:t xml:space="preserve"> </w:t>
      </w:r>
      <w:r w:rsidR="00403BA0">
        <w:t>Er kan worden overwogen om de voorwaarden</w:t>
      </w:r>
      <w:r w:rsidR="005C08F3">
        <w:t xml:space="preserve"> (hoogte inkomen/energiequote)</w:t>
      </w:r>
      <w:r w:rsidR="00403BA0">
        <w:t xml:space="preserve"> van het fonds aan te passen om daarmee een groter bereik van de doelgroep te behalen. Dit licht ik later in deze brief nog nader toe.</w:t>
      </w:r>
    </w:p>
    <w:p w:rsidR="00D42E2A" w:rsidP="00D42E2A" w:rsidRDefault="00D42E2A" w14:paraId="02660BA4" w14:textId="77777777"/>
    <w:p w:rsidR="00D42E2A" w:rsidP="00D42E2A" w:rsidRDefault="00D42E2A" w14:paraId="1FD93CC4" w14:textId="77777777">
      <w:r>
        <w:t xml:space="preserve">De mogelijke uitvoering van een nieuw TNE voor aankomende winter dient </w:t>
      </w:r>
      <w:r w:rsidRPr="00D42E2A">
        <w:t xml:space="preserve">zowel nog met de Stichting </w:t>
      </w:r>
      <w:r w:rsidR="005C08F3">
        <w:t>TNE</w:t>
      </w:r>
      <w:r w:rsidRPr="00D42E2A">
        <w:t xml:space="preserve"> </w:t>
      </w:r>
      <w:r>
        <w:t>als met</w:t>
      </w:r>
      <w:r w:rsidRPr="00D42E2A">
        <w:t xml:space="preserve"> de energieleveranciers </w:t>
      </w:r>
      <w:r w:rsidR="00B028A4">
        <w:t xml:space="preserve">nader </w:t>
      </w:r>
      <w:r w:rsidRPr="00D42E2A">
        <w:t>besproken</w:t>
      </w:r>
      <w:r w:rsidR="005C08F3">
        <w:t xml:space="preserve"> te</w:t>
      </w:r>
      <w:r w:rsidRPr="00D42E2A">
        <w:t xml:space="preserve"> worden. </w:t>
      </w:r>
      <w:r w:rsidR="005C08F3">
        <w:t xml:space="preserve">De Stichting </w:t>
      </w:r>
      <w:r w:rsidRPr="00D42E2A">
        <w:t>TNE heeft eerder aangegeven te willen bijdragen aan een noodfonds, mits dit tot een substantiële verlichting voor huishoudens leidt.</w:t>
      </w:r>
    </w:p>
    <w:p w:rsidRPr="001068F5" w:rsidR="00730B40" w:rsidP="00DE28DF" w:rsidRDefault="00730B40" w14:paraId="6BFCE8CB" w14:textId="77777777">
      <w:pPr>
        <w:pStyle w:val="WitregelW1bodytekst"/>
      </w:pPr>
    </w:p>
    <w:p w:rsidRPr="00D42E2A" w:rsidR="00D42E2A" w:rsidP="00D42E2A" w:rsidRDefault="00D42E2A" w14:paraId="607BB06D" w14:textId="77777777">
      <w:pPr>
        <w:rPr>
          <w:b/>
          <w:bCs/>
        </w:rPr>
      </w:pPr>
      <w:r w:rsidRPr="00D42E2A">
        <w:rPr>
          <w:b/>
          <w:bCs/>
        </w:rPr>
        <w:t xml:space="preserve">Scenario </w:t>
      </w:r>
      <w:r>
        <w:rPr>
          <w:b/>
          <w:bCs/>
        </w:rPr>
        <w:t>2</w:t>
      </w:r>
      <w:r w:rsidRPr="00D42E2A">
        <w:rPr>
          <w:b/>
          <w:bCs/>
        </w:rPr>
        <w:t>. € 50 miljoen via het Gemeentefonds naar de huishoudens die het meest financieel kwetsbaar zijn</w:t>
      </w:r>
    </w:p>
    <w:p w:rsidRPr="00D42E2A" w:rsidR="00D42E2A" w:rsidP="00D42E2A" w:rsidRDefault="00D42E2A" w14:paraId="042C2908" w14:textId="77777777">
      <w:r w:rsidRPr="00D42E2A">
        <w:t xml:space="preserve">Een </w:t>
      </w:r>
      <w:r>
        <w:t>tweede</w:t>
      </w:r>
      <w:r w:rsidRPr="00D42E2A">
        <w:t xml:space="preserve"> scenario om </w:t>
      </w:r>
      <w:r>
        <w:t xml:space="preserve">deze winter alsnog de huishoudens in de financieel meest kwetsbare situatie te helpen </w:t>
      </w:r>
      <w:r w:rsidRPr="00D42E2A">
        <w:t xml:space="preserve">is om eenmalig de € 50 miljoen deze winter te verstrekken aan gemeenten via het Gemeentefonds. Hiermee kunnen </w:t>
      </w:r>
      <w:r w:rsidR="000F3E6F">
        <w:t xml:space="preserve">gemeenten ervoor kiezen om deze </w:t>
      </w:r>
      <w:r w:rsidRPr="00D42E2A">
        <w:t xml:space="preserve">middelen </w:t>
      </w:r>
      <w:r w:rsidR="000F3E6F">
        <w:t xml:space="preserve">in te zetten voor de huishoudens die financieel het meest kwetsbaar zijn. </w:t>
      </w:r>
      <w:r w:rsidRPr="00D42E2A">
        <w:t xml:space="preserve">Individuele gemeenten zijn </w:t>
      </w:r>
      <w:r w:rsidR="000F3E6F">
        <w:t>echter</w:t>
      </w:r>
      <w:r w:rsidR="005C08F3">
        <w:t xml:space="preserve"> </w:t>
      </w:r>
      <w:r w:rsidRPr="00D42E2A">
        <w:t>vrij om te kiezen hoe zij deze aanvullende Gemeentefonds-middelen besteden. De besteding kan dus per gemeente verschillen</w:t>
      </w:r>
      <w:r w:rsidR="000F3E6F">
        <w:t xml:space="preserve"> en daarmee betreft dit een ongerichte maatregel</w:t>
      </w:r>
      <w:r w:rsidRPr="00D42E2A">
        <w:t xml:space="preserve">. Het Rijk kan wel aan gemeenten </w:t>
      </w:r>
      <w:r w:rsidR="000F3E6F">
        <w:t>de suggestie doen om</w:t>
      </w:r>
      <w:r w:rsidRPr="00D42E2A">
        <w:t xml:space="preserve"> de middelen </w:t>
      </w:r>
      <w:r w:rsidR="000F3E6F">
        <w:t>te besteden</w:t>
      </w:r>
      <w:r w:rsidRPr="00D42E2A">
        <w:t xml:space="preserve"> aan bijvoorbeeld de individuele bijzondere bijstand, </w:t>
      </w:r>
      <w:proofErr w:type="spellStart"/>
      <w:r w:rsidRPr="00D42E2A">
        <w:t>vroegsignalering</w:t>
      </w:r>
      <w:proofErr w:type="spellEnd"/>
      <w:r w:rsidRPr="00D42E2A">
        <w:t xml:space="preserve"> of bijvoorbeeld energie(</w:t>
      </w:r>
      <w:proofErr w:type="spellStart"/>
      <w:r w:rsidRPr="00D42E2A">
        <w:t>besparings</w:t>
      </w:r>
      <w:proofErr w:type="spellEnd"/>
      <w:r w:rsidRPr="00D42E2A">
        <w:t xml:space="preserve">)hulp. </w:t>
      </w:r>
    </w:p>
    <w:p w:rsidRPr="00D42E2A" w:rsidR="00D42E2A" w:rsidP="00D42E2A" w:rsidRDefault="00D42E2A" w14:paraId="2D2ECCCF" w14:textId="77777777">
      <w:r w:rsidRPr="00D42E2A">
        <w:lastRenderedPageBreak/>
        <w:t>Met het bovenstaande wil ik dan ook benadrukken dat dit scenario een wezenlijk ander effect he</w:t>
      </w:r>
      <w:r>
        <w:t>eft</w:t>
      </w:r>
      <w:r w:rsidRPr="00D42E2A">
        <w:t xml:space="preserve"> dan met het </w:t>
      </w:r>
      <w:r w:rsidR="005C08F3">
        <w:t>TNE</w:t>
      </w:r>
      <w:r w:rsidRPr="00D42E2A">
        <w:t xml:space="preserve"> de afgelopen jaren is bereikt. Dit scenario dient nog wel </w:t>
      </w:r>
      <w:r w:rsidR="00B028A4">
        <w:t xml:space="preserve">nader </w:t>
      </w:r>
      <w:r w:rsidRPr="00D42E2A">
        <w:t>met de VNG besproken te worden.</w:t>
      </w:r>
    </w:p>
    <w:p w:rsidR="00E35418" w:rsidP="00DE28DF" w:rsidRDefault="00E35418" w14:paraId="7773DDD0" w14:textId="77777777">
      <w:pPr>
        <w:rPr>
          <w:b/>
          <w:bCs/>
        </w:rPr>
      </w:pPr>
    </w:p>
    <w:p w:rsidRPr="001068F5" w:rsidR="00DE28DF" w:rsidP="00DE28DF" w:rsidRDefault="001068F5" w14:paraId="331172BE" w14:textId="77777777">
      <w:pPr>
        <w:rPr>
          <w:b/>
          <w:bCs/>
        </w:rPr>
      </w:pPr>
      <w:r>
        <w:rPr>
          <w:b/>
          <w:bCs/>
        </w:rPr>
        <w:t xml:space="preserve">Toelichting risico’s </w:t>
      </w:r>
      <w:r w:rsidRPr="001068F5" w:rsidR="00A51D1E">
        <w:rPr>
          <w:b/>
          <w:bCs/>
        </w:rPr>
        <w:t>Energiefonds met alleen een bijdrage van het Rijk</w:t>
      </w:r>
      <w:r w:rsidRPr="001068F5" w:rsidR="00E742D1">
        <w:rPr>
          <w:b/>
          <w:bCs/>
        </w:rPr>
        <w:t xml:space="preserve"> </w:t>
      </w:r>
    </w:p>
    <w:p w:rsidRPr="001068F5" w:rsidR="00E40C53" w:rsidP="00DE28DF" w:rsidRDefault="00D42E2A" w14:paraId="3F6BB85E" w14:textId="77777777">
      <w:pPr>
        <w:pStyle w:val="WitregelW1bodytekst"/>
      </w:pPr>
      <w:r>
        <w:t>Zoals eerder in deze brief geschetst is b</w:t>
      </w:r>
      <w:r w:rsidRPr="00D42E2A">
        <w:t xml:space="preserve">ij het bepalen van de </w:t>
      </w:r>
      <w:r>
        <w:t xml:space="preserve">mogelijke </w:t>
      </w:r>
      <w:r w:rsidRPr="00D42E2A">
        <w:t xml:space="preserve">scenario’s ook nogmaals bezien of er mogelijkheden zijn om zonder </w:t>
      </w:r>
      <w:r w:rsidR="005C08F3">
        <w:t>inleg van derde partijen</w:t>
      </w:r>
      <w:r w:rsidRPr="00D42E2A">
        <w:t xml:space="preserve"> een Rijksbijdrage in de bestaande publiek-private constructie te doen. Dit leidt echter tot </w:t>
      </w:r>
      <w:r w:rsidR="00372984">
        <w:t>forse</w:t>
      </w:r>
      <w:r w:rsidRPr="00D42E2A">
        <w:t xml:space="preserve"> financiële, juridische en maatschappelijke risico’s.</w:t>
      </w:r>
      <w:r>
        <w:t xml:space="preserve"> </w:t>
      </w:r>
    </w:p>
    <w:p w:rsidR="00D42E2A" w:rsidP="00DE28DF" w:rsidRDefault="00D42E2A" w14:paraId="228CC3B8" w14:textId="77777777">
      <w:pPr>
        <w:pStyle w:val="WitregelW1bodytekst"/>
      </w:pPr>
    </w:p>
    <w:p w:rsidRPr="001068F5" w:rsidR="00DE28DF" w:rsidP="00DE28DF" w:rsidRDefault="00D42E2A" w14:paraId="0D3D2DF5" w14:textId="77777777">
      <w:pPr>
        <w:pStyle w:val="WitregelW1bodytekst"/>
      </w:pPr>
      <w:r>
        <w:t>Allereerst zal b</w:t>
      </w:r>
      <w:r w:rsidRPr="001068F5" w:rsidR="00E742D1">
        <w:t xml:space="preserve">ij een </w:t>
      </w:r>
      <w:r w:rsidRPr="001068F5" w:rsidR="00716557">
        <w:t xml:space="preserve">volledige bijdrage door het Rijk </w:t>
      </w:r>
      <w:r w:rsidRPr="001068F5" w:rsidR="009451D3">
        <w:t>de constructie</w:t>
      </w:r>
      <w:r w:rsidRPr="001068F5" w:rsidR="00DE28DF">
        <w:t xml:space="preserve"> </w:t>
      </w:r>
      <w:r w:rsidRPr="001068F5" w:rsidR="00B63A57">
        <w:t xml:space="preserve">naar </w:t>
      </w:r>
      <w:r w:rsidRPr="001068F5" w:rsidR="001714F4">
        <w:t>alle waarschijnlijkheid</w:t>
      </w:r>
      <w:r w:rsidRPr="001068F5" w:rsidR="00B63A57">
        <w:t xml:space="preserve"> </w:t>
      </w:r>
      <w:r w:rsidRPr="001068F5" w:rsidR="00DE28DF">
        <w:t xml:space="preserve">door de rechter </w:t>
      </w:r>
      <w:r w:rsidRPr="001068F5" w:rsidR="00B63A57">
        <w:t xml:space="preserve">worden </w:t>
      </w:r>
      <w:r w:rsidRPr="001068F5" w:rsidR="00DE28DF">
        <w:t>aangemerkt als een buitenwettelijk bestuursorgaan</w:t>
      </w:r>
      <w:r w:rsidRPr="001068F5" w:rsidR="00225232">
        <w:t xml:space="preserve"> en daarmee leiden tot een onrechtmatigheid. </w:t>
      </w:r>
      <w:r w:rsidRPr="001068F5" w:rsidR="00DE28DF">
        <w:t xml:space="preserve">Daarmee </w:t>
      </w:r>
      <w:r w:rsidRPr="001068F5" w:rsidR="00B63A57">
        <w:t xml:space="preserve">moet </w:t>
      </w:r>
      <w:r w:rsidRPr="001068F5" w:rsidR="00DE28DF">
        <w:t>de ondersteuning aan huishoudens voldoen aan de regels van het bestuursrecht</w:t>
      </w:r>
      <w:r w:rsidRPr="001068F5" w:rsidR="00E40C53">
        <w:t xml:space="preserve">, zoals </w:t>
      </w:r>
      <w:r w:rsidRPr="001068F5" w:rsidR="00DE28DF">
        <w:t>een wettelijke grondslag</w:t>
      </w:r>
      <w:r w:rsidRPr="001068F5" w:rsidR="00E40C53">
        <w:t xml:space="preserve">. Deze ontbreekt. </w:t>
      </w:r>
      <w:r w:rsidRPr="001068F5" w:rsidR="00DE28DF">
        <w:t xml:space="preserve">Het gevolg hiervan </w:t>
      </w:r>
      <w:r w:rsidRPr="001068F5" w:rsidR="00225232">
        <w:t>is</w:t>
      </w:r>
      <w:r w:rsidRPr="001068F5" w:rsidR="00E40C53">
        <w:t xml:space="preserve"> </w:t>
      </w:r>
      <w:r w:rsidRPr="001068F5" w:rsidR="00DE28DF">
        <w:t>dat uitkeringen onrechtmatig zijn en dat er geen rechtmatig subsidieplafond bestaat</w:t>
      </w:r>
      <w:r w:rsidRPr="001068F5" w:rsidR="00E40C53">
        <w:t>, met</w:t>
      </w:r>
      <w:r w:rsidRPr="001068F5" w:rsidR="00DE28DF">
        <w:t xml:space="preserve"> een open einde-regeling </w:t>
      </w:r>
      <w:r w:rsidRPr="001068F5" w:rsidR="00E40C53">
        <w:t xml:space="preserve">tot gevolg. Hierbij kan </w:t>
      </w:r>
      <w:r w:rsidRPr="001068F5" w:rsidR="00DE28DF">
        <w:t xml:space="preserve">de </w:t>
      </w:r>
      <w:r w:rsidR="009C3323">
        <w:t>Rijks</w:t>
      </w:r>
      <w:r w:rsidRPr="001068F5" w:rsidR="00DE28DF">
        <w:t>overheid financieel aansprakelijk word</w:t>
      </w:r>
      <w:r w:rsidRPr="001068F5" w:rsidR="00E40C53">
        <w:t>en</w:t>
      </w:r>
      <w:r w:rsidRPr="001068F5" w:rsidR="00DE28DF">
        <w:t xml:space="preserve"> voor alle aanvragen die worden ingediend.</w:t>
      </w:r>
      <w:r w:rsidRPr="001068F5" w:rsidR="00FB472A">
        <w:t xml:space="preserve"> </w:t>
      </w:r>
      <w:r w:rsidRPr="001068F5" w:rsidR="00C87033">
        <w:t xml:space="preserve">Dit kan oplopen tot </w:t>
      </w:r>
      <w:r w:rsidRPr="001068F5" w:rsidR="005E15D9">
        <w:t>extra uitgaven</w:t>
      </w:r>
      <w:r w:rsidRPr="001068F5" w:rsidR="00C87033">
        <w:t xml:space="preserve"> van honderden miljoen</w:t>
      </w:r>
      <w:r w:rsidRPr="001068F5" w:rsidR="005E15D9">
        <w:t>en</w:t>
      </w:r>
      <w:r w:rsidRPr="001068F5" w:rsidR="00C87033">
        <w:t xml:space="preserve"> euro’s.</w:t>
      </w:r>
      <w:r w:rsidRPr="001068F5" w:rsidR="009451D3">
        <w:t xml:space="preserve"> </w:t>
      </w:r>
    </w:p>
    <w:p w:rsidRPr="001068F5" w:rsidR="00DE28DF" w:rsidP="00DE28DF" w:rsidRDefault="00E742D1" w14:paraId="7F18C7BF" w14:textId="77777777">
      <w:pPr>
        <w:pStyle w:val="WitregelW1bodytekst"/>
      </w:pPr>
      <w:r w:rsidRPr="001068F5">
        <w:t>Daarnaast is er ook een risico op staatssteun.</w:t>
      </w:r>
      <w:r w:rsidRPr="001068F5">
        <w:rPr>
          <w:b/>
          <w:bCs/>
        </w:rPr>
        <w:t xml:space="preserve"> </w:t>
      </w:r>
      <w:r w:rsidRPr="001068F5" w:rsidR="00FB472A">
        <w:t>A</w:t>
      </w:r>
      <w:r w:rsidRPr="001068F5" w:rsidR="009451D3">
        <w:t xml:space="preserve">ndere jaren betaalde </w:t>
      </w:r>
      <w:r w:rsidRPr="001068F5" w:rsidR="004922FD">
        <w:t xml:space="preserve">de </w:t>
      </w:r>
      <w:r w:rsidRPr="001068F5" w:rsidR="009451D3">
        <w:t xml:space="preserve">energiesector de uitvoeringskosten van het Tijdelijk Noodfonds Energie. </w:t>
      </w:r>
      <w:r w:rsidRPr="001068F5" w:rsidR="00E40C53">
        <w:t>Als dat niet opnieuw gebeurt, moet uit</w:t>
      </w:r>
      <w:r w:rsidRPr="001068F5" w:rsidR="009451D3">
        <w:t xml:space="preserve"> de </w:t>
      </w:r>
      <w:r w:rsidRPr="001068F5" w:rsidR="00FB472A">
        <w:t xml:space="preserve">€ 50 miljoen </w:t>
      </w:r>
      <w:r w:rsidRPr="001068F5" w:rsidR="009451D3">
        <w:t xml:space="preserve">ook </w:t>
      </w:r>
      <w:r w:rsidRPr="001068F5" w:rsidR="00FB472A">
        <w:t xml:space="preserve">de uitvoeringskosten van het fonds </w:t>
      </w:r>
      <w:r w:rsidRPr="001068F5" w:rsidR="00E40C53">
        <w:t>betaald worden</w:t>
      </w:r>
      <w:r w:rsidRPr="001068F5" w:rsidR="00FB472A">
        <w:t xml:space="preserve">. </w:t>
      </w:r>
      <w:r w:rsidRPr="001068F5" w:rsidR="00E40C53">
        <w:t xml:space="preserve">Dit </w:t>
      </w:r>
      <w:r w:rsidRPr="001068F5" w:rsidR="00DE28DF">
        <w:t xml:space="preserve">kan worden aangemerkt als staatssteun. </w:t>
      </w:r>
      <w:r w:rsidRPr="001068F5" w:rsidR="00225232">
        <w:t xml:space="preserve">Dit kan </w:t>
      </w:r>
      <w:r w:rsidRPr="001068F5" w:rsidR="00DE28DF">
        <w:t xml:space="preserve">leiden tot onderzoek door de Europese Commissie en in het uiterste geval tot </w:t>
      </w:r>
      <w:r w:rsidRPr="001068F5" w:rsidR="004922FD">
        <w:t xml:space="preserve">verplichte </w:t>
      </w:r>
      <w:r w:rsidRPr="001068F5" w:rsidR="00DE28DF">
        <w:t xml:space="preserve">terugvordering </w:t>
      </w:r>
      <w:r w:rsidRPr="001068F5" w:rsidR="00ED17DA">
        <w:t xml:space="preserve">inclusief rente </w:t>
      </w:r>
      <w:r w:rsidRPr="001068F5" w:rsidR="00DE28DF">
        <w:t>van de verstrekte middelen</w:t>
      </w:r>
      <w:r w:rsidRPr="001068F5" w:rsidR="00800C84">
        <w:t>, hetgeen dan voor risico van de stichting TNE komt</w:t>
      </w:r>
      <w:r w:rsidRPr="001068F5" w:rsidR="00DE28DF">
        <w:t>.</w:t>
      </w:r>
      <w:r w:rsidRPr="001068F5" w:rsidR="00800C84">
        <w:t xml:space="preserve"> </w:t>
      </w:r>
      <w:r w:rsidRPr="001068F5" w:rsidR="007211F6">
        <w:t>Het is d</w:t>
      </w:r>
      <w:r w:rsidRPr="001068F5" w:rsidR="009065B3">
        <w:t>aarom</w:t>
      </w:r>
      <w:r w:rsidRPr="001068F5" w:rsidR="007211F6">
        <w:t xml:space="preserve"> de vraag of Stichting TNE onder deze omstandigheden bereid is een subsidieaanvraag in te dienen.</w:t>
      </w:r>
      <w:r w:rsidRPr="001068F5" w:rsidR="007A376A">
        <w:t xml:space="preserve"> Er zijn </w:t>
      </w:r>
      <w:r w:rsidRPr="001068F5" w:rsidR="00FB472A">
        <w:t xml:space="preserve">reële </w:t>
      </w:r>
      <w:r w:rsidRPr="001068F5" w:rsidR="00DE28DF">
        <w:t xml:space="preserve">kansen op bovenstaande situaties. Op dit moment lopen er </w:t>
      </w:r>
      <w:r w:rsidRPr="001068F5" w:rsidR="009451D3">
        <w:t xml:space="preserve">reeds </w:t>
      </w:r>
      <w:r w:rsidRPr="001068F5" w:rsidR="00DE28DF">
        <w:t xml:space="preserve">rechtszaken over het Noodfonds in 2023 en in 2024. </w:t>
      </w:r>
    </w:p>
    <w:p w:rsidRPr="001068F5" w:rsidR="007A376A" w:rsidP="007A376A" w:rsidRDefault="007A376A" w14:paraId="74B3EFFB" w14:textId="77777777"/>
    <w:p w:rsidRPr="001068F5" w:rsidR="002F1FD8" w:rsidP="002F1FD8" w:rsidRDefault="007A376A" w14:paraId="360A6B4B" w14:textId="77777777">
      <w:bookmarkStart w:name="_Hlk210071086" w:id="1"/>
      <w:r w:rsidRPr="001068F5">
        <w:t>Het afgelopen energie</w:t>
      </w:r>
      <w:r w:rsidRPr="001068F5" w:rsidR="009065B3">
        <w:t>f</w:t>
      </w:r>
      <w:r w:rsidRPr="001068F5">
        <w:t>onds heeft 115.000 huishoudens kunnen helpen</w:t>
      </w:r>
      <w:r w:rsidR="00D63988">
        <w:t xml:space="preserve"> met</w:t>
      </w:r>
      <w:r w:rsidRPr="00D63988" w:rsidR="00D63988">
        <w:t xml:space="preserve"> € 56,3 miljoen</w:t>
      </w:r>
      <w:r w:rsidR="00D63988">
        <w:t>.</w:t>
      </w:r>
      <w:r w:rsidRPr="001068F5">
        <w:t xml:space="preserve"> </w:t>
      </w:r>
      <w:bookmarkEnd w:id="1"/>
      <w:r w:rsidR="00D63988">
        <w:t xml:space="preserve">Uit </w:t>
      </w:r>
      <w:r w:rsidRPr="00D63988" w:rsidR="00D63988">
        <w:t xml:space="preserve">het beschikbare bedrag </w:t>
      </w:r>
      <w:r w:rsidR="00D63988">
        <w:t xml:space="preserve">dienen in deze theoretische situatie </w:t>
      </w:r>
      <w:r w:rsidRPr="00D63988" w:rsidR="00D63988">
        <w:t>ook de uitvoeringskosten worden betaald</w:t>
      </w:r>
      <w:r w:rsidR="00D63988">
        <w:t xml:space="preserve">. </w:t>
      </w:r>
      <w:r w:rsidRPr="00D63988" w:rsidR="00D63988">
        <w:t>Als de uitvoeringskosten gelijk blijven</w:t>
      </w:r>
      <w:r w:rsidR="005C08F3">
        <w:t>,</w:t>
      </w:r>
      <w:r w:rsidRPr="00D63988" w:rsidR="00D63988">
        <w:t xml:space="preserve"> betekent dit dat er van de € 50 miljoen zo’n € 39 miljoen beschikbaar is voor de daadwerkelijke financiële steun aan huishoudens.</w:t>
      </w:r>
      <w:r w:rsidR="00D63988">
        <w:t xml:space="preserve"> Daarmee wordt het bereik van de doelgroep fors lager dan afgelopen jaar en ziet het kabinet dit als zeer onwenselijk. </w:t>
      </w:r>
    </w:p>
    <w:p w:rsidR="00E742D1" w:rsidP="00D63988" w:rsidRDefault="00D63988" w14:paraId="48C2E081" w14:textId="77777777">
      <w:r>
        <w:t>Om een grotere doelgroep te bereiken</w:t>
      </w:r>
      <w:r w:rsidR="009C3323">
        <w:t xml:space="preserve"> </w:t>
      </w:r>
      <w:r w:rsidRPr="009C3323" w:rsidR="009C3323">
        <w:t xml:space="preserve">en </w:t>
      </w:r>
      <w:r w:rsidRPr="000F5E6F" w:rsidR="000F5E6F">
        <w:t>om het door uw Kamer beschikbaar gestelde budget niet te overschrijden</w:t>
      </w:r>
      <w:r>
        <w:t xml:space="preserve">, kan worden afgewogen om </w:t>
      </w:r>
      <w:r w:rsidRPr="001068F5" w:rsidR="006A783A">
        <w:t xml:space="preserve">het </w:t>
      </w:r>
      <w:r w:rsidRPr="001068F5" w:rsidR="00E742D1">
        <w:t>percentage van het sociaal minimum</w:t>
      </w:r>
      <w:r w:rsidRPr="001068F5" w:rsidR="006A783A">
        <w:t xml:space="preserve"> </w:t>
      </w:r>
      <w:r>
        <w:t>te verlagen</w:t>
      </w:r>
      <w:r w:rsidRPr="001068F5" w:rsidR="006A783A">
        <w:t xml:space="preserve"> en de </w:t>
      </w:r>
      <w:r w:rsidRPr="001068F5" w:rsidR="00E742D1">
        <w:t xml:space="preserve">energiequote </w:t>
      </w:r>
      <w:r>
        <w:t>te verhogen</w:t>
      </w:r>
      <w:r w:rsidRPr="001068F5" w:rsidR="002B1E07">
        <w:t xml:space="preserve"> ten opzichte van de voorwaarden bij eerdere fondsen</w:t>
      </w:r>
      <w:r w:rsidRPr="001068F5" w:rsidR="00E742D1">
        <w:t xml:space="preserve">. </w:t>
      </w:r>
      <w:r>
        <w:t>Om</w:t>
      </w:r>
      <w:r w:rsidRPr="001068F5" w:rsidR="00EB4AD1">
        <w:t xml:space="preserve"> de gehele doelgroep</w:t>
      </w:r>
      <w:r>
        <w:t xml:space="preserve">, zoals deze door CBS/TNO is berekend, </w:t>
      </w:r>
      <w:r w:rsidRPr="001068F5" w:rsidR="00EB4AD1">
        <w:t>te kunnen bedienen</w:t>
      </w:r>
      <w:r>
        <w:t xml:space="preserve"> komt de </w:t>
      </w:r>
      <w:r w:rsidRPr="001068F5" w:rsidR="00EB4AD1">
        <w:t>bijdrage dan n</w:t>
      </w:r>
      <w:r w:rsidRPr="001068F5" w:rsidR="00E742D1">
        <w:t xml:space="preserve">aar verwachting uit op een </w:t>
      </w:r>
      <w:r w:rsidRPr="001068F5" w:rsidR="00E742D1">
        <w:rPr>
          <w:i/>
          <w:iCs/>
        </w:rPr>
        <w:t>eenmalige</w:t>
      </w:r>
      <w:r w:rsidRPr="001068F5" w:rsidR="00E742D1">
        <w:t xml:space="preserve"> tegemoetkoming van € 70-90 euro per huishouden (gerekend met een vast bedrag in plaats van een variabel bedrag). </w:t>
      </w:r>
      <w:r w:rsidRPr="001068F5" w:rsidR="007A376A">
        <w:t>Het zou dan gaan om een aanzienlijk lager bedrag dan de gemiddelde uitkering uit het TNE</w:t>
      </w:r>
      <w:r w:rsidRPr="001068F5" w:rsidR="00F773DB">
        <w:t xml:space="preserve"> (gemiddeld € 460). Dit betekent dat de tegemoetkoming veel minder impact heeft op het kunnen betalen van de energierekening. </w:t>
      </w:r>
    </w:p>
    <w:p w:rsidRPr="001068F5" w:rsidR="00EB4AD1" w:rsidP="00EB4AD1" w:rsidRDefault="00D63988" w14:paraId="772BA0E8" w14:textId="77777777">
      <w:r>
        <w:t xml:space="preserve">Aangezien met het aanpassen van de voorwaarden de hierboven geschetste </w:t>
      </w:r>
      <w:r w:rsidR="005C08F3">
        <w:t xml:space="preserve">juridische en financiële </w:t>
      </w:r>
      <w:r>
        <w:t xml:space="preserve">risico’s nog steeds aan de orde </w:t>
      </w:r>
      <w:r w:rsidR="005C08F3">
        <w:t>zijn,</w:t>
      </w:r>
      <w:r>
        <w:t xml:space="preserve"> biedt dit geen oplossing. Wel is het mogelijk om het aanpassen van de voorwaarden mee te nemen bij de uitwerking van scenario 1.</w:t>
      </w:r>
    </w:p>
    <w:p w:rsidRPr="001068F5" w:rsidR="00092414" w:rsidP="000B3666" w:rsidRDefault="00092414" w14:paraId="5FC8E1A2" w14:textId="77777777"/>
    <w:p w:rsidR="0064697F" w:rsidP="00DE28DF" w:rsidRDefault="0064697F" w14:paraId="3884FFB5" w14:textId="77777777">
      <w:pPr>
        <w:pStyle w:val="WitregelW1bodytekst"/>
        <w:rPr>
          <w:b/>
          <w:bCs/>
        </w:rPr>
      </w:pPr>
    </w:p>
    <w:p w:rsidRPr="001068F5" w:rsidR="00D855A9" w:rsidP="00DE28DF" w:rsidRDefault="000B3666" w14:paraId="6152A642" w14:textId="77777777">
      <w:pPr>
        <w:pStyle w:val="WitregelW1bodytekst"/>
        <w:rPr>
          <w:b/>
          <w:bCs/>
        </w:rPr>
      </w:pPr>
      <w:r w:rsidRPr="001068F5">
        <w:rPr>
          <w:b/>
          <w:bCs/>
        </w:rPr>
        <w:lastRenderedPageBreak/>
        <w:t>Toelichting p</w:t>
      </w:r>
      <w:r w:rsidRPr="001068F5" w:rsidR="009D3443">
        <w:rPr>
          <w:b/>
          <w:bCs/>
        </w:rPr>
        <w:t xml:space="preserve">lanning publiek energiefonds </w:t>
      </w:r>
      <w:r w:rsidRPr="001068F5" w:rsidR="003A45B6">
        <w:rPr>
          <w:b/>
          <w:bCs/>
        </w:rPr>
        <w:t xml:space="preserve"> </w:t>
      </w:r>
    </w:p>
    <w:p w:rsidR="000B3666" w:rsidP="00DE28DF" w:rsidRDefault="004C712E" w14:paraId="3AC11435" w14:textId="77777777">
      <w:pPr>
        <w:pStyle w:val="WitregelW1bodytekst"/>
      </w:pPr>
      <w:r w:rsidRPr="001068F5">
        <w:t>Tot slot ga ik nog graag in op het verzoek van de motie om vaart te maken met het inrichten van het publieke energiefonds</w:t>
      </w:r>
      <w:r w:rsidRPr="001068F5" w:rsidR="00FE74A8">
        <w:t>.</w:t>
      </w:r>
      <w:r w:rsidRPr="001068F5">
        <w:t xml:space="preserve"> </w:t>
      </w:r>
      <w:r w:rsidRPr="001068F5" w:rsidR="007A376A">
        <w:t xml:space="preserve">Het kabinet deelt dat het van het grootste belang is om het publieke noodfonds zo snel mogelijk te realiseren, om zo de meest kwetsbare huishoudens te helpen. </w:t>
      </w:r>
      <w:r w:rsidRPr="00E35418" w:rsidR="00E35418">
        <w:t xml:space="preserve">Dit fonds is één van de voorstellen van het kabinet voor het Europese </w:t>
      </w:r>
      <w:r w:rsidR="00EA0298">
        <w:t>Sociaal Klimaatfonds.</w:t>
      </w:r>
    </w:p>
    <w:p w:rsidRPr="0064697F" w:rsidR="0064697F" w:rsidP="009022C8" w:rsidRDefault="0064697F" w14:paraId="1C31141E" w14:textId="77777777"/>
    <w:p w:rsidR="0064697F" w:rsidP="00DE28DF" w:rsidRDefault="00DE28DF" w14:paraId="21DD74BA" w14:textId="77777777">
      <w:pPr>
        <w:pStyle w:val="WitregelW1bodytekst"/>
      </w:pPr>
      <w:r w:rsidRPr="001068F5">
        <w:t>De eerste voorbereidingen zijn</w:t>
      </w:r>
      <w:r w:rsidRPr="001068F5" w:rsidR="00F33BA2">
        <w:t xml:space="preserve"> al</w:t>
      </w:r>
      <w:r w:rsidRPr="001068F5">
        <w:t xml:space="preserve"> in 202</w:t>
      </w:r>
      <w:r w:rsidRPr="001068F5" w:rsidR="00F33BA2">
        <w:t>3</w:t>
      </w:r>
      <w:r w:rsidRPr="001068F5">
        <w:t xml:space="preserve"> gestart</w:t>
      </w:r>
      <w:r w:rsidRPr="001068F5" w:rsidR="00F33BA2">
        <w:t>. H</w:t>
      </w:r>
      <w:r w:rsidRPr="001068F5">
        <w:t>et definitieve besluit over de verdeling van de Europese middelen uit het Sociaal Klimaatfonds kon pas in april 2025 worden genomen. Sinds dat moment zijn</w:t>
      </w:r>
      <w:r w:rsidRPr="001068F5" w:rsidR="001B0CA8">
        <w:t xml:space="preserve"> er direct</w:t>
      </w:r>
      <w:r w:rsidRPr="001068F5">
        <w:t xml:space="preserve"> vervolgstappen gezet, zoals het vinden van een publieke uitvoerder en het voorbereiden van </w:t>
      </w:r>
      <w:r w:rsidRPr="001068F5" w:rsidR="00900433">
        <w:t>de benodigde regelgeving</w:t>
      </w:r>
      <w:r w:rsidRPr="001068F5">
        <w:t xml:space="preserve">. </w:t>
      </w:r>
      <w:r w:rsidRPr="001068F5" w:rsidR="009065B3">
        <w:t>Aan e</w:t>
      </w:r>
      <w:r w:rsidRPr="001068F5" w:rsidR="002803AB">
        <w:t xml:space="preserve">en publieke inrichting van een fonds </w:t>
      </w:r>
      <w:r w:rsidRPr="001068F5" w:rsidR="009065B3">
        <w:t xml:space="preserve">worden </w:t>
      </w:r>
      <w:r w:rsidRPr="001068F5" w:rsidR="002803AB">
        <w:t xml:space="preserve">namelijk meer eisen </w:t>
      </w:r>
      <w:r w:rsidRPr="001068F5" w:rsidR="009065B3">
        <w:t xml:space="preserve">gesteld </w:t>
      </w:r>
      <w:r w:rsidRPr="001068F5" w:rsidR="002803AB">
        <w:t xml:space="preserve">dan </w:t>
      </w:r>
      <w:r w:rsidRPr="001068F5" w:rsidR="009065B3">
        <w:t xml:space="preserve">aan </w:t>
      </w:r>
      <w:r w:rsidRPr="001068F5" w:rsidR="002803AB">
        <w:t xml:space="preserve">een privaat-publieke constructie. </w:t>
      </w:r>
    </w:p>
    <w:p w:rsidRPr="001068F5" w:rsidR="00DE28DF" w:rsidP="00DE28DF" w:rsidRDefault="009065B3" w14:paraId="47D3D564" w14:textId="77777777">
      <w:pPr>
        <w:pStyle w:val="WitregelW1bodytekst"/>
      </w:pPr>
      <w:r w:rsidRPr="001068F5">
        <w:t>Om de</w:t>
      </w:r>
      <w:r w:rsidRPr="001068F5" w:rsidR="00900433">
        <w:t xml:space="preserve"> bevoegdheid om geld te verstrekken </w:t>
      </w:r>
      <w:r w:rsidRPr="001068F5">
        <w:t xml:space="preserve">te creëren om rechtmatig gegevens te kunnen delen ten behoeve van de uitvoering en de vermogensvrijlating te regelen, </w:t>
      </w:r>
      <w:r w:rsidRPr="001068F5" w:rsidR="007A376A">
        <w:t xml:space="preserve">zal </w:t>
      </w:r>
      <w:r w:rsidRPr="001068F5" w:rsidR="00DE28DF">
        <w:t>de Participatiewet</w:t>
      </w:r>
      <w:r w:rsidRPr="001068F5">
        <w:t xml:space="preserve"> moeten</w:t>
      </w:r>
      <w:r w:rsidRPr="001068F5" w:rsidR="00900433">
        <w:t xml:space="preserve"> worden gewijzigd</w:t>
      </w:r>
      <w:r w:rsidRPr="001068F5" w:rsidR="00DE28DF">
        <w:t xml:space="preserve">. </w:t>
      </w:r>
      <w:r w:rsidRPr="001068F5" w:rsidR="00900433">
        <w:t>Gegevensdeling</w:t>
      </w:r>
      <w:r w:rsidRPr="001068F5" w:rsidR="00DE28DF">
        <w:t xml:space="preserve"> is nodig om te kunnen controleren op inkomen en energieverbruik, zodat de meest kwetsbare huishoudens worden bereikt. Ook </w:t>
      </w:r>
      <w:r w:rsidRPr="001068F5" w:rsidR="007A376A">
        <w:t xml:space="preserve">zal </w:t>
      </w:r>
      <w:r w:rsidRPr="001068F5" w:rsidR="00DE28DF">
        <w:t xml:space="preserve">er een Europees aanbestedingstraject </w:t>
      </w:r>
      <w:r w:rsidRPr="001068F5">
        <w:t xml:space="preserve">moeten </w:t>
      </w:r>
      <w:r w:rsidRPr="001068F5" w:rsidR="00DE28DF">
        <w:t xml:space="preserve">worden doorlopen voor het klant- en contactcentrum en </w:t>
      </w:r>
      <w:r w:rsidRPr="001068F5">
        <w:t xml:space="preserve">moet </w:t>
      </w:r>
      <w:r w:rsidRPr="001068F5" w:rsidR="00DE28DF">
        <w:t xml:space="preserve">bij de beoogd uitvoerder ICT </w:t>
      </w:r>
      <w:r w:rsidRPr="001068F5">
        <w:t xml:space="preserve">worden </w:t>
      </w:r>
      <w:r w:rsidRPr="001068F5" w:rsidR="00DE28DF">
        <w:t xml:space="preserve">ontwikkeld, inclusief koppelingen met </w:t>
      </w:r>
      <w:proofErr w:type="spellStart"/>
      <w:r w:rsidRPr="001068F5" w:rsidR="00DE28DF">
        <w:t>DigiD</w:t>
      </w:r>
      <w:proofErr w:type="spellEnd"/>
      <w:r w:rsidRPr="001068F5" w:rsidR="00DE28DF">
        <w:t xml:space="preserve"> en gegevensuitwisseling.</w:t>
      </w:r>
    </w:p>
    <w:p w:rsidRPr="001068F5" w:rsidR="009F2D09" w:rsidP="007A376A" w:rsidRDefault="009F2D09" w14:paraId="24AE44A8" w14:textId="77777777">
      <w:pPr>
        <w:pStyle w:val="WitregelW1bodytekst"/>
      </w:pPr>
    </w:p>
    <w:p w:rsidRPr="001068F5" w:rsidR="00DE28DF" w:rsidP="007A376A" w:rsidRDefault="009065B3" w14:paraId="4C8CA704" w14:textId="77777777">
      <w:pPr>
        <w:pStyle w:val="WitregelW1bodytekst"/>
      </w:pPr>
      <w:r w:rsidRPr="001068F5">
        <w:t xml:space="preserve">Het </w:t>
      </w:r>
      <w:r w:rsidRPr="001068F5" w:rsidR="009F2D09">
        <w:t xml:space="preserve">kabinet </w:t>
      </w:r>
      <w:r w:rsidRPr="001068F5">
        <w:t xml:space="preserve">geeft </w:t>
      </w:r>
      <w:r w:rsidRPr="001068F5" w:rsidR="009F2D09">
        <w:t>dit project de hoogste prioriteit</w:t>
      </w:r>
      <w:r w:rsidRPr="001068F5">
        <w:t>. Het is daarbij wel essentieel dat</w:t>
      </w:r>
      <w:r w:rsidRPr="001068F5" w:rsidR="009F2D09">
        <w:t xml:space="preserve"> </w:t>
      </w:r>
      <w:r w:rsidR="009C3323">
        <w:t xml:space="preserve">wordt </w:t>
      </w:r>
      <w:r w:rsidRPr="001068F5" w:rsidR="007A376A">
        <w:t>voorkomen dat dit tot juridische risico’s of fouten die later voor vertraging zorgen leidt. D</w:t>
      </w:r>
      <w:r w:rsidRPr="001068F5" w:rsidR="00DC0BEF">
        <w:t>it in acht nemende</w:t>
      </w:r>
      <w:r w:rsidRPr="001068F5" w:rsidR="007A376A">
        <w:t xml:space="preserve"> zet het kabinet alles op alles om </w:t>
      </w:r>
      <w:r w:rsidRPr="001068F5" w:rsidR="00DE28DF">
        <w:t xml:space="preserve">het publieke energiefonds in de winter van 2026/2027 operationeel </w:t>
      </w:r>
      <w:r w:rsidRPr="001068F5" w:rsidR="007A376A">
        <w:t xml:space="preserve">te laten </w:t>
      </w:r>
      <w:r w:rsidRPr="001068F5" w:rsidR="00DE28DF">
        <w:t>zijn.</w:t>
      </w:r>
      <w:r w:rsidRPr="001068F5" w:rsidR="00F33BA2">
        <w:t xml:space="preserve"> </w:t>
      </w:r>
    </w:p>
    <w:p w:rsidRPr="001068F5" w:rsidR="00B036FC" w:rsidP="00B036FC" w:rsidRDefault="00B036FC" w14:paraId="4AF010F4" w14:textId="77777777"/>
    <w:p w:rsidR="00EA0298" w:rsidP="002F1FD8" w:rsidRDefault="00B036FC" w14:paraId="76C74BEF" w14:textId="77777777">
      <w:r w:rsidRPr="001068F5">
        <w:t>Het realiseren van directe steun voor de meest kwetsbare huishoudens voor dit jaar is van groot belang, maar raakt wel aan de planning en omvang van het publieke noodfonds. D</w:t>
      </w:r>
      <w:r w:rsidRPr="001068F5" w:rsidR="00E40C53">
        <w:t xml:space="preserve">e </w:t>
      </w:r>
      <w:r w:rsidRPr="001068F5">
        <w:t xml:space="preserve">per amendement vrijgemaakte </w:t>
      </w:r>
      <w:r w:rsidRPr="001068F5" w:rsidR="00E40C53">
        <w:t>€ 50 miljoen</w:t>
      </w:r>
      <w:r w:rsidRPr="001068F5">
        <w:t xml:space="preserve"> zou </w:t>
      </w:r>
      <w:r w:rsidR="00EA0298">
        <w:t xml:space="preserve">namelijk </w:t>
      </w:r>
      <w:r w:rsidRPr="001068F5">
        <w:t xml:space="preserve">kunnen dienen als aanvullende </w:t>
      </w:r>
      <w:proofErr w:type="spellStart"/>
      <w:r w:rsidRPr="001068F5">
        <w:t>co-financier</w:t>
      </w:r>
      <w:r w:rsidRPr="001068F5" w:rsidR="00B624F5">
        <w:t>i</w:t>
      </w:r>
      <w:r w:rsidRPr="001068F5">
        <w:t>ng</w:t>
      </w:r>
      <w:proofErr w:type="spellEnd"/>
      <w:r w:rsidR="00EA0298">
        <w:t xml:space="preserve"> voor het Sociaal Klimaatfonds</w:t>
      </w:r>
      <w:r w:rsidRPr="001068F5" w:rsidR="00B624F5">
        <w:t xml:space="preserve">. Indien </w:t>
      </w:r>
      <w:r w:rsidR="00E35418">
        <w:t>er wordt ingezet op één van de twee bovenstaande scenario’s</w:t>
      </w:r>
      <w:r w:rsidRPr="001068F5">
        <w:t>, kan</w:t>
      </w:r>
      <w:r w:rsidRPr="001068F5" w:rsidR="009065B3">
        <w:t xml:space="preserve"> het bedrag</w:t>
      </w:r>
      <w:r w:rsidRPr="001068F5">
        <w:t xml:space="preserve"> niet meer voor het publieke noodfonds </w:t>
      </w:r>
      <w:r w:rsidRPr="001068F5" w:rsidR="00E40C53">
        <w:t>worden ingezet</w:t>
      </w:r>
      <w:r w:rsidRPr="001068F5">
        <w:t xml:space="preserve">, waarmee er geen </w:t>
      </w:r>
      <w:r w:rsidRPr="001068F5" w:rsidR="00E40C53">
        <w:t xml:space="preserve">aanvullende middelen uit het </w:t>
      </w:r>
      <w:r w:rsidR="009022C8">
        <w:t>Sociaal Klimaatfonds</w:t>
      </w:r>
      <w:r w:rsidRPr="001068F5" w:rsidR="00E40C53">
        <w:t xml:space="preserve"> </w:t>
      </w:r>
      <w:r w:rsidRPr="001068F5">
        <w:t>verkregen kunnen worden</w:t>
      </w:r>
      <w:r w:rsidRPr="001068F5" w:rsidR="00E40C53">
        <w:t xml:space="preserve">. </w:t>
      </w:r>
    </w:p>
    <w:p w:rsidRPr="001068F5" w:rsidR="00EA0298" w:rsidP="002F1FD8" w:rsidRDefault="00EA0298" w14:paraId="56B91439" w14:textId="77777777">
      <w:r w:rsidRPr="00EA0298">
        <w:t xml:space="preserve">De motie van de leden Timmermans </w:t>
      </w:r>
      <w:proofErr w:type="spellStart"/>
      <w:r w:rsidRPr="00EA0298">
        <w:t>cs</w:t>
      </w:r>
      <w:proofErr w:type="spellEnd"/>
      <w:r w:rsidRPr="00EA0298">
        <w:t>. vraagt ook om vaart te maken met het opzetten van een publiek energiefonds.</w:t>
      </w:r>
      <w:r>
        <w:t xml:space="preserve"> Bij het inzetten op één van de twee bovenstaande scenario’s </w:t>
      </w:r>
      <w:r w:rsidRPr="001068F5" w:rsidR="00B036FC">
        <w:t xml:space="preserve">ontstaat een </w:t>
      </w:r>
      <w:r w:rsidRPr="001068F5" w:rsidR="00B624F5">
        <w:t xml:space="preserve">groot </w:t>
      </w:r>
      <w:r w:rsidRPr="001068F5" w:rsidR="00B036FC">
        <w:t>risico op vertraging in de geplande openingsdatum van het publieke noodfonds</w:t>
      </w:r>
      <w:r>
        <w:t xml:space="preserve"> (winter 2026/2027), omdat dit </w:t>
      </w:r>
      <w:r w:rsidRPr="00EA0298">
        <w:t xml:space="preserve">veel ambtelijke inzet vraagt. </w:t>
      </w:r>
    </w:p>
    <w:p w:rsidRPr="001068F5" w:rsidR="00E40C53" w:rsidP="00E40C53" w:rsidRDefault="00E40C53" w14:paraId="1549A70D" w14:textId="77777777">
      <w:pPr>
        <w:pStyle w:val="WitregelW1bodytekst"/>
      </w:pPr>
    </w:p>
    <w:p w:rsidR="0064697F" w:rsidRDefault="0064697F" w14:paraId="459A571E" w14:textId="77777777">
      <w:pPr>
        <w:spacing w:line="240" w:lineRule="auto"/>
        <w:rPr>
          <w:b/>
          <w:bCs/>
        </w:rPr>
      </w:pPr>
      <w:r>
        <w:rPr>
          <w:b/>
          <w:bCs/>
        </w:rPr>
        <w:br w:type="page"/>
      </w:r>
    </w:p>
    <w:p w:rsidRPr="001068F5" w:rsidR="00B036FC" w:rsidP="00E40C53" w:rsidRDefault="00B036FC" w14:paraId="4D0CF8FB" w14:textId="77777777">
      <w:r w:rsidRPr="001068F5">
        <w:rPr>
          <w:b/>
          <w:bCs/>
        </w:rPr>
        <w:lastRenderedPageBreak/>
        <w:t>Vervolg</w:t>
      </w:r>
    </w:p>
    <w:p w:rsidRPr="00372984" w:rsidR="00372984" w:rsidP="00372984" w:rsidRDefault="00B036FC" w14:paraId="05B8A248" w14:textId="77777777">
      <w:r w:rsidRPr="001068F5">
        <w:t>Het kabinet deelt de urgentie van uw Kamer om de huishoudens</w:t>
      </w:r>
      <w:r w:rsidRPr="001068F5" w:rsidR="00643A7B">
        <w:t xml:space="preserve"> in de meest financieel kwetsbare situatie</w:t>
      </w:r>
      <w:r w:rsidRPr="001068F5">
        <w:t xml:space="preserve"> </w:t>
      </w:r>
      <w:r w:rsidRPr="001068F5" w:rsidR="002803AB">
        <w:t xml:space="preserve">te ondersteunen bij het betalen van hun energierekening. </w:t>
      </w:r>
      <w:r w:rsidRPr="001068F5" w:rsidR="00643A7B">
        <w:t xml:space="preserve">Dit kan onder andere via de </w:t>
      </w:r>
      <w:r w:rsidR="00403BA0">
        <w:t xml:space="preserve">twee </w:t>
      </w:r>
      <w:r w:rsidRPr="001068F5" w:rsidR="00643A7B">
        <w:t>hierboven bovenstaande scenario</w:t>
      </w:r>
      <w:r w:rsidR="00E35418">
        <w:t>’</w:t>
      </w:r>
      <w:r w:rsidRPr="001068F5" w:rsidR="00643A7B">
        <w:t>s</w:t>
      </w:r>
      <w:r w:rsidR="00E35418">
        <w:t xml:space="preserve"> of via </w:t>
      </w:r>
      <w:r w:rsidRPr="00E35418" w:rsidR="00E35418">
        <w:t>de eerder geschetste mogelijkheid in de kamerbrief van 27 juni</w:t>
      </w:r>
      <w:r w:rsidRPr="00E35418" w:rsidR="00E35418">
        <w:rPr>
          <w:vertAlign w:val="superscript"/>
        </w:rPr>
        <w:footnoteReference w:id="5"/>
      </w:r>
      <w:r w:rsidR="00E35418">
        <w:t xml:space="preserve">. </w:t>
      </w:r>
      <w:r w:rsidRPr="00372984" w:rsidR="00372984">
        <w:t xml:space="preserve">Om de financieel meest kwetsbare huishoudens op korte termijn te ondersteunen, ziet het kabinet het eerste scenario nu als de eerst te nemen stap. </w:t>
      </w:r>
      <w:r w:rsidRPr="00450309" w:rsidR="00372984">
        <w:t xml:space="preserve">Conform het verzoek van de motie </w:t>
      </w:r>
      <w:r w:rsidR="00AE17CE">
        <w:t>is</w:t>
      </w:r>
      <w:r w:rsidR="00864326">
        <w:t xml:space="preserve"> </w:t>
      </w:r>
      <w:r w:rsidR="00AE17CE">
        <w:t>contact geweest</w:t>
      </w:r>
      <w:r w:rsidRPr="00450309" w:rsidR="00372984">
        <w:t xml:space="preserve"> met </w:t>
      </w:r>
      <w:r w:rsidR="00864326">
        <w:t xml:space="preserve">enkele </w:t>
      </w:r>
      <w:r w:rsidRPr="00450309" w:rsidR="00372984">
        <w:t xml:space="preserve">relevante partijen, </w:t>
      </w:r>
      <w:r w:rsidR="00AE17CE">
        <w:t xml:space="preserve">waaronder </w:t>
      </w:r>
      <w:r w:rsidR="007A5F1B">
        <w:t xml:space="preserve">VNG, </w:t>
      </w:r>
      <w:r w:rsidR="00AE17CE">
        <w:t xml:space="preserve">TNE en </w:t>
      </w:r>
      <w:r w:rsidR="00864326">
        <w:t>een aantal energieleveranciers</w:t>
      </w:r>
      <w:r w:rsidR="00AE17CE">
        <w:t xml:space="preserve">. </w:t>
      </w:r>
      <w:r w:rsidR="007A5F1B">
        <w:t>In verdere gesprekken</w:t>
      </w:r>
      <w:r w:rsidR="00AE17CE">
        <w:t xml:space="preserve"> </w:t>
      </w:r>
      <w:r w:rsidR="007A5F1B">
        <w:t xml:space="preserve">met de energiesector </w:t>
      </w:r>
      <w:r w:rsidR="00864326">
        <w:t xml:space="preserve">zal de nadruk liggen </w:t>
      </w:r>
      <w:r w:rsidR="00AE17CE">
        <w:t xml:space="preserve">op de mogelijkheden om de benodigde bijdrage te leveren aan een </w:t>
      </w:r>
      <w:r w:rsidRPr="00AE17CE" w:rsidR="00AE17CE">
        <w:t>Tijdelijk Noodfonds Energie</w:t>
      </w:r>
      <w:r w:rsidR="00AE17CE">
        <w:t xml:space="preserve">. </w:t>
      </w:r>
      <w:r w:rsidRPr="00372984" w:rsidR="00372984">
        <w:t xml:space="preserve">Ik zal uw Kamer op de hoogte </w:t>
      </w:r>
      <w:r w:rsidRPr="00AE17CE" w:rsidR="00450309">
        <w:t>brengen zodra er een uitkomst is</w:t>
      </w:r>
      <w:r w:rsidRPr="00AE17CE" w:rsidR="00372984">
        <w:t>.</w:t>
      </w:r>
      <w:r w:rsidRPr="00372984" w:rsidR="00372984">
        <w:t xml:space="preserve">  </w:t>
      </w:r>
    </w:p>
    <w:p w:rsidR="00083E54" w:rsidP="002803AB" w:rsidRDefault="00083E54" w14:paraId="1736699E" w14:textId="77777777"/>
    <w:p w:rsidR="004C712E" w:rsidP="00DE28DF" w:rsidRDefault="004C712E" w14:paraId="1D7E947D" w14:textId="77777777">
      <w:r>
        <w:t xml:space="preserve">Ik hoop u met deze brief voor nu voldoende geïnformeerd te hebben. </w:t>
      </w:r>
    </w:p>
    <w:p w:rsidRPr="00DE28DF" w:rsidR="00DE28DF" w:rsidP="00DE28DF" w:rsidRDefault="00DE28DF" w14:paraId="1C133AD5" w14:textId="77777777"/>
    <w:p w:rsidR="005516B4" w:rsidRDefault="004C712E" w14:paraId="28C4B26E" w14:textId="77777777">
      <w:r>
        <w:t>De Staatssecretaris Participatie                                                                           en Integratie,</w:t>
      </w:r>
    </w:p>
    <w:p w:rsidR="005516B4" w:rsidRDefault="005516B4" w14:paraId="1CFDF084" w14:textId="77777777"/>
    <w:p w:rsidR="005516B4" w:rsidRDefault="005516B4" w14:paraId="5500C787" w14:textId="77777777"/>
    <w:p w:rsidR="005516B4" w:rsidRDefault="005516B4" w14:paraId="19F35C23" w14:textId="77777777"/>
    <w:p w:rsidR="005516B4" w:rsidRDefault="005516B4" w14:paraId="2822793E" w14:textId="77777777"/>
    <w:p w:rsidR="005516B4" w:rsidRDefault="005516B4" w14:paraId="4D9200C9" w14:textId="77777777"/>
    <w:p w:rsidR="005516B4" w:rsidRDefault="004C712E" w14:paraId="753500DF" w14:textId="77777777">
      <w:r>
        <w:t>J.N.J. Nobel</w:t>
      </w:r>
    </w:p>
    <w:sectPr w:rsidR="005516B4">
      <w:headerReference w:type="default" r:id="rId9"/>
      <w:headerReference w:type="first" r:id="rId10"/>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1186" w14:textId="77777777" w:rsidR="00994F19" w:rsidRDefault="00994F19">
      <w:pPr>
        <w:spacing w:line="240" w:lineRule="auto"/>
      </w:pPr>
      <w:r>
        <w:separator/>
      </w:r>
    </w:p>
  </w:endnote>
  <w:endnote w:type="continuationSeparator" w:id="0">
    <w:p w14:paraId="06F36035" w14:textId="77777777" w:rsidR="00994F19" w:rsidRDefault="00994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AEA3" w14:textId="77777777" w:rsidR="00994F19" w:rsidRDefault="00994F19">
      <w:pPr>
        <w:spacing w:line="240" w:lineRule="auto"/>
      </w:pPr>
      <w:r>
        <w:separator/>
      </w:r>
    </w:p>
  </w:footnote>
  <w:footnote w:type="continuationSeparator" w:id="0">
    <w:p w14:paraId="12D15B01" w14:textId="77777777" w:rsidR="00994F19" w:rsidRDefault="00994F19">
      <w:pPr>
        <w:spacing w:line="240" w:lineRule="auto"/>
      </w:pPr>
      <w:r>
        <w:continuationSeparator/>
      </w:r>
    </w:p>
  </w:footnote>
  <w:footnote w:id="1">
    <w:p w14:paraId="0B5DED46" w14:textId="77777777" w:rsidR="00DE28DF" w:rsidRPr="00500160" w:rsidRDefault="00DE28DF" w:rsidP="00DE28DF">
      <w:pPr>
        <w:pStyle w:val="Voetnoottekst"/>
        <w:rPr>
          <w:sz w:val="16"/>
          <w:szCs w:val="16"/>
        </w:rPr>
      </w:pPr>
      <w:r>
        <w:rPr>
          <w:rStyle w:val="Voetnootmarkering"/>
        </w:rPr>
        <w:footnoteRef/>
      </w:r>
      <w:r w:rsidR="00900433">
        <w:rPr>
          <w:sz w:val="16"/>
          <w:szCs w:val="16"/>
        </w:rPr>
        <w:t xml:space="preserve"> Kamerstukken II </w:t>
      </w:r>
      <w:r w:rsidRPr="00F77B34">
        <w:rPr>
          <w:sz w:val="16"/>
          <w:szCs w:val="16"/>
        </w:rPr>
        <w:t>2025</w:t>
      </w:r>
      <w:r w:rsidR="00900433">
        <w:rPr>
          <w:sz w:val="16"/>
          <w:szCs w:val="16"/>
        </w:rPr>
        <w:t>/</w:t>
      </w:r>
      <w:r w:rsidRPr="00F77B34">
        <w:rPr>
          <w:sz w:val="16"/>
          <w:szCs w:val="16"/>
        </w:rPr>
        <w:t xml:space="preserve">26, </w:t>
      </w:r>
      <w:r w:rsidRPr="00500160">
        <w:rPr>
          <w:sz w:val="16"/>
          <w:szCs w:val="16"/>
        </w:rPr>
        <w:t xml:space="preserve">36 800, </w:t>
      </w:r>
      <w:r w:rsidR="00900433">
        <w:rPr>
          <w:sz w:val="16"/>
          <w:szCs w:val="16"/>
        </w:rPr>
        <w:t>n</w:t>
      </w:r>
      <w:r w:rsidRPr="00500160">
        <w:rPr>
          <w:sz w:val="16"/>
          <w:szCs w:val="16"/>
        </w:rPr>
        <w:t>r. 20</w:t>
      </w:r>
      <w:r w:rsidR="00900433">
        <w:rPr>
          <w:sz w:val="16"/>
          <w:szCs w:val="16"/>
        </w:rPr>
        <w:t>.</w:t>
      </w:r>
    </w:p>
  </w:footnote>
  <w:footnote w:id="2">
    <w:p w14:paraId="2D64518D" w14:textId="77777777" w:rsidR="00E40C53" w:rsidRPr="00E32C44" w:rsidRDefault="00E40C53" w:rsidP="00E40C53">
      <w:pPr>
        <w:pStyle w:val="Voetnoottekst"/>
      </w:pPr>
      <w:r>
        <w:rPr>
          <w:rStyle w:val="Voetnootmarkering"/>
        </w:rPr>
        <w:footnoteRef/>
      </w:r>
      <w:r>
        <w:t xml:space="preserve"> </w:t>
      </w:r>
      <w:bookmarkStart w:id="0" w:name="_Hlk210074073"/>
      <w:r w:rsidRPr="00A55E92">
        <w:rPr>
          <w:sz w:val="16"/>
          <w:szCs w:val="16"/>
        </w:rPr>
        <w:t>Kamer</w:t>
      </w:r>
      <w:r w:rsidR="009065B3">
        <w:rPr>
          <w:sz w:val="16"/>
          <w:szCs w:val="16"/>
        </w:rPr>
        <w:t>stukken II</w:t>
      </w:r>
      <w:r w:rsidRPr="00A55E92">
        <w:rPr>
          <w:sz w:val="16"/>
          <w:szCs w:val="16"/>
        </w:rPr>
        <w:t xml:space="preserve"> </w:t>
      </w:r>
      <w:r w:rsidR="009065B3">
        <w:rPr>
          <w:sz w:val="16"/>
          <w:szCs w:val="16"/>
        </w:rPr>
        <w:t xml:space="preserve">2024/2025, </w:t>
      </w:r>
      <w:r w:rsidRPr="002B6B84">
        <w:rPr>
          <w:sz w:val="16"/>
          <w:szCs w:val="16"/>
        </w:rPr>
        <w:t>24515</w:t>
      </w:r>
      <w:r w:rsidR="009065B3">
        <w:rPr>
          <w:sz w:val="16"/>
          <w:szCs w:val="16"/>
        </w:rPr>
        <w:t xml:space="preserve">, nr. </w:t>
      </w:r>
      <w:r w:rsidRPr="002B6B84">
        <w:rPr>
          <w:sz w:val="16"/>
          <w:szCs w:val="16"/>
        </w:rPr>
        <w:t>813</w:t>
      </w:r>
      <w:r w:rsidRPr="002B6B84" w:rsidDel="002B6B84">
        <w:rPr>
          <w:sz w:val="16"/>
          <w:szCs w:val="16"/>
        </w:rPr>
        <w:t xml:space="preserve"> </w:t>
      </w:r>
      <w:bookmarkEnd w:id="0"/>
    </w:p>
  </w:footnote>
  <w:footnote w:id="3">
    <w:p w14:paraId="7C994DC2" w14:textId="77777777" w:rsidR="00EE36E0" w:rsidRDefault="00EE36E0">
      <w:pPr>
        <w:pStyle w:val="Voetnoottekst"/>
      </w:pPr>
      <w:r>
        <w:rPr>
          <w:rStyle w:val="Voetnootmarkering"/>
        </w:rPr>
        <w:footnoteRef/>
      </w:r>
      <w:r>
        <w:t xml:space="preserve"> </w:t>
      </w:r>
      <w:r w:rsidRPr="00D42E2A">
        <w:rPr>
          <w:sz w:val="16"/>
          <w:szCs w:val="16"/>
        </w:rPr>
        <w:t>Kamerstukken 29023-562</w:t>
      </w:r>
      <w:r>
        <w:rPr>
          <w:sz w:val="16"/>
          <w:szCs w:val="16"/>
        </w:rPr>
        <w:t xml:space="preserve">, </w:t>
      </w:r>
      <w:proofErr w:type="spellStart"/>
      <w:r>
        <w:rPr>
          <w:sz w:val="16"/>
          <w:szCs w:val="16"/>
        </w:rPr>
        <w:t>nr</w:t>
      </w:r>
      <w:proofErr w:type="spellEnd"/>
      <w:r>
        <w:rPr>
          <w:sz w:val="16"/>
          <w:szCs w:val="16"/>
        </w:rPr>
        <w:t xml:space="preserve"> 562</w:t>
      </w:r>
    </w:p>
  </w:footnote>
  <w:footnote w:id="4">
    <w:p w14:paraId="20490CE1" w14:textId="77777777" w:rsidR="00D42E2A" w:rsidRDefault="00D42E2A">
      <w:pPr>
        <w:pStyle w:val="Voetnoottekst"/>
      </w:pPr>
      <w:r>
        <w:rPr>
          <w:rStyle w:val="Voetnootmarkering"/>
        </w:rPr>
        <w:footnoteRef/>
      </w:r>
      <w:r>
        <w:t xml:space="preserve"> </w:t>
      </w:r>
      <w:r w:rsidRPr="00D42E2A">
        <w:rPr>
          <w:sz w:val="16"/>
          <w:szCs w:val="16"/>
        </w:rPr>
        <w:t>De uitvoeringskosten bedroegen in 2025 € 10,7 miljoen</w:t>
      </w:r>
    </w:p>
  </w:footnote>
  <w:footnote w:id="5">
    <w:p w14:paraId="2D7FE1E4" w14:textId="77777777" w:rsidR="00E35418" w:rsidRDefault="00E35418" w:rsidP="00E35418">
      <w:pPr>
        <w:pStyle w:val="Voetnoottekst"/>
      </w:pPr>
      <w:r>
        <w:rPr>
          <w:rStyle w:val="Voetnootmarkering"/>
        </w:rPr>
        <w:footnoteRef/>
      </w:r>
      <w:r>
        <w:t xml:space="preserve"> </w:t>
      </w:r>
      <w:r w:rsidRPr="00A55E92">
        <w:rPr>
          <w:sz w:val="16"/>
          <w:szCs w:val="16"/>
        </w:rPr>
        <w:t>Kamer</w:t>
      </w:r>
      <w:r>
        <w:rPr>
          <w:sz w:val="16"/>
          <w:szCs w:val="16"/>
        </w:rPr>
        <w:t>stukken II</w:t>
      </w:r>
      <w:r w:rsidRPr="00A55E92">
        <w:rPr>
          <w:sz w:val="16"/>
          <w:szCs w:val="16"/>
        </w:rPr>
        <w:t xml:space="preserve"> </w:t>
      </w:r>
      <w:r>
        <w:rPr>
          <w:sz w:val="16"/>
          <w:szCs w:val="16"/>
        </w:rPr>
        <w:t xml:space="preserve">2024/2025, </w:t>
      </w:r>
      <w:r w:rsidRPr="002B6B84">
        <w:rPr>
          <w:sz w:val="16"/>
          <w:szCs w:val="16"/>
        </w:rPr>
        <w:t>24515</w:t>
      </w:r>
      <w:r>
        <w:rPr>
          <w:sz w:val="16"/>
          <w:szCs w:val="16"/>
        </w:rPr>
        <w:t xml:space="preserve">, nr. </w:t>
      </w:r>
      <w:r w:rsidRPr="002B6B84">
        <w:rPr>
          <w:sz w:val="16"/>
          <w:szCs w:val="16"/>
        </w:rPr>
        <w:t>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710B" w14:textId="77777777" w:rsidR="005516B4" w:rsidRDefault="004C712E">
    <w:r>
      <w:rPr>
        <w:noProof/>
      </w:rPr>
      <mc:AlternateContent>
        <mc:Choice Requires="wps">
          <w:drawing>
            <wp:anchor distT="0" distB="0" distL="0" distR="0" simplePos="0" relativeHeight="251654144" behindDoc="0" locked="1" layoutInCell="1" allowOverlap="1" wp14:anchorId="7499C428" wp14:editId="4A0723F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42FD321" w14:textId="77777777" w:rsidR="005516B4" w:rsidRDefault="004C712E">
                          <w:pPr>
                            <w:pStyle w:val="Afzendgegevenskopjes"/>
                          </w:pPr>
                          <w:r>
                            <w:t>Directoraat-Generaal Sociale Zekerheid en Integratie</w:t>
                          </w:r>
                        </w:p>
                        <w:p w14:paraId="69C39FDB" w14:textId="77777777" w:rsidR="005516B4" w:rsidRDefault="005516B4">
                          <w:pPr>
                            <w:pStyle w:val="WitregelW2"/>
                          </w:pPr>
                        </w:p>
                        <w:p w14:paraId="10D892F7" w14:textId="77777777" w:rsidR="005516B4" w:rsidRDefault="004C712E">
                          <w:pPr>
                            <w:pStyle w:val="Referentiegegevenskopjes"/>
                          </w:pPr>
                          <w:r>
                            <w:t>Datum</w:t>
                          </w:r>
                        </w:p>
                        <w:p w14:paraId="6FCDBC54" w14:textId="5AE26D0E" w:rsidR="008A230C" w:rsidRDefault="00A140B9">
                          <w:pPr>
                            <w:pStyle w:val="Referentiegegevens"/>
                          </w:pPr>
                          <w:r>
                            <w:fldChar w:fldCharType="begin"/>
                          </w:r>
                          <w:r>
                            <w:instrText xml:space="preserve"> DOCPROPERTY  "iDatum"  \* MERGEFORMAT </w:instrText>
                          </w:r>
                          <w:r>
                            <w:fldChar w:fldCharType="end"/>
                          </w:r>
                          <w:r>
                            <w:t>30 september 2025</w:t>
                          </w:r>
                        </w:p>
                        <w:p w14:paraId="6B98639A" w14:textId="77777777" w:rsidR="005516B4" w:rsidRDefault="005516B4">
                          <w:pPr>
                            <w:pStyle w:val="WitregelW1"/>
                          </w:pPr>
                        </w:p>
                        <w:p w14:paraId="5031F68B" w14:textId="77777777" w:rsidR="005516B4" w:rsidRDefault="004C712E">
                          <w:pPr>
                            <w:pStyle w:val="Referentiegegevenskopjes"/>
                          </w:pPr>
                          <w:r>
                            <w:t>Onze referentie</w:t>
                          </w:r>
                        </w:p>
                        <w:p w14:paraId="27CC060B" w14:textId="00B9958D" w:rsidR="00F47EF6" w:rsidRDefault="007F75E1">
                          <w:pPr>
                            <w:pStyle w:val="ReferentiegegevensHL"/>
                          </w:pPr>
                          <w:fldSimple w:instr=" DOCPROPERTY  &quot;iOnsKenmerk&quot;  \* MERGEFORMAT ">
                            <w:r w:rsidR="00A140B9">
                              <w:t>2025-0000230165</w:t>
                            </w:r>
                          </w:fldSimple>
                        </w:p>
                      </w:txbxContent>
                    </wps:txbx>
                    <wps:bodyPr vert="horz" wrap="square" lIns="0" tIns="0" rIns="0" bIns="0" anchor="t" anchorCtr="0"/>
                  </wps:wsp>
                </a:graphicData>
              </a:graphic>
            </wp:anchor>
          </w:drawing>
        </mc:Choice>
        <mc:Fallback>
          <w:pict>
            <v:shapetype w14:anchorId="7499C42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42FD321" w14:textId="77777777" w:rsidR="005516B4" w:rsidRDefault="004C712E">
                    <w:pPr>
                      <w:pStyle w:val="Afzendgegevenskopjes"/>
                    </w:pPr>
                    <w:r>
                      <w:t>Directoraat-Generaal Sociale Zekerheid en Integratie</w:t>
                    </w:r>
                  </w:p>
                  <w:p w14:paraId="69C39FDB" w14:textId="77777777" w:rsidR="005516B4" w:rsidRDefault="005516B4">
                    <w:pPr>
                      <w:pStyle w:val="WitregelW2"/>
                    </w:pPr>
                  </w:p>
                  <w:p w14:paraId="10D892F7" w14:textId="77777777" w:rsidR="005516B4" w:rsidRDefault="004C712E">
                    <w:pPr>
                      <w:pStyle w:val="Referentiegegevenskopjes"/>
                    </w:pPr>
                    <w:r>
                      <w:t>Datum</w:t>
                    </w:r>
                  </w:p>
                  <w:p w14:paraId="6FCDBC54" w14:textId="5AE26D0E" w:rsidR="008A230C" w:rsidRDefault="00A140B9">
                    <w:pPr>
                      <w:pStyle w:val="Referentiegegevens"/>
                    </w:pPr>
                    <w:r>
                      <w:fldChar w:fldCharType="begin"/>
                    </w:r>
                    <w:r>
                      <w:instrText xml:space="preserve"> DOCPROPERTY  "iDatum"  \* MERGEFORMAT </w:instrText>
                    </w:r>
                    <w:r>
                      <w:fldChar w:fldCharType="end"/>
                    </w:r>
                    <w:r>
                      <w:t>30 september 2025</w:t>
                    </w:r>
                  </w:p>
                  <w:p w14:paraId="6B98639A" w14:textId="77777777" w:rsidR="005516B4" w:rsidRDefault="005516B4">
                    <w:pPr>
                      <w:pStyle w:val="WitregelW1"/>
                    </w:pPr>
                  </w:p>
                  <w:p w14:paraId="5031F68B" w14:textId="77777777" w:rsidR="005516B4" w:rsidRDefault="004C712E">
                    <w:pPr>
                      <w:pStyle w:val="Referentiegegevenskopjes"/>
                    </w:pPr>
                    <w:r>
                      <w:t>Onze referentie</w:t>
                    </w:r>
                  </w:p>
                  <w:p w14:paraId="27CC060B" w14:textId="00B9958D" w:rsidR="00F47EF6" w:rsidRDefault="007F75E1">
                    <w:pPr>
                      <w:pStyle w:val="ReferentiegegevensHL"/>
                    </w:pPr>
                    <w:fldSimple w:instr=" DOCPROPERTY  &quot;iOnsKenmerk&quot;  \* MERGEFORMAT ">
                      <w:r w:rsidR="00A140B9">
                        <w:t>2025-0000230165</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EFBE199" wp14:editId="700A71C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7D35C2F" w14:textId="77777777" w:rsidR="008A230C" w:rsidRDefault="00A140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FBE19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7D35C2F" w14:textId="77777777" w:rsidR="008A230C" w:rsidRDefault="00A140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FEC6" w14:textId="77777777" w:rsidR="005516B4" w:rsidRDefault="004C712E">
    <w:pPr>
      <w:spacing w:after="7029" w:line="14" w:lineRule="exact"/>
    </w:pPr>
    <w:r>
      <w:rPr>
        <w:noProof/>
      </w:rPr>
      <mc:AlternateContent>
        <mc:Choice Requires="wps">
          <w:drawing>
            <wp:anchor distT="0" distB="0" distL="0" distR="0" simplePos="0" relativeHeight="251656192" behindDoc="0" locked="1" layoutInCell="1" allowOverlap="1" wp14:anchorId="5BBB351B" wp14:editId="37F142F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DA4FEA" w14:textId="77777777" w:rsidR="005516B4" w:rsidRDefault="004C712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5516B4" w:rsidRDefault="004C712E" w14:paraId="42CE0C3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A30F18" wp14:editId="3386CDE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6A50FAB" w14:textId="77777777" w:rsidR="005516B4" w:rsidRDefault="004C712E">
                          <w:pPr>
                            <w:pStyle w:val="Afzendgegevenskopjes"/>
                          </w:pPr>
                          <w:r>
                            <w:t>Directoraat-Generaal Sociale Zekerheid en Integratie</w:t>
                          </w:r>
                        </w:p>
                        <w:p w14:paraId="6556FCEB" w14:textId="77777777" w:rsidR="005516B4" w:rsidRDefault="005516B4">
                          <w:pPr>
                            <w:pStyle w:val="WitregelW1"/>
                          </w:pPr>
                        </w:p>
                        <w:p w14:paraId="5531AF7E" w14:textId="77777777" w:rsidR="005516B4" w:rsidRPr="00DE28DF" w:rsidRDefault="004C712E">
                          <w:pPr>
                            <w:pStyle w:val="Afzendgegevens"/>
                            <w:rPr>
                              <w:lang w:val="de-DE"/>
                            </w:rPr>
                          </w:pPr>
                          <w:r w:rsidRPr="00DE28DF">
                            <w:rPr>
                              <w:lang w:val="de-DE"/>
                            </w:rPr>
                            <w:t>Postbus 90801</w:t>
                          </w:r>
                        </w:p>
                        <w:p w14:paraId="6E2652BB" w14:textId="77777777" w:rsidR="005516B4" w:rsidRPr="00DE28DF" w:rsidRDefault="004C712E">
                          <w:pPr>
                            <w:pStyle w:val="Afzendgegevens"/>
                            <w:rPr>
                              <w:lang w:val="de-DE"/>
                            </w:rPr>
                          </w:pPr>
                          <w:r w:rsidRPr="00DE28DF">
                            <w:rPr>
                              <w:lang w:val="de-DE"/>
                            </w:rPr>
                            <w:t>2509 LV  Den Haag</w:t>
                          </w:r>
                        </w:p>
                        <w:p w14:paraId="4F40C798" w14:textId="77777777" w:rsidR="005516B4" w:rsidRPr="00DE28DF" w:rsidRDefault="004C712E">
                          <w:pPr>
                            <w:pStyle w:val="Afzendgegevens"/>
                            <w:rPr>
                              <w:lang w:val="de-DE"/>
                            </w:rPr>
                          </w:pPr>
                          <w:r w:rsidRPr="00DE28DF">
                            <w:rPr>
                              <w:lang w:val="de-DE"/>
                            </w:rPr>
                            <w:t>T   070 333 44 44</w:t>
                          </w:r>
                        </w:p>
                        <w:p w14:paraId="0335EF35" w14:textId="77777777" w:rsidR="005516B4" w:rsidRPr="00DE28DF" w:rsidRDefault="005516B4">
                          <w:pPr>
                            <w:pStyle w:val="WitregelW2"/>
                            <w:rPr>
                              <w:lang w:val="de-DE"/>
                            </w:rPr>
                          </w:pPr>
                        </w:p>
                        <w:p w14:paraId="472687B0" w14:textId="77777777" w:rsidR="005516B4" w:rsidRDefault="004C712E">
                          <w:pPr>
                            <w:pStyle w:val="Referentiegegevenskopjes"/>
                          </w:pPr>
                          <w:r>
                            <w:t>Onze referentie</w:t>
                          </w:r>
                        </w:p>
                        <w:p w14:paraId="2C305710" w14:textId="39843E04" w:rsidR="00F47EF6" w:rsidRDefault="007F75E1">
                          <w:pPr>
                            <w:pStyle w:val="ReferentiegegevensHL"/>
                          </w:pPr>
                          <w:fldSimple w:instr=" DOCPROPERTY  &quot;iOnsKenmerk&quot;  \* MERGEFORMAT ">
                            <w:r w:rsidR="00A140B9">
                              <w:t>2025-0000230165</w:t>
                            </w:r>
                          </w:fldSimple>
                        </w:p>
                        <w:p w14:paraId="5588CF69" w14:textId="77777777" w:rsidR="005516B4" w:rsidRDefault="005516B4">
                          <w:pPr>
                            <w:pStyle w:val="WitregelW1"/>
                          </w:pPr>
                        </w:p>
                        <w:p w14:paraId="28D1FA05" w14:textId="214BE570" w:rsidR="008A230C" w:rsidRDefault="00A140B9">
                          <w:pPr>
                            <w:pStyle w:val="Referentiegegevens"/>
                          </w:pPr>
                          <w:r>
                            <w:fldChar w:fldCharType="begin"/>
                          </w:r>
                          <w:r>
                            <w:instrText xml:space="preserve"> DOCPROPERTY  "iCC"  \* MERGEFORMAT </w:instrText>
                          </w:r>
                          <w:r>
                            <w:fldChar w:fldCharType="end"/>
                          </w:r>
                        </w:p>
                        <w:p w14:paraId="500C7965" w14:textId="77777777" w:rsidR="005516B4" w:rsidRDefault="005516B4">
                          <w:pPr>
                            <w:pStyle w:val="WitregelW1"/>
                          </w:pPr>
                        </w:p>
                        <w:p w14:paraId="1A7160DE" w14:textId="77ADC630" w:rsidR="008A230C" w:rsidRDefault="00A140B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3DA30F18"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6A50FAB" w14:textId="77777777" w:rsidR="005516B4" w:rsidRDefault="004C712E">
                    <w:pPr>
                      <w:pStyle w:val="Afzendgegevenskopjes"/>
                    </w:pPr>
                    <w:r>
                      <w:t>Directoraat-Generaal Sociale Zekerheid en Integratie</w:t>
                    </w:r>
                  </w:p>
                  <w:p w14:paraId="6556FCEB" w14:textId="77777777" w:rsidR="005516B4" w:rsidRDefault="005516B4">
                    <w:pPr>
                      <w:pStyle w:val="WitregelW1"/>
                    </w:pPr>
                  </w:p>
                  <w:p w14:paraId="5531AF7E" w14:textId="77777777" w:rsidR="005516B4" w:rsidRPr="00DE28DF" w:rsidRDefault="004C712E">
                    <w:pPr>
                      <w:pStyle w:val="Afzendgegevens"/>
                      <w:rPr>
                        <w:lang w:val="de-DE"/>
                      </w:rPr>
                    </w:pPr>
                    <w:r w:rsidRPr="00DE28DF">
                      <w:rPr>
                        <w:lang w:val="de-DE"/>
                      </w:rPr>
                      <w:t>Postbus 90801</w:t>
                    </w:r>
                  </w:p>
                  <w:p w14:paraId="6E2652BB" w14:textId="77777777" w:rsidR="005516B4" w:rsidRPr="00DE28DF" w:rsidRDefault="004C712E">
                    <w:pPr>
                      <w:pStyle w:val="Afzendgegevens"/>
                      <w:rPr>
                        <w:lang w:val="de-DE"/>
                      </w:rPr>
                    </w:pPr>
                    <w:r w:rsidRPr="00DE28DF">
                      <w:rPr>
                        <w:lang w:val="de-DE"/>
                      </w:rPr>
                      <w:t>2509 LV  Den Haag</w:t>
                    </w:r>
                  </w:p>
                  <w:p w14:paraId="4F40C798" w14:textId="77777777" w:rsidR="005516B4" w:rsidRPr="00DE28DF" w:rsidRDefault="004C712E">
                    <w:pPr>
                      <w:pStyle w:val="Afzendgegevens"/>
                      <w:rPr>
                        <w:lang w:val="de-DE"/>
                      </w:rPr>
                    </w:pPr>
                    <w:r w:rsidRPr="00DE28DF">
                      <w:rPr>
                        <w:lang w:val="de-DE"/>
                      </w:rPr>
                      <w:t>T   070 333 44 44</w:t>
                    </w:r>
                  </w:p>
                  <w:p w14:paraId="0335EF35" w14:textId="77777777" w:rsidR="005516B4" w:rsidRPr="00DE28DF" w:rsidRDefault="005516B4">
                    <w:pPr>
                      <w:pStyle w:val="WitregelW2"/>
                      <w:rPr>
                        <w:lang w:val="de-DE"/>
                      </w:rPr>
                    </w:pPr>
                  </w:p>
                  <w:p w14:paraId="472687B0" w14:textId="77777777" w:rsidR="005516B4" w:rsidRDefault="004C712E">
                    <w:pPr>
                      <w:pStyle w:val="Referentiegegevenskopjes"/>
                    </w:pPr>
                    <w:r>
                      <w:t>Onze referentie</w:t>
                    </w:r>
                  </w:p>
                  <w:p w14:paraId="2C305710" w14:textId="39843E04" w:rsidR="00F47EF6" w:rsidRDefault="007F75E1">
                    <w:pPr>
                      <w:pStyle w:val="ReferentiegegevensHL"/>
                    </w:pPr>
                    <w:fldSimple w:instr=" DOCPROPERTY  &quot;iOnsKenmerk&quot;  \* MERGEFORMAT ">
                      <w:r w:rsidR="00A140B9">
                        <w:t>2025-0000230165</w:t>
                      </w:r>
                    </w:fldSimple>
                  </w:p>
                  <w:p w14:paraId="5588CF69" w14:textId="77777777" w:rsidR="005516B4" w:rsidRDefault="005516B4">
                    <w:pPr>
                      <w:pStyle w:val="WitregelW1"/>
                    </w:pPr>
                  </w:p>
                  <w:p w14:paraId="28D1FA05" w14:textId="214BE570" w:rsidR="008A230C" w:rsidRDefault="00A140B9">
                    <w:pPr>
                      <w:pStyle w:val="Referentiegegevens"/>
                    </w:pPr>
                    <w:r>
                      <w:fldChar w:fldCharType="begin"/>
                    </w:r>
                    <w:r>
                      <w:instrText xml:space="preserve"> DOCPROPERTY  "iCC"  \* MERGEFORMAT </w:instrText>
                    </w:r>
                    <w:r>
                      <w:fldChar w:fldCharType="end"/>
                    </w:r>
                  </w:p>
                  <w:p w14:paraId="500C7965" w14:textId="77777777" w:rsidR="005516B4" w:rsidRDefault="005516B4">
                    <w:pPr>
                      <w:pStyle w:val="WitregelW1"/>
                    </w:pPr>
                  </w:p>
                  <w:p w14:paraId="1A7160DE" w14:textId="77ADC630" w:rsidR="008A230C" w:rsidRDefault="00A140B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95197D" wp14:editId="53FFA7B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47E3B8A" w14:textId="77777777" w:rsidR="005516B4" w:rsidRDefault="004C712E">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5516B4" w:rsidRDefault="004C712E" w14:paraId="42CE0C46"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D16F52" wp14:editId="2AA868D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7980AE1" w14:textId="77777777" w:rsidR="005516B4" w:rsidRDefault="004C712E">
                          <w:r>
                            <w:t>De voorzitter van de Tweede Kamer der Staten-Generaal</w:t>
                          </w:r>
                        </w:p>
                        <w:p w14:paraId="5EE63693" w14:textId="77777777" w:rsidR="005516B4" w:rsidRDefault="004C712E">
                          <w:r>
                            <w:t>Prinses Irenestraat 6</w:t>
                          </w:r>
                        </w:p>
                        <w:p w14:paraId="40C88144" w14:textId="77777777" w:rsidR="005516B4" w:rsidRDefault="004C712E">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5516B4" w:rsidRDefault="004C712E" w14:paraId="42CE0C47" w14:textId="77777777">
                    <w:r>
                      <w:t>De voorzitter van de Tweede Kamer der Staten-Generaal</w:t>
                    </w:r>
                  </w:p>
                  <w:p w:rsidR="005516B4" w:rsidRDefault="004C712E" w14:paraId="42CE0C48" w14:textId="77777777">
                    <w:r>
                      <w:t>Prinses Irenestraat 6</w:t>
                    </w:r>
                  </w:p>
                  <w:p w:rsidR="005516B4" w:rsidRDefault="004C712E" w14:paraId="42CE0C49"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9CAE7F5" wp14:editId="18317268">
              <wp:simplePos x="0" y="0"/>
              <wp:positionH relativeFrom="page">
                <wp:posOffset>1009650</wp:posOffset>
              </wp:positionH>
              <wp:positionV relativeFrom="page">
                <wp:posOffset>3638550</wp:posOffset>
              </wp:positionV>
              <wp:extent cx="4562475" cy="102870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562475" cy="10287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516B4" w14:paraId="38ECD95B" w14:textId="77777777">
                            <w:trPr>
                              <w:trHeight w:val="200"/>
                            </w:trPr>
                            <w:tc>
                              <w:tcPr>
                                <w:tcW w:w="1134" w:type="dxa"/>
                              </w:tcPr>
                              <w:p w14:paraId="7FE06599" w14:textId="77777777" w:rsidR="005516B4" w:rsidRDefault="005516B4"/>
                            </w:tc>
                            <w:tc>
                              <w:tcPr>
                                <w:tcW w:w="5244" w:type="dxa"/>
                              </w:tcPr>
                              <w:p w14:paraId="5EA69D49" w14:textId="77777777" w:rsidR="005516B4" w:rsidRDefault="005516B4"/>
                            </w:tc>
                          </w:tr>
                          <w:tr w:rsidR="005516B4" w14:paraId="049A4CB2" w14:textId="77777777">
                            <w:trPr>
                              <w:trHeight w:val="240"/>
                            </w:trPr>
                            <w:tc>
                              <w:tcPr>
                                <w:tcW w:w="1134" w:type="dxa"/>
                              </w:tcPr>
                              <w:p w14:paraId="715B37BF" w14:textId="77777777" w:rsidR="005516B4" w:rsidRDefault="004C712E">
                                <w:r>
                                  <w:t>Datum</w:t>
                                </w:r>
                              </w:p>
                            </w:tc>
                            <w:tc>
                              <w:tcPr>
                                <w:tcW w:w="5244" w:type="dxa"/>
                              </w:tcPr>
                              <w:p w14:paraId="08A59544" w14:textId="60990ABC" w:rsidR="008A230C" w:rsidRDefault="00A140B9">
                                <w:r>
                                  <w:t xml:space="preserve">30 </w:t>
                                </w:r>
                                <w:r>
                                  <w:t>september 2025</w:t>
                                </w:r>
                                <w:r>
                                  <w:fldChar w:fldCharType="begin"/>
                                </w:r>
                                <w:r>
                                  <w:instrText xml:space="preserve"> DOCPROPERTY  "iDatum"  \* MERGEFORMAT </w:instrText>
                                </w:r>
                                <w:r>
                                  <w:fldChar w:fldCharType="end"/>
                                </w:r>
                              </w:p>
                            </w:tc>
                          </w:tr>
                          <w:tr w:rsidR="005516B4" w14:paraId="001DC92D" w14:textId="77777777">
                            <w:trPr>
                              <w:trHeight w:val="240"/>
                            </w:trPr>
                            <w:tc>
                              <w:tcPr>
                                <w:tcW w:w="1134" w:type="dxa"/>
                              </w:tcPr>
                              <w:p w14:paraId="2E7D0E33" w14:textId="77777777" w:rsidR="005516B4" w:rsidRDefault="004C712E">
                                <w:r>
                                  <w:t>Betreft</w:t>
                                </w:r>
                              </w:p>
                            </w:tc>
                            <w:tc>
                              <w:tcPr>
                                <w:tcW w:w="5244" w:type="dxa"/>
                              </w:tcPr>
                              <w:p w14:paraId="0E968396" w14:textId="77777777" w:rsidR="00DE28DF" w:rsidRPr="00DE28DF" w:rsidRDefault="00DE28DF" w:rsidP="00DE28DF">
                                <w:r w:rsidRPr="00DE28DF">
                                  <w:t xml:space="preserve">Motie van de leden Timmermans c.s. over het snel inrichten van een publiek energiefonds en het ondersteunen van huishoudens die hun </w:t>
                                </w:r>
                                <w:r>
                                  <w:t>e</w:t>
                                </w:r>
                                <w:r w:rsidRPr="00DE28DF">
                                  <w:t>nergierekening niet kunnen betalen</w:t>
                                </w:r>
                              </w:p>
                              <w:p w14:paraId="3F42C8CA" w14:textId="77777777" w:rsidR="005516B4" w:rsidRDefault="005516B4"/>
                            </w:tc>
                          </w:tr>
                          <w:tr w:rsidR="005516B4" w14:paraId="5021DB5A" w14:textId="77777777">
                            <w:trPr>
                              <w:trHeight w:val="200"/>
                            </w:trPr>
                            <w:tc>
                              <w:tcPr>
                                <w:tcW w:w="1134" w:type="dxa"/>
                              </w:tcPr>
                              <w:p w14:paraId="11BB6405" w14:textId="77777777" w:rsidR="005516B4" w:rsidRDefault="005516B4"/>
                            </w:tc>
                            <w:tc>
                              <w:tcPr>
                                <w:tcW w:w="5244" w:type="dxa"/>
                              </w:tcPr>
                              <w:p w14:paraId="5CF8CEC9" w14:textId="77777777" w:rsidR="005516B4" w:rsidRDefault="005516B4"/>
                            </w:tc>
                          </w:tr>
                        </w:tbl>
                        <w:p w14:paraId="3DE8F20C" w14:textId="77777777" w:rsidR="004C712E" w:rsidRDefault="004C712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AE7F5" id="bd55b0e2-03a6-11ee-8f29-0242ac130005" o:spid="_x0000_s1032" type="#_x0000_t202" style="position:absolute;margin-left:79.5pt;margin-top:286.5pt;width:359.25pt;height:8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34"/>
                      <w:gridCol w:w="5244"/>
                    </w:tblGrid>
                    <w:tr w:rsidR="005516B4" w14:paraId="38ECD95B" w14:textId="77777777">
                      <w:trPr>
                        <w:trHeight w:val="200"/>
                      </w:trPr>
                      <w:tc>
                        <w:tcPr>
                          <w:tcW w:w="1134" w:type="dxa"/>
                        </w:tcPr>
                        <w:p w14:paraId="7FE06599" w14:textId="77777777" w:rsidR="005516B4" w:rsidRDefault="005516B4"/>
                      </w:tc>
                      <w:tc>
                        <w:tcPr>
                          <w:tcW w:w="5244" w:type="dxa"/>
                        </w:tcPr>
                        <w:p w14:paraId="5EA69D49" w14:textId="77777777" w:rsidR="005516B4" w:rsidRDefault="005516B4"/>
                      </w:tc>
                    </w:tr>
                    <w:tr w:rsidR="005516B4" w14:paraId="049A4CB2" w14:textId="77777777">
                      <w:trPr>
                        <w:trHeight w:val="240"/>
                      </w:trPr>
                      <w:tc>
                        <w:tcPr>
                          <w:tcW w:w="1134" w:type="dxa"/>
                        </w:tcPr>
                        <w:p w14:paraId="715B37BF" w14:textId="77777777" w:rsidR="005516B4" w:rsidRDefault="004C712E">
                          <w:r>
                            <w:t>Datum</w:t>
                          </w:r>
                        </w:p>
                      </w:tc>
                      <w:tc>
                        <w:tcPr>
                          <w:tcW w:w="5244" w:type="dxa"/>
                        </w:tcPr>
                        <w:p w14:paraId="08A59544" w14:textId="60990ABC" w:rsidR="008A230C" w:rsidRDefault="00A140B9">
                          <w:r>
                            <w:t xml:space="preserve">30 </w:t>
                          </w:r>
                          <w:r>
                            <w:t>september 2025</w:t>
                          </w:r>
                          <w:r>
                            <w:fldChar w:fldCharType="begin"/>
                          </w:r>
                          <w:r>
                            <w:instrText xml:space="preserve"> DOCPROPERTY  "iDatum"  \* MERGEFORMAT </w:instrText>
                          </w:r>
                          <w:r>
                            <w:fldChar w:fldCharType="end"/>
                          </w:r>
                        </w:p>
                      </w:tc>
                    </w:tr>
                    <w:tr w:rsidR="005516B4" w14:paraId="001DC92D" w14:textId="77777777">
                      <w:trPr>
                        <w:trHeight w:val="240"/>
                      </w:trPr>
                      <w:tc>
                        <w:tcPr>
                          <w:tcW w:w="1134" w:type="dxa"/>
                        </w:tcPr>
                        <w:p w14:paraId="2E7D0E33" w14:textId="77777777" w:rsidR="005516B4" w:rsidRDefault="004C712E">
                          <w:r>
                            <w:t>Betreft</w:t>
                          </w:r>
                        </w:p>
                      </w:tc>
                      <w:tc>
                        <w:tcPr>
                          <w:tcW w:w="5244" w:type="dxa"/>
                        </w:tcPr>
                        <w:p w14:paraId="0E968396" w14:textId="77777777" w:rsidR="00DE28DF" w:rsidRPr="00DE28DF" w:rsidRDefault="00DE28DF" w:rsidP="00DE28DF">
                          <w:r w:rsidRPr="00DE28DF">
                            <w:t xml:space="preserve">Motie van de leden Timmermans c.s. over het snel inrichten van een publiek energiefonds en het ondersteunen van huishoudens die hun </w:t>
                          </w:r>
                          <w:r>
                            <w:t>e</w:t>
                          </w:r>
                          <w:r w:rsidRPr="00DE28DF">
                            <w:t>nergierekening niet kunnen betalen</w:t>
                          </w:r>
                        </w:p>
                        <w:p w14:paraId="3F42C8CA" w14:textId="77777777" w:rsidR="005516B4" w:rsidRDefault="005516B4"/>
                      </w:tc>
                    </w:tr>
                    <w:tr w:rsidR="005516B4" w14:paraId="5021DB5A" w14:textId="77777777">
                      <w:trPr>
                        <w:trHeight w:val="200"/>
                      </w:trPr>
                      <w:tc>
                        <w:tcPr>
                          <w:tcW w:w="1134" w:type="dxa"/>
                        </w:tcPr>
                        <w:p w14:paraId="11BB6405" w14:textId="77777777" w:rsidR="005516B4" w:rsidRDefault="005516B4"/>
                      </w:tc>
                      <w:tc>
                        <w:tcPr>
                          <w:tcW w:w="5244" w:type="dxa"/>
                        </w:tcPr>
                        <w:p w14:paraId="5CF8CEC9" w14:textId="77777777" w:rsidR="005516B4" w:rsidRDefault="005516B4"/>
                      </w:tc>
                    </w:tr>
                  </w:tbl>
                  <w:p w14:paraId="3DE8F20C" w14:textId="77777777" w:rsidR="004C712E" w:rsidRDefault="004C712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BFEAF70" wp14:editId="349D233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36D9DB" w14:textId="77777777" w:rsidR="008A230C" w:rsidRDefault="00A140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FEAF7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536D9DB" w14:textId="77777777" w:rsidR="008A230C" w:rsidRDefault="00A140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471AB2"/>
    <w:multiLevelType w:val="multilevel"/>
    <w:tmpl w:val="25E98E0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FAB119"/>
    <w:multiLevelType w:val="multilevel"/>
    <w:tmpl w:val="6AA581A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6FE1E6E"/>
    <w:multiLevelType w:val="multilevel"/>
    <w:tmpl w:val="492BE3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1B0D61C"/>
    <w:multiLevelType w:val="multilevel"/>
    <w:tmpl w:val="51F6EE7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CC952C6"/>
    <w:multiLevelType w:val="multilevel"/>
    <w:tmpl w:val="0D2FFF1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923807"/>
    <w:multiLevelType w:val="multilevel"/>
    <w:tmpl w:val="E6FF4D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0942973"/>
    <w:multiLevelType w:val="multilevel"/>
    <w:tmpl w:val="FE855E9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B0E198"/>
    <w:multiLevelType w:val="multilevel"/>
    <w:tmpl w:val="254320D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385019">
    <w:abstractNumId w:val="7"/>
  </w:num>
  <w:num w:numId="2" w16cid:durableId="548762273">
    <w:abstractNumId w:val="0"/>
  </w:num>
  <w:num w:numId="3" w16cid:durableId="1707213090">
    <w:abstractNumId w:val="5"/>
  </w:num>
  <w:num w:numId="4" w16cid:durableId="232737472">
    <w:abstractNumId w:val="2"/>
  </w:num>
  <w:num w:numId="5" w16cid:durableId="2080714287">
    <w:abstractNumId w:val="6"/>
  </w:num>
  <w:num w:numId="6" w16cid:durableId="2025398346">
    <w:abstractNumId w:val="1"/>
  </w:num>
  <w:num w:numId="7" w16cid:durableId="1839810200">
    <w:abstractNumId w:val="3"/>
  </w:num>
  <w:num w:numId="8" w16cid:durableId="1011906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B4"/>
    <w:rsid w:val="00015679"/>
    <w:rsid w:val="0006118E"/>
    <w:rsid w:val="00062CED"/>
    <w:rsid w:val="00081F39"/>
    <w:rsid w:val="00083D1A"/>
    <w:rsid w:val="00083E54"/>
    <w:rsid w:val="00092414"/>
    <w:rsid w:val="00093D14"/>
    <w:rsid w:val="000B3666"/>
    <w:rsid w:val="000D5B13"/>
    <w:rsid w:val="000D60E5"/>
    <w:rsid w:val="000E17EE"/>
    <w:rsid w:val="000E239B"/>
    <w:rsid w:val="000E7227"/>
    <w:rsid w:val="000F3E6F"/>
    <w:rsid w:val="000F59C9"/>
    <w:rsid w:val="000F5E6F"/>
    <w:rsid w:val="000F7B95"/>
    <w:rsid w:val="00105FC8"/>
    <w:rsid w:val="001068F5"/>
    <w:rsid w:val="00112315"/>
    <w:rsid w:val="00115F46"/>
    <w:rsid w:val="001317D7"/>
    <w:rsid w:val="00143CA4"/>
    <w:rsid w:val="001714F4"/>
    <w:rsid w:val="00175959"/>
    <w:rsid w:val="00195FC0"/>
    <w:rsid w:val="001A4BF5"/>
    <w:rsid w:val="001B0CA8"/>
    <w:rsid w:val="001C17A5"/>
    <w:rsid w:val="001D611C"/>
    <w:rsid w:val="001E7EB9"/>
    <w:rsid w:val="00220D09"/>
    <w:rsid w:val="00225232"/>
    <w:rsid w:val="00227C35"/>
    <w:rsid w:val="002336F1"/>
    <w:rsid w:val="0026741D"/>
    <w:rsid w:val="00270454"/>
    <w:rsid w:val="002803AB"/>
    <w:rsid w:val="002B04DD"/>
    <w:rsid w:val="002B1E07"/>
    <w:rsid w:val="002B6368"/>
    <w:rsid w:val="002B6B84"/>
    <w:rsid w:val="002C6063"/>
    <w:rsid w:val="002C6ACC"/>
    <w:rsid w:val="002F1FD8"/>
    <w:rsid w:val="00320A85"/>
    <w:rsid w:val="00333583"/>
    <w:rsid w:val="0036331B"/>
    <w:rsid w:val="00372984"/>
    <w:rsid w:val="003973FE"/>
    <w:rsid w:val="003A45B6"/>
    <w:rsid w:val="003D5B8F"/>
    <w:rsid w:val="003D5ED9"/>
    <w:rsid w:val="003E3CF8"/>
    <w:rsid w:val="00403BA0"/>
    <w:rsid w:val="00450309"/>
    <w:rsid w:val="004644C4"/>
    <w:rsid w:val="00467876"/>
    <w:rsid w:val="004922FD"/>
    <w:rsid w:val="00496565"/>
    <w:rsid w:val="004C712E"/>
    <w:rsid w:val="004F12F8"/>
    <w:rsid w:val="005223B1"/>
    <w:rsid w:val="00542BE9"/>
    <w:rsid w:val="005516B4"/>
    <w:rsid w:val="005739C0"/>
    <w:rsid w:val="005A0255"/>
    <w:rsid w:val="005B1CD4"/>
    <w:rsid w:val="005C08F3"/>
    <w:rsid w:val="005C62C7"/>
    <w:rsid w:val="005E11DF"/>
    <w:rsid w:val="005E15D9"/>
    <w:rsid w:val="006012C7"/>
    <w:rsid w:val="006049E0"/>
    <w:rsid w:val="00630566"/>
    <w:rsid w:val="00643A7B"/>
    <w:rsid w:val="006447E1"/>
    <w:rsid w:val="0064697F"/>
    <w:rsid w:val="00647411"/>
    <w:rsid w:val="00651EF3"/>
    <w:rsid w:val="00662BC3"/>
    <w:rsid w:val="00664BE6"/>
    <w:rsid w:val="0068697F"/>
    <w:rsid w:val="00690F50"/>
    <w:rsid w:val="006A3113"/>
    <w:rsid w:val="006A783A"/>
    <w:rsid w:val="006C03EF"/>
    <w:rsid w:val="006E2435"/>
    <w:rsid w:val="00716557"/>
    <w:rsid w:val="007211F6"/>
    <w:rsid w:val="00730B40"/>
    <w:rsid w:val="00760EFD"/>
    <w:rsid w:val="00761D27"/>
    <w:rsid w:val="00786FDC"/>
    <w:rsid w:val="007951E6"/>
    <w:rsid w:val="007A376A"/>
    <w:rsid w:val="007A5F1B"/>
    <w:rsid w:val="007F75E1"/>
    <w:rsid w:val="00800C84"/>
    <w:rsid w:val="0081029C"/>
    <w:rsid w:val="0081728E"/>
    <w:rsid w:val="00831902"/>
    <w:rsid w:val="00864326"/>
    <w:rsid w:val="008670F7"/>
    <w:rsid w:val="00892EF4"/>
    <w:rsid w:val="00897DEE"/>
    <w:rsid w:val="008A230C"/>
    <w:rsid w:val="008B1CD6"/>
    <w:rsid w:val="008B41E9"/>
    <w:rsid w:val="008C72A1"/>
    <w:rsid w:val="008E0744"/>
    <w:rsid w:val="008F1D8C"/>
    <w:rsid w:val="008F4B1D"/>
    <w:rsid w:val="00900433"/>
    <w:rsid w:val="009022C8"/>
    <w:rsid w:val="00903691"/>
    <w:rsid w:val="009065B3"/>
    <w:rsid w:val="009451D3"/>
    <w:rsid w:val="00956F3E"/>
    <w:rsid w:val="00967E9D"/>
    <w:rsid w:val="00975E3A"/>
    <w:rsid w:val="00991065"/>
    <w:rsid w:val="00994F19"/>
    <w:rsid w:val="009B0B00"/>
    <w:rsid w:val="009C3323"/>
    <w:rsid w:val="009D125D"/>
    <w:rsid w:val="009D3443"/>
    <w:rsid w:val="009D3866"/>
    <w:rsid w:val="009E1FF3"/>
    <w:rsid w:val="009F2D09"/>
    <w:rsid w:val="00A1165E"/>
    <w:rsid w:val="00A140B9"/>
    <w:rsid w:val="00A206C5"/>
    <w:rsid w:val="00A231A2"/>
    <w:rsid w:val="00A51D1E"/>
    <w:rsid w:val="00A66465"/>
    <w:rsid w:val="00A70CE6"/>
    <w:rsid w:val="00AE17CE"/>
    <w:rsid w:val="00AE42F9"/>
    <w:rsid w:val="00AF3055"/>
    <w:rsid w:val="00B028A4"/>
    <w:rsid w:val="00B036FC"/>
    <w:rsid w:val="00B23868"/>
    <w:rsid w:val="00B33FE9"/>
    <w:rsid w:val="00B624F5"/>
    <w:rsid w:val="00B632EE"/>
    <w:rsid w:val="00B63A57"/>
    <w:rsid w:val="00B7039F"/>
    <w:rsid w:val="00B811FD"/>
    <w:rsid w:val="00B9796F"/>
    <w:rsid w:val="00BF3A47"/>
    <w:rsid w:val="00C00318"/>
    <w:rsid w:val="00C26086"/>
    <w:rsid w:val="00C3004F"/>
    <w:rsid w:val="00C87033"/>
    <w:rsid w:val="00CA6438"/>
    <w:rsid w:val="00CD0BEB"/>
    <w:rsid w:val="00CE64A6"/>
    <w:rsid w:val="00CF1B5B"/>
    <w:rsid w:val="00D0594A"/>
    <w:rsid w:val="00D34B25"/>
    <w:rsid w:val="00D42E2A"/>
    <w:rsid w:val="00D52C36"/>
    <w:rsid w:val="00D63988"/>
    <w:rsid w:val="00D8068D"/>
    <w:rsid w:val="00D855A9"/>
    <w:rsid w:val="00DC0BEF"/>
    <w:rsid w:val="00DD0A69"/>
    <w:rsid w:val="00DE28DF"/>
    <w:rsid w:val="00DF4005"/>
    <w:rsid w:val="00DF77E5"/>
    <w:rsid w:val="00E12022"/>
    <w:rsid w:val="00E35418"/>
    <w:rsid w:val="00E40C53"/>
    <w:rsid w:val="00E44F30"/>
    <w:rsid w:val="00E4617C"/>
    <w:rsid w:val="00E66653"/>
    <w:rsid w:val="00E742D1"/>
    <w:rsid w:val="00E86B70"/>
    <w:rsid w:val="00EA0298"/>
    <w:rsid w:val="00EA5278"/>
    <w:rsid w:val="00EB4AD1"/>
    <w:rsid w:val="00EC56B6"/>
    <w:rsid w:val="00ED17DA"/>
    <w:rsid w:val="00EE36E0"/>
    <w:rsid w:val="00F13D29"/>
    <w:rsid w:val="00F15D91"/>
    <w:rsid w:val="00F33BA2"/>
    <w:rsid w:val="00F47EF6"/>
    <w:rsid w:val="00F71375"/>
    <w:rsid w:val="00F714FB"/>
    <w:rsid w:val="00F773DB"/>
    <w:rsid w:val="00F94712"/>
    <w:rsid w:val="00F979B4"/>
    <w:rsid w:val="00FB472A"/>
    <w:rsid w:val="00FC4BCA"/>
    <w:rsid w:val="00FC4D07"/>
    <w:rsid w:val="00FC5DAB"/>
    <w:rsid w:val="00FE7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48F1F"/>
  <w15:docId w15:val="{82DFFC84-3A4E-40A1-8913-7EC70023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E28D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28DF"/>
    <w:rPr>
      <w:rFonts w:ascii="Verdana" w:hAnsi="Verdana"/>
      <w:color w:val="000000"/>
    </w:rPr>
  </w:style>
  <w:style w:type="character" w:styleId="Voetnootmarkering">
    <w:name w:val="footnote reference"/>
    <w:basedOn w:val="Standaardalinea-lettertype"/>
    <w:uiPriority w:val="99"/>
    <w:semiHidden/>
    <w:unhideWhenUsed/>
    <w:rsid w:val="00DE28DF"/>
    <w:rPr>
      <w:vertAlign w:val="superscript"/>
    </w:rPr>
  </w:style>
  <w:style w:type="character" w:styleId="Verwijzingopmerking">
    <w:name w:val="annotation reference"/>
    <w:basedOn w:val="Standaardalinea-lettertype"/>
    <w:uiPriority w:val="99"/>
    <w:semiHidden/>
    <w:unhideWhenUsed/>
    <w:rsid w:val="00DE28DF"/>
    <w:rPr>
      <w:sz w:val="16"/>
      <w:szCs w:val="16"/>
    </w:rPr>
  </w:style>
  <w:style w:type="paragraph" w:styleId="Tekstopmerking">
    <w:name w:val="annotation text"/>
    <w:basedOn w:val="Standaard"/>
    <w:link w:val="TekstopmerkingChar"/>
    <w:uiPriority w:val="99"/>
    <w:unhideWhenUsed/>
    <w:rsid w:val="00DE28DF"/>
    <w:pPr>
      <w:spacing w:line="240" w:lineRule="auto"/>
    </w:pPr>
    <w:rPr>
      <w:sz w:val="20"/>
      <w:szCs w:val="20"/>
    </w:rPr>
  </w:style>
  <w:style w:type="character" w:customStyle="1" w:styleId="TekstopmerkingChar">
    <w:name w:val="Tekst opmerking Char"/>
    <w:basedOn w:val="Standaardalinea-lettertype"/>
    <w:link w:val="Tekstopmerking"/>
    <w:uiPriority w:val="99"/>
    <w:rsid w:val="00DE28D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C712E"/>
    <w:rPr>
      <w:b/>
      <w:bCs/>
    </w:rPr>
  </w:style>
  <w:style w:type="character" w:customStyle="1" w:styleId="OnderwerpvanopmerkingChar">
    <w:name w:val="Onderwerp van opmerking Char"/>
    <w:basedOn w:val="TekstopmerkingChar"/>
    <w:link w:val="Onderwerpvanopmerking"/>
    <w:uiPriority w:val="99"/>
    <w:semiHidden/>
    <w:rsid w:val="004C712E"/>
    <w:rPr>
      <w:rFonts w:ascii="Verdana" w:hAnsi="Verdana"/>
      <w:b/>
      <w:bCs/>
      <w:color w:val="000000"/>
    </w:rPr>
  </w:style>
  <w:style w:type="paragraph" w:styleId="Revisie">
    <w:name w:val="Revision"/>
    <w:hidden/>
    <w:uiPriority w:val="99"/>
    <w:semiHidden/>
    <w:rsid w:val="004922F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5128">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834615477">
      <w:bodyDiv w:val="1"/>
      <w:marLeft w:val="0"/>
      <w:marRight w:val="0"/>
      <w:marTop w:val="0"/>
      <w:marBottom w:val="0"/>
      <w:divBdr>
        <w:top w:val="none" w:sz="0" w:space="0" w:color="auto"/>
        <w:left w:val="none" w:sz="0" w:space="0" w:color="auto"/>
        <w:bottom w:val="none" w:sz="0" w:space="0" w:color="auto"/>
        <w:right w:val="none" w:sz="0" w:space="0" w:color="auto"/>
      </w:divBdr>
    </w:div>
    <w:div w:id="1440757322">
      <w:bodyDiv w:val="1"/>
      <w:marLeft w:val="0"/>
      <w:marRight w:val="0"/>
      <w:marTop w:val="0"/>
      <w:marBottom w:val="0"/>
      <w:divBdr>
        <w:top w:val="none" w:sz="0" w:space="0" w:color="auto"/>
        <w:left w:val="none" w:sz="0" w:space="0" w:color="auto"/>
        <w:bottom w:val="none" w:sz="0" w:space="0" w:color="auto"/>
        <w:right w:val="none" w:sz="0" w:space="0" w:color="auto"/>
      </w:divBdr>
    </w:div>
    <w:div w:id="1634676274">
      <w:bodyDiv w:val="1"/>
      <w:marLeft w:val="0"/>
      <w:marRight w:val="0"/>
      <w:marTop w:val="0"/>
      <w:marBottom w:val="0"/>
      <w:divBdr>
        <w:top w:val="none" w:sz="0" w:space="0" w:color="auto"/>
        <w:left w:val="none" w:sz="0" w:space="0" w:color="auto"/>
        <w:bottom w:val="none" w:sz="0" w:space="0" w:color="auto"/>
        <w:right w:val="none" w:sz="0" w:space="0" w:color="auto"/>
      </w:divBdr>
    </w:div>
    <w:div w:id="1648196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1910</ap:Words>
  <ap:Characters>10507</ap:Characters>
  <ap:DocSecurity>0</ap:DocSecurity>
  <ap:Lines>87</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Kamer - Update Energiefonds nav motie leden Timmermans (PvdA-Groenlinks), Bikker (ChristenUnie), Van Hijum (NSC)</vt:lpstr>
      <vt:lpstr>Brief Kamer - Update Energiefonds nav motie leden Timmermans (PvdA-Groenlinks), Bikker (ChristenUnie), Van Hijum (NSC)</vt:lpstr>
    </vt:vector>
  </ap:TitlesOfParts>
  <ap:LinksUpToDate>false</ap:LinksUpToDate>
  <ap:CharactersWithSpaces>12393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2025-09-30T08:21:00.0000000Z</lastPrinted>
  <dcterms:created xsi:type="dcterms:W3CDTF">2025-09-30T15:35:00.0000000Z</dcterms:created>
  <dcterms:modified xsi:type="dcterms:W3CDTF">2025-09-30T15:35:00.0000000Z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Update Energiefonds nav motie leden Timmermans (PvdA-Groenlinks), Bikker (ChristenUnie), Van Hijum (NSC)</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A.G. van Eekelen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Update Energiefonds nav motie leden Timmermans (PvdA-Groenlinks), Bikker (ChristenUnie), Van Hijum (NSC)</vt:lpwstr>
  </property>
  <property fmtid="{D5CDD505-2E9C-101B-9397-08002B2CF9AE}" pid="36" name="iOnsKenmerk">
    <vt:lpwstr>2025-0000230165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