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astertabel1licht-Accent1"/>
        <w:tblW w:w="9923" w:type="dxa"/>
        <w:tblInd w:w="-289" w:type="dxa"/>
        <w:tblLayout w:type="fixed"/>
        <w:tblLook w:val="04A0" w:firstRow="1" w:lastRow="0" w:firstColumn="1" w:lastColumn="0" w:noHBand="0" w:noVBand="1"/>
      </w:tblPr>
      <w:tblGrid>
        <w:gridCol w:w="2552"/>
        <w:gridCol w:w="7371"/>
      </w:tblGrid>
      <w:tr w:rsidR="00674954" w:rsidTr="0076257B" w14:paraId="2774F4FF" w14:textId="77777777">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B4C6E7" w:themeFill="accent5" w:themeFillTint="66"/>
          </w:tcPr>
          <w:p w:rsidRPr="0076257B" w:rsidR="0043716C" w:rsidP="0043716C" w:rsidRDefault="00674954" w14:paraId="5C5D8796" w14:textId="517D9050">
            <w:pPr>
              <w:pStyle w:val="Kop2"/>
              <w:rPr>
                <w:b w:val="0"/>
                <w:bCs w:val="0"/>
                <w:color w:val="auto"/>
              </w:rPr>
            </w:pPr>
            <w:r w:rsidRPr="0076257B">
              <w:rPr>
                <w:color w:val="auto"/>
              </w:rPr>
              <w:t>Be</w:t>
            </w:r>
            <w:r w:rsidRPr="0076257B" w:rsidR="0043716C">
              <w:rPr>
                <w:color w:val="auto"/>
              </w:rPr>
              <w:t xml:space="preserve">stedingsplan </w:t>
            </w:r>
            <w:r w:rsidRPr="0076257B" w:rsidR="0076257B">
              <w:rPr>
                <w:color w:val="auto"/>
              </w:rPr>
              <w:t>Versterking Regionale/Lokale Weerbaarheid</w:t>
            </w:r>
          </w:p>
          <w:p w:rsidRPr="0076257B" w:rsidR="00674954" w:rsidP="0043716C" w:rsidRDefault="0043716C" w14:paraId="6F443A14" w14:textId="0B2776F0">
            <w:pPr>
              <w:pStyle w:val="Kop2"/>
              <w:rPr>
                <w:color w:val="auto"/>
              </w:rPr>
            </w:pPr>
            <w:r w:rsidRPr="0076257B">
              <w:rPr>
                <w:color w:val="auto"/>
              </w:rPr>
              <w:t>O</w:t>
            </w:r>
            <w:r w:rsidRPr="0076257B" w:rsidR="00674954">
              <w:rPr>
                <w:color w:val="auto"/>
              </w:rPr>
              <w:t>nderbouwing doeltreffendheid, doelmatigheid en evaluatie (CW3.1)</w:t>
            </w:r>
          </w:p>
        </w:tc>
      </w:tr>
      <w:tr w:rsidR="00674954" w:rsidTr="0076257B" w14:paraId="2003AFC9" w14:textId="77777777">
        <w:trPr>
          <w:trHeight w:val="917"/>
        </w:trPr>
        <w:tc>
          <w:tcPr>
            <w:cnfStyle w:val="001000000000" w:firstRow="0" w:lastRow="0" w:firstColumn="1" w:lastColumn="0" w:oddVBand="0" w:evenVBand="0" w:oddHBand="0" w:evenHBand="0" w:firstRowFirstColumn="0" w:firstRowLastColumn="0" w:lastRowFirstColumn="0" w:lastRowLastColumn="0"/>
            <w:tcW w:w="2552" w:type="dxa"/>
            <w:shd w:val="clear" w:color="auto" w:fill="DEEAF6" w:themeFill="accent1" w:themeFillTint="33"/>
          </w:tcPr>
          <w:p w:rsidRPr="0076257B" w:rsidR="00674954" w:rsidRDefault="00674954" w14:paraId="4CE7AB7C" w14:textId="77777777">
            <w:r w:rsidRPr="0076257B">
              <w:t>1. Doel(en)</w:t>
            </w:r>
          </w:p>
        </w:tc>
        <w:tc>
          <w:tcPr>
            <w:tcW w:w="7371" w:type="dxa"/>
          </w:tcPr>
          <w:p w:rsidRPr="0076257B" w:rsidR="00674954" w:rsidRDefault="00674954" w14:paraId="4F8CBF56" w14:textId="77777777">
            <w:pPr>
              <w:cnfStyle w:val="000000000000" w:firstRow="0" w:lastRow="0" w:firstColumn="0" w:lastColumn="0" w:oddVBand="0" w:evenVBand="0" w:oddHBand="0" w:evenHBand="0" w:firstRowFirstColumn="0" w:firstRowLastColumn="0" w:lastRowFirstColumn="0" w:lastRowLastColumn="0"/>
              <w:rPr>
                <w:b/>
                <w:bCs/>
              </w:rPr>
            </w:pPr>
            <w:r w:rsidRPr="0076257B">
              <w:rPr>
                <w:b/>
                <w:bCs/>
              </w:rPr>
              <w:t>Welke doelen worden nagestreefd met het voorstel in termen van beoogde prestaties en effecten?</w:t>
            </w:r>
          </w:p>
          <w:p w:rsidRPr="0076257B" w:rsidR="00C127C7" w:rsidRDefault="00C127C7" w14:paraId="40B55C2F" w14:textId="77777777">
            <w:pPr>
              <w:cnfStyle w:val="000000000000" w:firstRow="0" w:lastRow="0" w:firstColumn="0" w:lastColumn="0" w:oddVBand="0" w:evenVBand="0" w:oddHBand="0" w:evenHBand="0" w:firstRowFirstColumn="0" w:firstRowLastColumn="0" w:lastRowFirstColumn="0" w:lastRowLastColumn="0"/>
              <w:rPr>
                <w:i/>
                <w:iCs/>
              </w:rPr>
            </w:pPr>
          </w:p>
          <w:p w:rsidR="007671A3" w:rsidP="0076257B" w:rsidRDefault="0076257B" w14:paraId="1605F304" w14:textId="35686E44">
            <w:pPr>
              <w:cnfStyle w:val="000000000000" w:firstRow="0" w:lastRow="0" w:firstColumn="0" w:lastColumn="0" w:oddVBand="0" w:evenVBand="0" w:oddHBand="0" w:evenHBand="0" w:firstRowFirstColumn="0" w:firstRowLastColumn="0" w:lastRowFirstColumn="0" w:lastRowLastColumn="0"/>
            </w:pPr>
            <w:r w:rsidRPr="0076257B">
              <w:t>In het regeerprogramma heeft het kabinet Schoof aangekondigd steviger in te willen zetten op het versterken van de weerbaarheid van overheid, bedrijven en burgers bij o.a. rampen en crises.</w:t>
            </w:r>
            <w:r w:rsidR="001672ED">
              <w:t xml:space="preserve"> </w:t>
            </w:r>
            <w:r w:rsidRPr="0076257B">
              <w:t xml:space="preserve">Een weerbare maatschappij draagt bij aan de bescherming van onze veiligheid, vrijheid, welvaart en waarden. Dit geldt niet alleen bij hybride aanvallen of een militair conflict, maar ook bij andere crises of rampen, zoals grootschalige overstromingen, een pandemie of langdurige uitval van vitale processen. </w:t>
            </w:r>
            <w:r w:rsidR="000C245C">
              <w:t>B</w:t>
            </w:r>
            <w:r w:rsidRPr="0076257B">
              <w:t xml:space="preserve">ij </w:t>
            </w:r>
            <w:r w:rsidR="000C245C">
              <w:t xml:space="preserve">bijvoorbeeld </w:t>
            </w:r>
            <w:r w:rsidRPr="0076257B">
              <w:t xml:space="preserve">langdurige uitval </w:t>
            </w:r>
            <w:r w:rsidR="000C245C">
              <w:t xml:space="preserve">zal </w:t>
            </w:r>
            <w:r w:rsidRPr="0076257B">
              <w:t xml:space="preserve">de behoefte aan diverse basisvoorzieningen, waaronder informatie, snel toenemen. </w:t>
            </w:r>
            <w:r w:rsidRPr="008A444D" w:rsidR="0010411D">
              <w:t>Het doel is</w:t>
            </w:r>
            <w:r w:rsidRPr="008A444D" w:rsidR="002C3F0D">
              <w:t xml:space="preserve"> daarom</w:t>
            </w:r>
            <w:r w:rsidRPr="008A444D" w:rsidR="0010411D">
              <w:t xml:space="preserve"> om als overheid gerichte lokale ondersteuning te bieden bij rampen en crises</w:t>
            </w:r>
            <w:r w:rsidRPr="008A444D" w:rsidR="002C3F0D">
              <w:t xml:space="preserve"> op een manier die</w:t>
            </w:r>
            <w:r w:rsidRPr="008A444D" w:rsidR="0010411D">
              <w:t xml:space="preserve"> de samenredzaamheid van de samenleving </w:t>
            </w:r>
            <w:r w:rsidRPr="008A444D" w:rsidR="002C3F0D">
              <w:t>vergroot</w:t>
            </w:r>
            <w:r w:rsidRPr="008A444D" w:rsidR="0010411D">
              <w:t>.</w:t>
            </w:r>
            <w:r w:rsidR="0010411D">
              <w:t xml:space="preserve"> </w:t>
            </w:r>
            <w:r w:rsidR="000F5744">
              <w:t>Het betreft daarbij geen nieuwe taak van de overheid</w:t>
            </w:r>
            <w:r w:rsidR="002C3F0D">
              <w:t>. H</w:t>
            </w:r>
            <w:r w:rsidRPr="002C3F0D" w:rsidR="002C3F0D">
              <w:t>et informeren van de bevolking en het bieden van noodhulp</w:t>
            </w:r>
            <w:r w:rsidR="002C3F0D">
              <w:t xml:space="preserve"> zijn namelijk breed erkende kerntaken </w:t>
            </w:r>
            <w:r w:rsidRPr="002C3F0D" w:rsidR="002C3F0D">
              <w:t>van veiligheidsregio’s en inliggende gemeenten binnen crisisbeheersing</w:t>
            </w:r>
            <w:r w:rsidR="002C3F0D">
              <w:t>.</w:t>
            </w:r>
            <w:r w:rsidR="000F5744">
              <w:t xml:space="preserve"> </w:t>
            </w:r>
          </w:p>
          <w:p w:rsidR="008A444D" w:rsidP="0076257B" w:rsidRDefault="008A444D" w14:paraId="5BED0FD6" w14:textId="77777777">
            <w:pPr>
              <w:cnfStyle w:val="000000000000" w:firstRow="0" w:lastRow="0" w:firstColumn="0" w:lastColumn="0" w:oddVBand="0" w:evenVBand="0" w:oddHBand="0" w:evenHBand="0" w:firstRowFirstColumn="0" w:firstRowLastColumn="0" w:lastRowFirstColumn="0" w:lastRowLastColumn="0"/>
            </w:pPr>
          </w:p>
          <w:p w:rsidRPr="008A444D" w:rsidR="007671A3" w:rsidP="007671A3" w:rsidRDefault="007671A3" w14:paraId="440D1FBD" w14:textId="378BA6FB">
            <w:pPr>
              <w:cnfStyle w:val="000000000000" w:firstRow="0" w:lastRow="0" w:firstColumn="0" w:lastColumn="0" w:oddVBand="0" w:evenVBand="0" w:oddHBand="0" w:evenHBand="0" w:firstRowFirstColumn="0" w:firstRowLastColumn="0" w:lastRowFirstColumn="0" w:lastRowLastColumn="0"/>
              <w:rPr>
                <w:b/>
                <w:bCs/>
              </w:rPr>
            </w:pPr>
            <w:r w:rsidRPr="008A444D">
              <w:rPr>
                <w:b/>
                <w:bCs/>
              </w:rPr>
              <w:t>Beleidsdoel:</w:t>
            </w:r>
          </w:p>
          <w:p w:rsidR="007671A3" w:rsidP="007671A3" w:rsidRDefault="0000539A" w14:paraId="46877AD0" w14:textId="099309A5">
            <w:pPr>
              <w:cnfStyle w:val="000000000000" w:firstRow="0" w:lastRow="0" w:firstColumn="0" w:lastColumn="0" w:oddVBand="0" w:evenVBand="0" w:oddHBand="0" w:evenHBand="0" w:firstRowFirstColumn="0" w:firstRowLastColumn="0" w:lastRowFirstColumn="0" w:lastRowLastColumn="0"/>
            </w:pPr>
            <w:r>
              <w:t xml:space="preserve">Het </w:t>
            </w:r>
            <w:r w:rsidRPr="0000539A">
              <w:t xml:space="preserve">stapsgewijs ontwikkelen </w:t>
            </w:r>
            <w:r>
              <w:t>van e</w:t>
            </w:r>
            <w:r w:rsidR="007671A3">
              <w:t>en landelijk netwerk van noodsteunpunten dat de m</w:t>
            </w:r>
            <w:r w:rsidRPr="00515C12" w:rsidR="007671A3">
              <w:t>aatschappelijke weerbaarheid bij crises/rampen</w:t>
            </w:r>
            <w:r w:rsidR="007671A3">
              <w:t xml:space="preserve"> vergroot doordat: </w:t>
            </w:r>
          </w:p>
          <w:p w:rsidRPr="007671A3" w:rsidR="007671A3" w:rsidP="007671A3" w:rsidRDefault="007671A3" w14:paraId="567F5FA5" w14:textId="643B666B">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lang w:val="nl-NL"/>
              </w:rPr>
            </w:pPr>
            <w:r w:rsidRPr="007671A3">
              <w:rPr>
                <w:lang w:val="nl-NL"/>
              </w:rPr>
              <w:t xml:space="preserve">Burgers </w:t>
            </w:r>
            <w:r w:rsidR="0000539A">
              <w:rPr>
                <w:lang w:val="nl-NL"/>
              </w:rPr>
              <w:t xml:space="preserve">in ieder geval </w:t>
            </w:r>
            <w:r w:rsidRPr="007671A3">
              <w:rPr>
                <w:lang w:val="nl-NL"/>
              </w:rPr>
              <w:t>lokaal toegang hebben t</w:t>
            </w:r>
            <w:r w:rsidR="0000539A">
              <w:rPr>
                <w:lang w:val="nl-NL"/>
              </w:rPr>
              <w:t>ot voorzieningen als informatie;</w:t>
            </w:r>
          </w:p>
          <w:p w:rsidRPr="008A444D" w:rsidR="0076257B" w:rsidP="008A444D" w:rsidRDefault="007671A3" w14:paraId="66F1BCAA" w14:textId="55D4F92D">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lang w:val="nl-NL"/>
              </w:rPr>
            </w:pPr>
            <w:r>
              <w:rPr>
                <w:lang w:val="nl-NL"/>
              </w:rPr>
              <w:t xml:space="preserve">Er </w:t>
            </w:r>
            <w:r w:rsidR="00147703">
              <w:rPr>
                <w:lang w:val="nl-NL"/>
              </w:rPr>
              <w:t xml:space="preserve">daaraan gekoppeld </w:t>
            </w:r>
            <w:r w:rsidRPr="008A444D">
              <w:rPr>
                <w:lang w:val="nl-NL"/>
              </w:rPr>
              <w:t>lokale burgerhulpverlening plaatsvindt</w:t>
            </w:r>
            <w:r w:rsidR="0000539A">
              <w:rPr>
                <w:lang w:val="nl-NL"/>
              </w:rPr>
              <w:t>.</w:t>
            </w:r>
          </w:p>
          <w:p w:rsidRPr="0010411D" w:rsidR="0076257B" w:rsidP="0010411D" w:rsidRDefault="0076257B" w14:paraId="6EAA8D82" w14:textId="44FE8343">
            <w:pPr>
              <w:autoSpaceDN w:val="0"/>
              <w:spacing w:line="240" w:lineRule="atLeast"/>
              <w:textAlignment w:val="baseline"/>
              <w:cnfStyle w:val="000000000000" w:firstRow="0" w:lastRow="0" w:firstColumn="0" w:lastColumn="0" w:oddVBand="0" w:evenVBand="0" w:oddHBand="0" w:evenHBand="0" w:firstRowFirstColumn="0" w:firstRowLastColumn="0" w:lastRowFirstColumn="0" w:lastRowLastColumn="0"/>
              <w:rPr>
                <w:i/>
                <w:iCs/>
                <w:szCs w:val="18"/>
              </w:rPr>
            </w:pPr>
          </w:p>
        </w:tc>
      </w:tr>
      <w:tr w:rsidRPr="0088466E" w:rsidR="00674954" w:rsidTr="0076257B" w14:paraId="5BAAAF11" w14:textId="77777777">
        <w:trPr>
          <w:trHeight w:val="1007"/>
        </w:trPr>
        <w:tc>
          <w:tcPr>
            <w:cnfStyle w:val="001000000000" w:firstRow="0" w:lastRow="0" w:firstColumn="1" w:lastColumn="0" w:oddVBand="0" w:evenVBand="0" w:oddHBand="0" w:evenHBand="0" w:firstRowFirstColumn="0" w:firstRowLastColumn="0" w:lastRowFirstColumn="0" w:lastRowLastColumn="0"/>
            <w:tcW w:w="2552" w:type="dxa"/>
            <w:shd w:val="clear" w:color="auto" w:fill="DEEAF6" w:themeFill="accent1" w:themeFillTint="33"/>
          </w:tcPr>
          <w:p w:rsidRPr="0076257B" w:rsidR="00674954" w:rsidRDefault="00674954" w14:paraId="487B79BA" w14:textId="77777777">
            <w:r w:rsidRPr="0076257B">
              <w:t>2. Beleidsinstrument(en)</w:t>
            </w:r>
          </w:p>
        </w:tc>
        <w:tc>
          <w:tcPr>
            <w:tcW w:w="7371" w:type="dxa"/>
          </w:tcPr>
          <w:p w:rsidRPr="0076257B" w:rsidR="00674954" w:rsidP="00674954" w:rsidRDefault="00674954" w14:paraId="191FB64D" w14:textId="77777777">
            <w:pPr>
              <w:cnfStyle w:val="000000000000" w:firstRow="0" w:lastRow="0" w:firstColumn="0" w:lastColumn="0" w:oddVBand="0" w:evenVBand="0" w:oddHBand="0" w:evenHBand="0" w:firstRowFirstColumn="0" w:firstRowLastColumn="0" w:lastRowFirstColumn="0" w:lastRowLastColumn="0"/>
              <w:rPr>
                <w:b/>
                <w:bCs/>
              </w:rPr>
            </w:pPr>
            <w:r w:rsidRPr="0076257B">
              <w:rPr>
                <w:b/>
                <w:bCs/>
              </w:rPr>
              <w:t>Welke beleidsinstrumenten worden ingezet om deze doelen te realiseren?</w:t>
            </w:r>
          </w:p>
          <w:p w:rsidRPr="0076257B" w:rsidR="00C127C7" w:rsidP="00674954" w:rsidRDefault="00C127C7" w14:paraId="7C715797" w14:textId="77777777">
            <w:pPr>
              <w:cnfStyle w:val="000000000000" w:firstRow="0" w:lastRow="0" w:firstColumn="0" w:lastColumn="0" w:oddVBand="0" w:evenVBand="0" w:oddHBand="0" w:evenHBand="0" w:firstRowFirstColumn="0" w:firstRowLastColumn="0" w:lastRowFirstColumn="0" w:lastRowLastColumn="0"/>
            </w:pPr>
          </w:p>
          <w:p w:rsidRPr="0076257B" w:rsidR="0010411D" w:rsidP="0010411D" w:rsidRDefault="0010411D" w14:paraId="2D220F3B" w14:textId="023CBAB0">
            <w:pPr>
              <w:cnfStyle w:val="000000000000" w:firstRow="0" w:lastRow="0" w:firstColumn="0" w:lastColumn="0" w:oddVBand="0" w:evenVBand="0" w:oddHBand="0" w:evenHBand="0" w:firstRowFirstColumn="0" w:firstRowLastColumn="0" w:lastRowFirstColumn="0" w:lastRowLastColumn="0"/>
            </w:pPr>
            <w:r w:rsidRPr="0076257B">
              <w:t xml:space="preserve">In het commissiedebat Nationale veiligheid en Weerbaarheid van 15 mei jl. heeft de minister van Justitie en Veiligheid </w:t>
            </w:r>
            <w:r>
              <w:t xml:space="preserve">aangegeven invulling te geven aan de versterking van maatschappelijke weerbaarheid door </w:t>
            </w:r>
            <w:r w:rsidRPr="0076257B">
              <w:t xml:space="preserve">in te zetten op </w:t>
            </w:r>
            <w:r w:rsidR="0000539A">
              <w:t xml:space="preserve">het stapsgewijs ontwikkelen </w:t>
            </w:r>
            <w:r w:rsidRPr="0076257B">
              <w:t xml:space="preserve">van </w:t>
            </w:r>
            <w:r w:rsidR="0000539A">
              <w:t xml:space="preserve">een netwerk van </w:t>
            </w:r>
            <w:r w:rsidRPr="0076257B">
              <w:t>noodsteunpunten</w:t>
            </w:r>
            <w:r w:rsidR="00147703">
              <w:t xml:space="preserve">. </w:t>
            </w:r>
            <w:r>
              <w:t xml:space="preserve">Het betrekken van de lokale gemeenschap en het maatschappelijk middenveld </w:t>
            </w:r>
            <w:r w:rsidR="002B21EC">
              <w:t xml:space="preserve">via burgerhulpverlening </w:t>
            </w:r>
            <w:r w:rsidR="0000539A">
              <w:t xml:space="preserve">bij </w:t>
            </w:r>
            <w:r>
              <w:t xml:space="preserve">de noodsteunpunten </w:t>
            </w:r>
            <w:r w:rsidR="0000539A">
              <w:t xml:space="preserve">is een randvoorwaarde, ook voor </w:t>
            </w:r>
            <w:r>
              <w:t xml:space="preserve">het verhogen van de samenredzaamheid in bredere zin. </w:t>
            </w:r>
            <w:r>
              <w:rPr>
                <w:rFonts w:eastAsia="MS Mincho"/>
              </w:rPr>
              <w:t>De lokale noodsteunpunten moeten goed aansluiten bij de behoefte en leefomgeving van de inwoners en worden mede door de lokale gemeenschap bezet. Denk daarbij aan inzet van buurt/dorpshuizen, stemlokalen, (sport)verenigingen, Rode Kruis, Leger des Heils, moskeeën, kerken, etc.</w:t>
            </w:r>
          </w:p>
          <w:p w:rsidRPr="00112791" w:rsidR="0010411D" w:rsidP="0010411D" w:rsidRDefault="0010411D" w14:paraId="0EAF1763" w14:textId="77777777">
            <w:pPr>
              <w:cnfStyle w:val="000000000000" w:firstRow="0" w:lastRow="0" w:firstColumn="0" w:lastColumn="0" w:oddVBand="0" w:evenVBand="0" w:oddHBand="0" w:evenHBand="0" w:firstRowFirstColumn="0" w:firstRowLastColumn="0" w:lastRowFirstColumn="0" w:lastRowLastColumn="0"/>
              <w:rPr>
                <w:rFonts w:eastAsia="MS Mincho"/>
              </w:rPr>
            </w:pPr>
          </w:p>
          <w:p w:rsidR="0010411D" w:rsidP="0010411D" w:rsidRDefault="0010411D" w14:paraId="6E20F958" w14:textId="37CDD471">
            <w:pPr>
              <w:cnfStyle w:val="000000000000" w:firstRow="0" w:lastRow="0" w:firstColumn="0" w:lastColumn="0" w:oddVBand="0" w:evenVBand="0" w:oddHBand="0" w:evenHBand="0" w:firstRowFirstColumn="0" w:firstRowLastColumn="0" w:lastRowFirstColumn="0" w:lastRowLastColumn="0"/>
            </w:pPr>
            <w:r w:rsidRPr="0076257B">
              <w:t xml:space="preserve">De </w:t>
            </w:r>
            <w:r w:rsidR="002B21EC">
              <w:t>v</w:t>
            </w:r>
            <w:r w:rsidRPr="0076257B">
              <w:t xml:space="preserve">eiligheidsregio’s (en inliggende gemeenten) zullen een centrale rol spelen in de coördinatie en organisatie van het inrichten van de noodsteunpunten. Het is cruciaal dat zij </w:t>
            </w:r>
            <w:r>
              <w:t>al hun</w:t>
            </w:r>
            <w:r w:rsidRPr="0076257B">
              <w:t xml:space="preserve"> kerntaken goed kunnen blijven uitvoeren, om problemen in de operatie en slagkracht te voorkomen. Daarom wordt gelijktijdig ingezet op</w:t>
            </w:r>
            <w:r w:rsidR="00082B9A">
              <w:t xml:space="preserve"> de verdere</w:t>
            </w:r>
            <w:r>
              <w:t xml:space="preserve"> versterking van en intensivering van de rol</w:t>
            </w:r>
            <w:r w:rsidRPr="0076257B">
              <w:t xml:space="preserve"> van de veiligheidsregio’s t.b.v. lokale/regionale weerbaarheid.</w:t>
            </w:r>
            <w:r>
              <w:t xml:space="preserve"> </w:t>
            </w:r>
          </w:p>
          <w:p w:rsidR="0010411D" w:rsidP="0010411D" w:rsidRDefault="0010411D" w14:paraId="6FBEDCE4" w14:textId="77777777">
            <w:pPr>
              <w:cnfStyle w:val="000000000000" w:firstRow="0" w:lastRow="0" w:firstColumn="0" w:lastColumn="0" w:oddVBand="0" w:evenVBand="0" w:oddHBand="0" w:evenHBand="0" w:firstRowFirstColumn="0" w:firstRowLastColumn="0" w:lastRowFirstColumn="0" w:lastRowLastColumn="0"/>
            </w:pPr>
          </w:p>
          <w:p w:rsidRPr="0076257B" w:rsidR="0076257B" w:rsidP="0076257B" w:rsidRDefault="0076257B" w14:paraId="69667C69" w14:textId="7EAA3844">
            <w:pPr>
              <w:cnfStyle w:val="000000000000" w:firstRow="0" w:lastRow="0" w:firstColumn="0" w:lastColumn="0" w:oddVBand="0" w:evenVBand="0" w:oddHBand="0" w:evenHBand="0" w:firstRowFirstColumn="0" w:firstRowLastColumn="0" w:lastRowFirstColumn="0" w:lastRowLastColumn="0"/>
            </w:pPr>
            <w:r w:rsidRPr="0076257B">
              <w:t>Er zal gebruik gemaakt worden van diverse beleidsinstrumenten:</w:t>
            </w:r>
          </w:p>
          <w:p w:rsidRPr="0076257B" w:rsidR="0076257B" w:rsidP="0076257B" w:rsidRDefault="0076257B" w14:paraId="1BBFB252" w14:textId="6ED2AD34">
            <w:pPr>
              <w:pStyle w:val="Lijstalinea"/>
              <w:numPr>
                <w:ilvl w:val="0"/>
                <w:numId w:val="7"/>
              </w:numPr>
              <w:autoSpaceDN w:val="0"/>
              <w:spacing w:line="240" w:lineRule="atLeast"/>
              <w:textAlignment w:val="baseline"/>
              <w:cnfStyle w:val="000000000000" w:firstRow="0" w:lastRow="0" w:firstColumn="0" w:lastColumn="0" w:oddVBand="0" w:evenVBand="0" w:oddHBand="0" w:evenHBand="0" w:firstRowFirstColumn="0" w:firstRowLastColumn="0" w:lastRowFirstColumn="0" w:lastRowLastColumn="0"/>
              <w:rPr>
                <w:u w:val="single"/>
                <w:lang w:val="nl-NL"/>
              </w:rPr>
            </w:pPr>
            <w:r w:rsidRPr="0076257B">
              <w:rPr>
                <w:u w:val="single"/>
                <w:lang w:val="nl-NL"/>
              </w:rPr>
              <w:t>Financieel:</w:t>
            </w:r>
            <w:r w:rsidRPr="0076257B">
              <w:rPr>
                <w:lang w:val="nl-NL"/>
              </w:rPr>
              <w:t xml:space="preserve"> Door middelen beschikbaar te stellen aan de Veiligheidsregio’s levert het Rijk een bijdrage aan de totstandkoming van noodsteunpunten en versterking van de </w:t>
            </w:r>
            <w:r w:rsidR="00B155EA">
              <w:rPr>
                <w:lang w:val="nl-NL"/>
              </w:rPr>
              <w:t xml:space="preserve">taakuitvoering van de </w:t>
            </w:r>
            <w:r w:rsidRPr="0076257B">
              <w:rPr>
                <w:lang w:val="nl-NL"/>
              </w:rPr>
              <w:t>Veiligheidsregio’s.</w:t>
            </w:r>
          </w:p>
          <w:p w:rsidRPr="0076257B" w:rsidR="0076257B" w:rsidP="0076257B" w:rsidRDefault="0076257B" w14:paraId="2428C3E4" w14:textId="286FB7E2">
            <w:pPr>
              <w:pStyle w:val="Lijstalinea"/>
              <w:numPr>
                <w:ilvl w:val="0"/>
                <w:numId w:val="7"/>
              </w:numPr>
              <w:autoSpaceDN w:val="0"/>
              <w:spacing w:line="240" w:lineRule="atLeast"/>
              <w:textAlignment w:val="baseline"/>
              <w:cnfStyle w:val="000000000000" w:firstRow="0" w:lastRow="0" w:firstColumn="0" w:lastColumn="0" w:oddVBand="0" w:evenVBand="0" w:oddHBand="0" w:evenHBand="0" w:firstRowFirstColumn="0" w:firstRowLastColumn="0" w:lastRowFirstColumn="0" w:lastRowLastColumn="0"/>
              <w:rPr>
                <w:lang w:val="nl-NL"/>
              </w:rPr>
            </w:pPr>
            <w:r w:rsidRPr="0076257B">
              <w:rPr>
                <w:u w:val="single"/>
                <w:lang w:val="nl-NL"/>
              </w:rPr>
              <w:t>Verkenning/onderzoek:</w:t>
            </w:r>
            <w:r w:rsidRPr="0076257B">
              <w:rPr>
                <w:lang w:val="nl-NL"/>
              </w:rPr>
              <w:t xml:space="preserve"> In 2025 is door de Raad van Commandanten en Directeuren Veiligheidsregio’s (RCDV) een verkenning gestart naar de </w:t>
            </w:r>
            <w:proofErr w:type="spellStart"/>
            <w:r w:rsidRPr="0076257B">
              <w:rPr>
                <w:lang w:val="nl-NL"/>
              </w:rPr>
              <w:t>governance</w:t>
            </w:r>
            <w:proofErr w:type="spellEnd"/>
            <w:r w:rsidRPr="0076257B">
              <w:rPr>
                <w:lang w:val="nl-NL"/>
              </w:rPr>
              <w:t xml:space="preserve"> en basiseisen voor de inrichting van een </w:t>
            </w:r>
            <w:r w:rsidR="002B21EC">
              <w:rPr>
                <w:lang w:val="nl-NL"/>
              </w:rPr>
              <w:t xml:space="preserve">landelijk netwerk van </w:t>
            </w:r>
            <w:r w:rsidRPr="0076257B">
              <w:rPr>
                <w:lang w:val="nl-NL"/>
              </w:rPr>
              <w:t>noodsteunpunten.</w:t>
            </w:r>
          </w:p>
          <w:p w:rsidRPr="0076257B" w:rsidR="0076257B" w:rsidP="0076257B" w:rsidRDefault="0076257B" w14:paraId="4AEFBBF9" w14:textId="4E37A5DD">
            <w:pPr>
              <w:pStyle w:val="Lijstalinea"/>
              <w:numPr>
                <w:ilvl w:val="0"/>
                <w:numId w:val="7"/>
              </w:numPr>
              <w:autoSpaceDN w:val="0"/>
              <w:spacing w:line="240" w:lineRule="atLeast"/>
              <w:textAlignment w:val="baseline"/>
              <w:cnfStyle w:val="000000000000" w:firstRow="0" w:lastRow="0" w:firstColumn="0" w:lastColumn="0" w:oddVBand="0" w:evenVBand="0" w:oddHBand="0" w:evenHBand="0" w:firstRowFirstColumn="0" w:firstRowLastColumn="0" w:lastRowFirstColumn="0" w:lastRowLastColumn="0"/>
              <w:rPr>
                <w:lang w:val="nl-NL"/>
              </w:rPr>
            </w:pPr>
            <w:r w:rsidRPr="0076257B">
              <w:rPr>
                <w:u w:val="single"/>
                <w:lang w:val="nl-NL"/>
              </w:rPr>
              <w:lastRenderedPageBreak/>
              <w:t>Experimenten/Pilots:</w:t>
            </w:r>
            <w:r w:rsidRPr="0076257B">
              <w:rPr>
                <w:lang w:val="nl-NL"/>
              </w:rPr>
              <w:t xml:space="preserve"> In 2025</w:t>
            </w:r>
            <w:r w:rsidR="00FC084E">
              <w:rPr>
                <w:lang w:val="nl-NL"/>
              </w:rPr>
              <w:t xml:space="preserve"> en </w:t>
            </w:r>
            <w:r w:rsidRPr="0076257B">
              <w:rPr>
                <w:lang w:val="nl-NL"/>
              </w:rPr>
              <w:t>2026 z</w:t>
            </w:r>
            <w:r w:rsidR="00FC084E">
              <w:rPr>
                <w:lang w:val="nl-NL"/>
              </w:rPr>
              <w:t>ullen</w:t>
            </w:r>
            <w:r w:rsidRPr="0076257B">
              <w:rPr>
                <w:lang w:val="nl-NL"/>
              </w:rPr>
              <w:t xml:space="preserve"> in </w:t>
            </w:r>
            <w:r w:rsidR="00FC084E">
              <w:rPr>
                <w:lang w:val="nl-NL"/>
              </w:rPr>
              <w:t>de</w:t>
            </w:r>
            <w:r w:rsidRPr="0076257B">
              <w:rPr>
                <w:lang w:val="nl-NL"/>
              </w:rPr>
              <w:t xml:space="preserve"> </w:t>
            </w:r>
            <w:r w:rsidR="00147703">
              <w:rPr>
                <w:lang w:val="nl-NL"/>
              </w:rPr>
              <w:t>v</w:t>
            </w:r>
            <w:r w:rsidRPr="0076257B">
              <w:rPr>
                <w:lang w:val="nl-NL"/>
              </w:rPr>
              <w:t>eiligheidsregio</w:t>
            </w:r>
            <w:r w:rsidR="00147703">
              <w:rPr>
                <w:lang w:val="nl-NL"/>
              </w:rPr>
              <w:t>’</w:t>
            </w:r>
            <w:r w:rsidRPr="0076257B">
              <w:rPr>
                <w:lang w:val="nl-NL"/>
              </w:rPr>
              <w:t xml:space="preserve">s </w:t>
            </w:r>
            <w:r w:rsidR="00147703">
              <w:rPr>
                <w:lang w:val="nl-NL"/>
              </w:rPr>
              <w:t xml:space="preserve">met inliggende gemeenten </w:t>
            </w:r>
            <w:r w:rsidRPr="0076257B">
              <w:rPr>
                <w:lang w:val="nl-NL"/>
              </w:rPr>
              <w:t xml:space="preserve">pilots </w:t>
            </w:r>
            <w:r w:rsidR="00944902">
              <w:rPr>
                <w:lang w:val="nl-NL"/>
              </w:rPr>
              <w:t xml:space="preserve">plaatsvinden </w:t>
            </w:r>
            <w:r w:rsidRPr="0076257B">
              <w:rPr>
                <w:lang w:val="nl-NL"/>
              </w:rPr>
              <w:t xml:space="preserve">voor de </w:t>
            </w:r>
            <w:r w:rsidR="00944902">
              <w:rPr>
                <w:lang w:val="nl-NL"/>
              </w:rPr>
              <w:t>stapsgewijze ontwikkeling van het netwerk</w:t>
            </w:r>
            <w:r w:rsidRPr="0076257B">
              <w:rPr>
                <w:lang w:val="nl-NL"/>
              </w:rPr>
              <w:t xml:space="preserve"> van noodsteunpunten. </w:t>
            </w:r>
            <w:r w:rsidR="008112C3">
              <w:rPr>
                <w:lang w:val="nl-NL"/>
              </w:rPr>
              <w:t xml:space="preserve">Op basis van de evaluatie hiervan </w:t>
            </w:r>
            <w:r w:rsidRPr="0076257B">
              <w:rPr>
                <w:lang w:val="nl-NL"/>
              </w:rPr>
              <w:t xml:space="preserve">en de resultaten </w:t>
            </w:r>
            <w:r w:rsidR="00944902">
              <w:rPr>
                <w:lang w:val="nl-NL"/>
              </w:rPr>
              <w:t xml:space="preserve">wordt </w:t>
            </w:r>
            <w:r w:rsidR="00FC084E">
              <w:rPr>
                <w:lang w:val="nl-NL"/>
              </w:rPr>
              <w:t>medio 2027</w:t>
            </w:r>
            <w:r w:rsidR="00944902">
              <w:rPr>
                <w:lang w:val="nl-NL"/>
              </w:rPr>
              <w:t xml:space="preserve"> een besluit genomen over de wijze van </w:t>
            </w:r>
            <w:r w:rsidR="00FC084E">
              <w:rPr>
                <w:lang w:val="nl-NL"/>
              </w:rPr>
              <w:t xml:space="preserve">verdere </w:t>
            </w:r>
            <w:r w:rsidR="00944902">
              <w:rPr>
                <w:lang w:val="nl-NL"/>
              </w:rPr>
              <w:t>ontwikkeling van de noodsteunpunten</w:t>
            </w:r>
            <w:r w:rsidR="00FC084E">
              <w:rPr>
                <w:lang w:val="nl-NL"/>
              </w:rPr>
              <w:t xml:space="preserve"> tot een landelijk netwerk</w:t>
            </w:r>
          </w:p>
          <w:p w:rsidRPr="001672ED" w:rsidR="001672ED" w:rsidP="001672ED" w:rsidRDefault="00147703" w14:paraId="4F3352F9" w14:textId="70CAE36D">
            <w:pPr>
              <w:pStyle w:val="Lijstalinea"/>
              <w:numPr>
                <w:ilvl w:val="0"/>
                <w:numId w:val="7"/>
              </w:numPr>
              <w:autoSpaceDN w:val="0"/>
              <w:spacing w:line="240" w:lineRule="atLeast"/>
              <w:textAlignment w:val="baseline"/>
              <w:cnfStyle w:val="000000000000" w:firstRow="0" w:lastRow="0" w:firstColumn="0" w:lastColumn="0" w:oddVBand="0" w:evenVBand="0" w:oddHBand="0" w:evenHBand="0" w:firstRowFirstColumn="0" w:firstRowLastColumn="0" w:lastRowFirstColumn="0" w:lastRowLastColumn="0"/>
              <w:rPr>
                <w:u w:val="single"/>
                <w:lang w:val="nl-NL"/>
              </w:rPr>
            </w:pPr>
            <w:r>
              <w:rPr>
                <w:u w:val="single"/>
                <w:lang w:val="nl-NL"/>
              </w:rPr>
              <w:t>Bestuurlijke afspraken</w:t>
            </w:r>
            <w:r w:rsidRPr="001672ED" w:rsidR="0076257B">
              <w:rPr>
                <w:u w:val="single"/>
                <w:lang w:val="nl-NL"/>
              </w:rPr>
              <w:t>:</w:t>
            </w:r>
            <w:r w:rsidRPr="001672ED" w:rsidR="0076257B">
              <w:rPr>
                <w:lang w:val="nl-NL"/>
              </w:rPr>
              <w:t xml:space="preserve"> Met </w:t>
            </w:r>
            <w:r>
              <w:rPr>
                <w:lang w:val="nl-NL"/>
              </w:rPr>
              <w:t>v</w:t>
            </w:r>
            <w:r w:rsidRPr="001672ED" w:rsidR="0076257B">
              <w:rPr>
                <w:lang w:val="nl-NL"/>
              </w:rPr>
              <w:t xml:space="preserve">eiligheidsregio’s </w:t>
            </w:r>
            <w:r w:rsidR="00944902">
              <w:rPr>
                <w:lang w:val="nl-NL"/>
              </w:rPr>
              <w:t>worden</w:t>
            </w:r>
            <w:r w:rsidRPr="001672ED" w:rsidR="0076257B">
              <w:rPr>
                <w:lang w:val="nl-NL"/>
              </w:rPr>
              <w:t xml:space="preserve"> </w:t>
            </w:r>
            <w:r>
              <w:rPr>
                <w:lang w:val="nl-NL"/>
              </w:rPr>
              <w:t xml:space="preserve">bestuurlijke </w:t>
            </w:r>
            <w:r w:rsidRPr="001672ED" w:rsidR="0076257B">
              <w:rPr>
                <w:lang w:val="nl-NL"/>
              </w:rPr>
              <w:t xml:space="preserve">afspraken worden aangegaan </w:t>
            </w:r>
            <w:r w:rsidR="00944902">
              <w:rPr>
                <w:lang w:val="nl-NL"/>
              </w:rPr>
              <w:t xml:space="preserve">over onder andere </w:t>
            </w:r>
            <w:r w:rsidRPr="001672ED" w:rsidR="0076257B">
              <w:rPr>
                <w:lang w:val="nl-NL"/>
              </w:rPr>
              <w:t>kaders, doelstellingen en wijze van verantwoording</w:t>
            </w:r>
            <w:r w:rsidR="00944902">
              <w:rPr>
                <w:lang w:val="nl-NL"/>
              </w:rPr>
              <w:t xml:space="preserve">. </w:t>
            </w:r>
            <w:r w:rsidRPr="001672ED" w:rsidR="008112C3">
              <w:rPr>
                <w:lang w:val="nl-NL"/>
              </w:rPr>
              <w:t>Daarnaast wordt er gebruik gemaakt van de huidige SISA-methode voor de financiële verantwoording</w:t>
            </w:r>
            <w:r w:rsidRPr="001672ED" w:rsidR="001533F0">
              <w:rPr>
                <w:lang w:val="nl-NL"/>
              </w:rPr>
              <w:t>.</w:t>
            </w:r>
          </w:p>
          <w:p w:rsidRPr="001672ED" w:rsidR="00C127C7" w:rsidP="001672ED" w:rsidRDefault="0076257B" w14:paraId="286D12C8" w14:textId="0823EE10">
            <w:pPr>
              <w:pStyle w:val="Lijstalinea"/>
              <w:numPr>
                <w:ilvl w:val="0"/>
                <w:numId w:val="7"/>
              </w:numPr>
              <w:autoSpaceDN w:val="0"/>
              <w:spacing w:line="240" w:lineRule="atLeast"/>
              <w:textAlignment w:val="baseline"/>
              <w:cnfStyle w:val="000000000000" w:firstRow="0" w:lastRow="0" w:firstColumn="0" w:lastColumn="0" w:oddVBand="0" w:evenVBand="0" w:oddHBand="0" w:evenHBand="0" w:firstRowFirstColumn="0" w:firstRowLastColumn="0" w:lastRowFirstColumn="0" w:lastRowLastColumn="0"/>
              <w:rPr>
                <w:u w:val="single"/>
                <w:lang w:val="nl-NL"/>
              </w:rPr>
            </w:pPr>
            <w:r w:rsidRPr="000F6339">
              <w:rPr>
                <w:u w:val="single"/>
                <w:lang w:val="nl-NL"/>
              </w:rPr>
              <w:t>Toezicht:</w:t>
            </w:r>
            <w:r w:rsidRPr="000F6339">
              <w:rPr>
                <w:lang w:val="nl-NL"/>
              </w:rPr>
              <w:t xml:space="preserve"> De Inspectie voor Justitie en Veiligheid beschikt over de taak om toezicht te houden op </w:t>
            </w:r>
            <w:r w:rsidRPr="000F6339" w:rsidR="00495415">
              <w:rPr>
                <w:lang w:val="nl-NL"/>
              </w:rPr>
              <w:t>de taakuitvoering van</w:t>
            </w:r>
            <w:r w:rsidRPr="000F6339">
              <w:rPr>
                <w:lang w:val="nl-NL"/>
              </w:rPr>
              <w:t xml:space="preserve"> de </w:t>
            </w:r>
            <w:r w:rsidRPr="000F6339" w:rsidR="00495415">
              <w:rPr>
                <w:lang w:val="nl-NL"/>
              </w:rPr>
              <w:t>v</w:t>
            </w:r>
            <w:r w:rsidRPr="000F6339">
              <w:rPr>
                <w:lang w:val="nl-NL"/>
              </w:rPr>
              <w:t>eiligheidsregio</w:t>
            </w:r>
            <w:r w:rsidRPr="000F6339" w:rsidR="00495415">
              <w:rPr>
                <w:lang w:val="nl-NL"/>
              </w:rPr>
              <w:t>’s</w:t>
            </w:r>
            <w:r w:rsidRPr="000F6339">
              <w:rPr>
                <w:lang w:val="nl-NL"/>
              </w:rPr>
              <w:t xml:space="preserve">. </w:t>
            </w:r>
          </w:p>
          <w:p w:rsidRPr="001672ED" w:rsidR="001672ED" w:rsidP="001672ED" w:rsidRDefault="001672ED" w14:paraId="43F9A7E4" w14:textId="519B55B1">
            <w:pPr>
              <w:pStyle w:val="Lijstalinea"/>
              <w:autoSpaceDN w:val="0"/>
              <w:spacing w:line="240" w:lineRule="atLeast"/>
              <w:textAlignment w:val="baseline"/>
              <w:cnfStyle w:val="000000000000" w:firstRow="0" w:lastRow="0" w:firstColumn="0" w:lastColumn="0" w:oddVBand="0" w:evenVBand="0" w:oddHBand="0" w:evenHBand="0" w:firstRowFirstColumn="0" w:firstRowLastColumn="0" w:lastRowFirstColumn="0" w:lastRowLastColumn="0"/>
              <w:rPr>
                <w:u w:val="single"/>
                <w:lang w:val="nl-NL"/>
              </w:rPr>
            </w:pPr>
          </w:p>
        </w:tc>
      </w:tr>
      <w:tr w:rsidR="0076257B" w:rsidTr="0076257B" w14:paraId="2D4EC052" w14:textId="77777777">
        <w:trPr>
          <w:trHeight w:val="1007"/>
        </w:trPr>
        <w:tc>
          <w:tcPr>
            <w:cnfStyle w:val="001000000000" w:firstRow="0" w:lastRow="0" w:firstColumn="1" w:lastColumn="0" w:oddVBand="0" w:evenVBand="0" w:oddHBand="0" w:evenHBand="0" w:firstRowFirstColumn="0" w:firstRowLastColumn="0" w:lastRowFirstColumn="0" w:lastRowLastColumn="0"/>
            <w:tcW w:w="2552" w:type="dxa"/>
            <w:shd w:val="clear" w:color="auto" w:fill="DEEAF6" w:themeFill="accent1" w:themeFillTint="33"/>
          </w:tcPr>
          <w:p w:rsidRPr="0076257B" w:rsidR="0076257B" w:rsidP="0076257B" w:rsidRDefault="0076257B" w14:paraId="3E0B05D4" w14:textId="75B84B17">
            <w:r w:rsidRPr="0076257B">
              <w:lastRenderedPageBreak/>
              <w:t>3.a. Financiële gevolgen voor het Rijk</w:t>
            </w:r>
          </w:p>
        </w:tc>
        <w:tc>
          <w:tcPr>
            <w:tcW w:w="7371" w:type="dxa"/>
          </w:tcPr>
          <w:p w:rsidR="0076257B" w:rsidP="0076257B" w:rsidRDefault="0076257B" w14:paraId="524DFE33" w14:textId="3EEB156B">
            <w:pPr>
              <w:cnfStyle w:val="000000000000" w:firstRow="0" w:lastRow="0" w:firstColumn="0" w:lastColumn="0" w:oddVBand="0" w:evenVBand="0" w:oddHBand="0" w:evenHBand="0" w:firstRowFirstColumn="0" w:firstRowLastColumn="0" w:lastRowFirstColumn="0" w:lastRowLastColumn="0"/>
            </w:pPr>
            <w:r>
              <w:t>Volgend uit de toezegging van de minister van JenV aan de Tweede Kamer in het commissiedebat</w:t>
            </w:r>
            <w:r w:rsidRPr="00D97471">
              <w:t xml:space="preserve"> Nationale veiligheid en </w:t>
            </w:r>
            <w:r>
              <w:t>W</w:t>
            </w:r>
            <w:r w:rsidRPr="00D97471">
              <w:t>eerbaarheid</w:t>
            </w:r>
            <w:r>
              <w:t xml:space="preserve"> van 15 mei jl., wordt in 2025 en 2026 een bedrag van 5 en respectievelijk 20 miljoen euro beschikbaar gesteld </w:t>
            </w:r>
            <w:r w:rsidRPr="00D97471">
              <w:t>om</w:t>
            </w:r>
            <w:r>
              <w:t xml:space="preserve"> </w:t>
            </w:r>
            <w:r w:rsidRPr="00D97471">
              <w:t>te kunnen starten met het inrichten van initiatieven voor de lokale en de regionale weerbaarheid</w:t>
            </w:r>
            <w:r>
              <w:t xml:space="preserve"> en versterking van veiligheidsregio’s gelet op hun rol bij regionale/lokale weerbaarheid. Deze middelen komen uit </w:t>
            </w:r>
            <w:r w:rsidR="008112C3">
              <w:t xml:space="preserve">een vervallen LPO reservering op JenV niveau. Dit heeft geen impact op de </w:t>
            </w:r>
            <w:proofErr w:type="spellStart"/>
            <w:r w:rsidR="008112C3">
              <w:t>rijksbrede</w:t>
            </w:r>
            <w:proofErr w:type="spellEnd"/>
            <w:r w:rsidR="008112C3">
              <w:t xml:space="preserve"> begroting.</w:t>
            </w:r>
          </w:p>
          <w:p w:rsidR="0076257B" w:rsidP="0076257B" w:rsidRDefault="0076257B" w14:paraId="151DC977" w14:textId="77777777">
            <w:pPr>
              <w:cnfStyle w:val="000000000000" w:firstRow="0" w:lastRow="0" w:firstColumn="0" w:lastColumn="0" w:oddVBand="0" w:evenVBand="0" w:oddHBand="0" w:evenHBand="0" w:firstRowFirstColumn="0" w:firstRowLastColumn="0" w:lastRowFirstColumn="0" w:lastRowLastColumn="0"/>
            </w:pPr>
          </w:p>
          <w:p w:rsidR="001533F0" w:rsidP="0076257B" w:rsidRDefault="0076257B" w14:paraId="40984B0B" w14:textId="65454A29">
            <w:pPr>
              <w:cnfStyle w:val="000000000000" w:firstRow="0" w:lastRow="0" w:firstColumn="0" w:lastColumn="0" w:oddVBand="0" w:evenVBand="0" w:oddHBand="0" w:evenHBand="0" w:firstRowFirstColumn="0" w:firstRowLastColumn="0" w:lastRowFirstColumn="0" w:lastRowLastColumn="0"/>
            </w:pPr>
            <w:r>
              <w:t>Vanaf 2027 loopt dit bedrag op tot 68 miljoen in 2030 e.v.</w:t>
            </w:r>
            <w:r w:rsidR="008112C3">
              <w:t xml:space="preserve"> De resterende middelen komen ten goede </w:t>
            </w:r>
            <w:r w:rsidR="001533F0">
              <w:t xml:space="preserve">van de NCTV. </w:t>
            </w:r>
            <w:r w:rsidR="00426E95">
              <w:t xml:space="preserve">De Tweede Kamer wordt hier middels een aparte onderbouwing over geïnformeerd. </w:t>
            </w:r>
          </w:p>
          <w:p w:rsidR="0076257B" w:rsidP="0076257B" w:rsidRDefault="0076257B" w14:paraId="572D8DAA" w14:textId="77777777">
            <w:pPr>
              <w:cnfStyle w:val="000000000000" w:firstRow="0" w:lastRow="0" w:firstColumn="0" w:lastColumn="0" w:oddVBand="0" w:evenVBand="0" w:oddHBand="0" w:evenHBand="0" w:firstRowFirstColumn="0" w:firstRowLastColumn="0" w:lastRowFirstColumn="0" w:lastRowLastColumn="0"/>
              <w:rPr>
                <w:i/>
                <w:iCs/>
              </w:rPr>
            </w:pPr>
          </w:p>
          <w:tbl>
            <w:tblPr>
              <w:tblStyle w:val="Tabelraster"/>
              <w:tblW w:w="73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bottom w:w="57" w:type="dxa"/>
              </w:tblCellMar>
              <w:tblLook w:val="04A0" w:firstRow="1" w:lastRow="0" w:firstColumn="1" w:lastColumn="0" w:noHBand="0" w:noVBand="1"/>
            </w:tblPr>
            <w:tblGrid>
              <w:gridCol w:w="2496"/>
              <w:gridCol w:w="798"/>
              <w:gridCol w:w="850"/>
              <w:gridCol w:w="849"/>
              <w:gridCol w:w="744"/>
              <w:gridCol w:w="815"/>
              <w:gridCol w:w="828"/>
            </w:tblGrid>
            <w:tr w:rsidR="0084491A" w:rsidTr="0084491A" w14:paraId="23EDFC4D" w14:textId="77777777">
              <w:trPr>
                <w:trHeight w:val="390"/>
              </w:trPr>
              <w:tc>
                <w:tcPr>
                  <w:tcW w:w="2497" w:type="dxa"/>
                </w:tcPr>
                <w:p w:rsidR="0084491A" w:rsidP="0084491A" w:rsidRDefault="0084491A" w14:paraId="79AC0B4B" w14:textId="39368E9E">
                  <w:pPr>
                    <w:rPr>
                      <w:lang w:val="en-US"/>
                    </w:rPr>
                  </w:pPr>
                  <w:proofErr w:type="spellStart"/>
                  <w:r w:rsidRPr="0084491A">
                    <w:rPr>
                      <w:sz w:val="14"/>
                      <w:szCs w:val="18"/>
                      <w:lang w:val="en-US"/>
                    </w:rPr>
                    <w:t>Bedragen</w:t>
                  </w:r>
                  <w:proofErr w:type="spellEnd"/>
                  <w:r w:rsidRPr="0084491A">
                    <w:rPr>
                      <w:sz w:val="14"/>
                      <w:szCs w:val="18"/>
                      <w:lang w:val="en-US"/>
                    </w:rPr>
                    <w:t xml:space="preserve"> x 1 </w:t>
                  </w:r>
                  <w:proofErr w:type="spellStart"/>
                  <w:r w:rsidRPr="0084491A">
                    <w:rPr>
                      <w:sz w:val="14"/>
                      <w:szCs w:val="18"/>
                      <w:lang w:val="en-US"/>
                    </w:rPr>
                    <w:t>mln</w:t>
                  </w:r>
                  <w:proofErr w:type="spellEnd"/>
                  <w:r w:rsidRPr="0084491A">
                    <w:rPr>
                      <w:sz w:val="14"/>
                      <w:szCs w:val="18"/>
                      <w:lang w:val="en-US"/>
                    </w:rPr>
                    <w:t>.</w:t>
                  </w:r>
                </w:p>
              </w:tc>
              <w:tc>
                <w:tcPr>
                  <w:tcW w:w="798" w:type="dxa"/>
                  <w:hideMark/>
                </w:tcPr>
                <w:p w:rsidR="0084491A" w:rsidP="0084491A" w:rsidRDefault="0084491A" w14:paraId="583A364E" w14:textId="77777777">
                  <w:pPr>
                    <w:rPr>
                      <w:b/>
                      <w:bCs/>
                      <w:lang w:val="en-US"/>
                    </w:rPr>
                  </w:pPr>
                  <w:r>
                    <w:rPr>
                      <w:b/>
                      <w:bCs/>
                      <w:lang w:val="en-US"/>
                    </w:rPr>
                    <w:t>2025</w:t>
                  </w:r>
                </w:p>
              </w:tc>
              <w:tc>
                <w:tcPr>
                  <w:tcW w:w="851" w:type="dxa"/>
                  <w:hideMark/>
                </w:tcPr>
                <w:p w:rsidR="0084491A" w:rsidP="0084491A" w:rsidRDefault="0084491A" w14:paraId="4C422421" w14:textId="77777777">
                  <w:pPr>
                    <w:rPr>
                      <w:b/>
                      <w:bCs/>
                      <w:lang w:val="en-US"/>
                    </w:rPr>
                  </w:pPr>
                  <w:r>
                    <w:rPr>
                      <w:b/>
                      <w:bCs/>
                      <w:lang w:val="en-US"/>
                    </w:rPr>
                    <w:t>2026</w:t>
                  </w:r>
                </w:p>
              </w:tc>
              <w:tc>
                <w:tcPr>
                  <w:tcW w:w="850" w:type="dxa"/>
                  <w:hideMark/>
                </w:tcPr>
                <w:p w:rsidR="0084491A" w:rsidP="0084491A" w:rsidRDefault="0084491A" w14:paraId="2070DF01" w14:textId="77777777">
                  <w:pPr>
                    <w:rPr>
                      <w:b/>
                      <w:bCs/>
                      <w:lang w:val="en-US"/>
                    </w:rPr>
                  </w:pPr>
                  <w:r>
                    <w:rPr>
                      <w:b/>
                      <w:bCs/>
                      <w:lang w:val="en-US"/>
                    </w:rPr>
                    <w:t xml:space="preserve">2027 </w:t>
                  </w:r>
                </w:p>
              </w:tc>
              <w:tc>
                <w:tcPr>
                  <w:tcW w:w="744" w:type="dxa"/>
                  <w:hideMark/>
                </w:tcPr>
                <w:p w:rsidR="0084491A" w:rsidP="0084491A" w:rsidRDefault="0084491A" w14:paraId="2527FB1D" w14:textId="77777777">
                  <w:pPr>
                    <w:rPr>
                      <w:b/>
                      <w:bCs/>
                      <w:lang w:val="en-US"/>
                    </w:rPr>
                  </w:pPr>
                  <w:r>
                    <w:rPr>
                      <w:b/>
                      <w:bCs/>
                      <w:lang w:val="en-US"/>
                    </w:rPr>
                    <w:t>2028</w:t>
                  </w:r>
                </w:p>
              </w:tc>
              <w:tc>
                <w:tcPr>
                  <w:tcW w:w="816" w:type="dxa"/>
                  <w:hideMark/>
                </w:tcPr>
                <w:p w:rsidR="0084491A" w:rsidP="0084491A" w:rsidRDefault="0084491A" w14:paraId="09D94189" w14:textId="77777777">
                  <w:pPr>
                    <w:rPr>
                      <w:b/>
                      <w:bCs/>
                      <w:lang w:val="en-US"/>
                    </w:rPr>
                  </w:pPr>
                  <w:r>
                    <w:rPr>
                      <w:b/>
                      <w:bCs/>
                      <w:lang w:val="en-US"/>
                    </w:rPr>
                    <w:t>2029</w:t>
                  </w:r>
                </w:p>
              </w:tc>
              <w:tc>
                <w:tcPr>
                  <w:tcW w:w="829" w:type="dxa"/>
                  <w:hideMark/>
                </w:tcPr>
                <w:p w:rsidR="0084491A" w:rsidP="0084491A" w:rsidRDefault="0084491A" w14:paraId="6EB3C882" w14:textId="77777777">
                  <w:pPr>
                    <w:rPr>
                      <w:b/>
                      <w:bCs/>
                      <w:lang w:val="en-US"/>
                    </w:rPr>
                  </w:pPr>
                  <w:r>
                    <w:rPr>
                      <w:b/>
                      <w:bCs/>
                      <w:lang w:val="en-US"/>
                    </w:rPr>
                    <w:t>2030</w:t>
                  </w:r>
                </w:p>
                <w:p w:rsidR="0084491A" w:rsidP="0084491A" w:rsidRDefault="0084491A" w14:paraId="022015B9" w14:textId="77777777">
                  <w:pPr>
                    <w:rPr>
                      <w:b/>
                      <w:bCs/>
                      <w:lang w:val="en-US"/>
                    </w:rPr>
                  </w:pPr>
                  <w:r>
                    <w:rPr>
                      <w:b/>
                      <w:bCs/>
                      <w:sz w:val="14"/>
                      <w:szCs w:val="14"/>
                      <w:lang w:val="en-US"/>
                    </w:rPr>
                    <w:t>Struct.</w:t>
                  </w:r>
                </w:p>
              </w:tc>
            </w:tr>
            <w:tr w:rsidR="0084491A" w:rsidTr="0084491A" w14:paraId="3E03E11B" w14:textId="77777777">
              <w:trPr>
                <w:trHeight w:val="443"/>
              </w:trPr>
              <w:tc>
                <w:tcPr>
                  <w:tcW w:w="2497" w:type="dxa"/>
                  <w:hideMark/>
                </w:tcPr>
                <w:p w:rsidR="0084491A" w:rsidP="0084491A" w:rsidRDefault="0084491A" w14:paraId="7BF4E240" w14:textId="6108E25E">
                  <w:pPr>
                    <w:rPr>
                      <w:lang w:val="en-US"/>
                    </w:rPr>
                  </w:pPr>
                  <w:proofErr w:type="spellStart"/>
                  <w:r>
                    <w:rPr>
                      <w:lang w:val="en-US"/>
                    </w:rPr>
                    <w:t>Noodsteunpunten</w:t>
                  </w:r>
                  <w:proofErr w:type="spellEnd"/>
                  <w:r>
                    <w:rPr>
                      <w:lang w:val="en-US"/>
                    </w:rPr>
                    <w:t xml:space="preserve"> &amp; </w:t>
                  </w:r>
                  <w:proofErr w:type="spellStart"/>
                  <w:r>
                    <w:rPr>
                      <w:lang w:val="en-US"/>
                    </w:rPr>
                    <w:t>Burgerhulpverlening</w:t>
                  </w:r>
                  <w:proofErr w:type="spellEnd"/>
                </w:p>
              </w:tc>
              <w:tc>
                <w:tcPr>
                  <w:tcW w:w="798" w:type="dxa"/>
                  <w:hideMark/>
                </w:tcPr>
                <w:p w:rsidR="0084491A" w:rsidP="0084491A" w:rsidRDefault="0084491A" w14:paraId="7C989EA4" w14:textId="77777777">
                  <w:pPr>
                    <w:rPr>
                      <w:lang w:val="en-US"/>
                    </w:rPr>
                  </w:pPr>
                  <w:r>
                    <w:rPr>
                      <w:lang w:val="en-US"/>
                    </w:rPr>
                    <w:t>5</w:t>
                  </w:r>
                </w:p>
              </w:tc>
              <w:tc>
                <w:tcPr>
                  <w:tcW w:w="851" w:type="dxa"/>
                  <w:hideMark/>
                </w:tcPr>
                <w:p w:rsidR="0084491A" w:rsidP="0084491A" w:rsidRDefault="0084491A" w14:paraId="060B0147" w14:textId="77777777">
                  <w:pPr>
                    <w:rPr>
                      <w:lang w:val="en-US"/>
                    </w:rPr>
                  </w:pPr>
                  <w:r>
                    <w:rPr>
                      <w:lang w:val="en-US"/>
                    </w:rPr>
                    <w:t>10</w:t>
                  </w:r>
                </w:p>
              </w:tc>
              <w:tc>
                <w:tcPr>
                  <w:tcW w:w="850" w:type="dxa"/>
                  <w:hideMark/>
                </w:tcPr>
                <w:p w:rsidR="0084491A" w:rsidP="0084491A" w:rsidRDefault="0084491A" w14:paraId="6F3CB278" w14:textId="77777777">
                  <w:pPr>
                    <w:rPr>
                      <w:lang w:val="en-US"/>
                    </w:rPr>
                  </w:pPr>
                  <w:r>
                    <w:rPr>
                      <w:lang w:val="en-US"/>
                    </w:rPr>
                    <w:t>35</w:t>
                  </w:r>
                </w:p>
              </w:tc>
              <w:tc>
                <w:tcPr>
                  <w:tcW w:w="744" w:type="dxa"/>
                  <w:hideMark/>
                </w:tcPr>
                <w:p w:rsidR="0084491A" w:rsidP="0084491A" w:rsidRDefault="0084491A" w14:paraId="06978FD9" w14:textId="77777777">
                  <w:pPr>
                    <w:rPr>
                      <w:lang w:val="en-US"/>
                    </w:rPr>
                  </w:pPr>
                  <w:r>
                    <w:rPr>
                      <w:lang w:val="en-US"/>
                    </w:rPr>
                    <w:t>35</w:t>
                  </w:r>
                </w:p>
              </w:tc>
              <w:tc>
                <w:tcPr>
                  <w:tcW w:w="816" w:type="dxa"/>
                  <w:hideMark/>
                </w:tcPr>
                <w:p w:rsidR="0084491A" w:rsidP="0084491A" w:rsidRDefault="0084491A" w14:paraId="7F761AD2" w14:textId="77777777">
                  <w:pPr>
                    <w:rPr>
                      <w:lang w:val="en-US"/>
                    </w:rPr>
                  </w:pPr>
                  <w:r>
                    <w:rPr>
                      <w:lang w:val="en-US"/>
                    </w:rPr>
                    <w:t>36</w:t>
                  </w:r>
                </w:p>
              </w:tc>
              <w:tc>
                <w:tcPr>
                  <w:tcW w:w="829" w:type="dxa"/>
                  <w:hideMark/>
                </w:tcPr>
                <w:p w:rsidR="0084491A" w:rsidP="0084491A" w:rsidRDefault="0084491A" w14:paraId="70EFE3D2" w14:textId="77777777">
                  <w:pPr>
                    <w:rPr>
                      <w:lang w:val="en-US"/>
                    </w:rPr>
                  </w:pPr>
                  <w:r>
                    <w:rPr>
                      <w:lang w:val="en-US"/>
                    </w:rPr>
                    <w:t>37</w:t>
                  </w:r>
                </w:p>
              </w:tc>
            </w:tr>
            <w:tr w:rsidR="0084491A" w:rsidTr="0084491A" w14:paraId="4AC80668" w14:textId="77777777">
              <w:trPr>
                <w:trHeight w:val="865"/>
              </w:trPr>
              <w:tc>
                <w:tcPr>
                  <w:tcW w:w="2497" w:type="dxa"/>
                  <w:hideMark/>
                </w:tcPr>
                <w:p w:rsidRPr="0084491A" w:rsidR="0084491A" w:rsidP="0084491A" w:rsidRDefault="0084491A" w14:paraId="35DF9F5A" w14:textId="167F8749">
                  <w:r w:rsidRPr="0084491A">
                    <w:t>Versterking veiligheidsregio’s t.b.v. lokale/regionale weerbaarheid</w:t>
                  </w:r>
                </w:p>
              </w:tc>
              <w:tc>
                <w:tcPr>
                  <w:tcW w:w="798" w:type="dxa"/>
                  <w:hideMark/>
                </w:tcPr>
                <w:p w:rsidR="0084491A" w:rsidP="0084491A" w:rsidRDefault="0084491A" w14:paraId="5EF111AA" w14:textId="77777777">
                  <w:pPr>
                    <w:rPr>
                      <w:lang w:val="en-US"/>
                    </w:rPr>
                  </w:pPr>
                  <w:r>
                    <w:rPr>
                      <w:lang w:val="en-US"/>
                    </w:rPr>
                    <w:t>0</w:t>
                  </w:r>
                </w:p>
              </w:tc>
              <w:tc>
                <w:tcPr>
                  <w:tcW w:w="851" w:type="dxa"/>
                  <w:hideMark/>
                </w:tcPr>
                <w:p w:rsidR="0084491A" w:rsidP="0084491A" w:rsidRDefault="0084491A" w14:paraId="613F9C05" w14:textId="77777777">
                  <w:pPr>
                    <w:rPr>
                      <w:lang w:val="en-US"/>
                    </w:rPr>
                  </w:pPr>
                  <w:r>
                    <w:rPr>
                      <w:lang w:val="en-US"/>
                    </w:rPr>
                    <w:t>8</w:t>
                  </w:r>
                </w:p>
              </w:tc>
              <w:tc>
                <w:tcPr>
                  <w:tcW w:w="850" w:type="dxa"/>
                  <w:hideMark/>
                </w:tcPr>
                <w:p w:rsidR="0084491A" w:rsidP="0084491A" w:rsidRDefault="0084491A" w14:paraId="60514FEB" w14:textId="77777777">
                  <w:pPr>
                    <w:rPr>
                      <w:lang w:val="en-US"/>
                    </w:rPr>
                  </w:pPr>
                  <w:r>
                    <w:rPr>
                      <w:lang w:val="en-US"/>
                    </w:rPr>
                    <w:t>25</w:t>
                  </w:r>
                </w:p>
              </w:tc>
              <w:tc>
                <w:tcPr>
                  <w:tcW w:w="744" w:type="dxa"/>
                  <w:hideMark/>
                </w:tcPr>
                <w:p w:rsidR="0084491A" w:rsidP="0084491A" w:rsidRDefault="0084491A" w14:paraId="2A73DDFD" w14:textId="77777777">
                  <w:pPr>
                    <w:rPr>
                      <w:lang w:val="en-US"/>
                    </w:rPr>
                  </w:pPr>
                  <w:r>
                    <w:rPr>
                      <w:lang w:val="en-US"/>
                    </w:rPr>
                    <w:t>25</w:t>
                  </w:r>
                </w:p>
              </w:tc>
              <w:tc>
                <w:tcPr>
                  <w:tcW w:w="816" w:type="dxa"/>
                  <w:hideMark/>
                </w:tcPr>
                <w:p w:rsidR="0084491A" w:rsidP="0084491A" w:rsidRDefault="0084491A" w14:paraId="3A17F0CD" w14:textId="77777777">
                  <w:pPr>
                    <w:rPr>
                      <w:lang w:val="en-US"/>
                    </w:rPr>
                  </w:pPr>
                  <w:r>
                    <w:rPr>
                      <w:lang w:val="en-US"/>
                    </w:rPr>
                    <w:t>25</w:t>
                  </w:r>
                </w:p>
              </w:tc>
              <w:tc>
                <w:tcPr>
                  <w:tcW w:w="829" w:type="dxa"/>
                  <w:hideMark/>
                </w:tcPr>
                <w:p w:rsidR="0084491A" w:rsidP="0084491A" w:rsidRDefault="0084491A" w14:paraId="437DC3A9" w14:textId="77777777">
                  <w:pPr>
                    <w:rPr>
                      <w:lang w:val="en-US"/>
                    </w:rPr>
                  </w:pPr>
                  <w:r>
                    <w:rPr>
                      <w:lang w:val="en-US"/>
                    </w:rPr>
                    <w:t>25</w:t>
                  </w:r>
                </w:p>
              </w:tc>
            </w:tr>
            <w:tr w:rsidR="0084491A" w:rsidTr="0084491A" w14:paraId="49969C2F" w14:textId="77777777">
              <w:trPr>
                <w:trHeight w:val="653"/>
              </w:trPr>
              <w:tc>
                <w:tcPr>
                  <w:tcW w:w="2497" w:type="dxa"/>
                  <w:hideMark/>
                </w:tcPr>
                <w:p w:rsidR="0084491A" w:rsidP="0084491A" w:rsidRDefault="0084491A" w14:paraId="76AA9FB7" w14:textId="47BE9192">
                  <w:pPr>
                    <w:rPr>
                      <w:lang w:val="en-US"/>
                    </w:rPr>
                  </w:pPr>
                  <w:proofErr w:type="spellStart"/>
                  <w:r>
                    <w:rPr>
                      <w:lang w:val="en-US"/>
                    </w:rPr>
                    <w:t>Versterking</w:t>
                  </w:r>
                  <w:proofErr w:type="spellEnd"/>
                  <w:r>
                    <w:rPr>
                      <w:lang w:val="en-US"/>
                    </w:rPr>
                    <w:t xml:space="preserve"> </w:t>
                  </w:r>
                  <w:proofErr w:type="spellStart"/>
                  <w:r>
                    <w:rPr>
                      <w:lang w:val="en-US"/>
                    </w:rPr>
                    <w:t>Maatschappelijk</w:t>
                  </w:r>
                  <w:proofErr w:type="spellEnd"/>
                  <w:r>
                    <w:rPr>
                      <w:lang w:val="en-US"/>
                    </w:rPr>
                    <w:t xml:space="preserve"> </w:t>
                  </w:r>
                  <w:proofErr w:type="spellStart"/>
                  <w:r>
                    <w:rPr>
                      <w:lang w:val="en-US"/>
                    </w:rPr>
                    <w:t>middenveld</w:t>
                  </w:r>
                  <w:proofErr w:type="spellEnd"/>
                </w:p>
              </w:tc>
              <w:tc>
                <w:tcPr>
                  <w:tcW w:w="798" w:type="dxa"/>
                  <w:hideMark/>
                </w:tcPr>
                <w:p w:rsidR="0084491A" w:rsidP="0084491A" w:rsidRDefault="0084491A" w14:paraId="0ABE2AD1" w14:textId="77777777">
                  <w:pPr>
                    <w:rPr>
                      <w:lang w:val="en-US"/>
                    </w:rPr>
                  </w:pPr>
                  <w:r>
                    <w:rPr>
                      <w:lang w:val="en-US"/>
                    </w:rPr>
                    <w:t>0</w:t>
                  </w:r>
                </w:p>
              </w:tc>
              <w:tc>
                <w:tcPr>
                  <w:tcW w:w="851" w:type="dxa"/>
                  <w:hideMark/>
                </w:tcPr>
                <w:p w:rsidR="0084491A" w:rsidP="0084491A" w:rsidRDefault="0084491A" w14:paraId="3C7D46CD" w14:textId="77777777">
                  <w:pPr>
                    <w:rPr>
                      <w:lang w:val="en-US"/>
                    </w:rPr>
                  </w:pPr>
                  <w:r>
                    <w:rPr>
                      <w:lang w:val="en-US"/>
                    </w:rPr>
                    <w:t>1.5</w:t>
                  </w:r>
                </w:p>
              </w:tc>
              <w:tc>
                <w:tcPr>
                  <w:tcW w:w="850" w:type="dxa"/>
                  <w:hideMark/>
                </w:tcPr>
                <w:p w:rsidR="0084491A" w:rsidP="0084491A" w:rsidRDefault="0084491A" w14:paraId="2D120D20" w14:textId="77777777">
                  <w:pPr>
                    <w:rPr>
                      <w:lang w:val="en-US"/>
                    </w:rPr>
                  </w:pPr>
                  <w:r>
                    <w:rPr>
                      <w:lang w:val="en-US"/>
                    </w:rPr>
                    <w:t>4</w:t>
                  </w:r>
                </w:p>
              </w:tc>
              <w:tc>
                <w:tcPr>
                  <w:tcW w:w="744" w:type="dxa"/>
                  <w:hideMark/>
                </w:tcPr>
                <w:p w:rsidR="0084491A" w:rsidP="0084491A" w:rsidRDefault="0084491A" w14:paraId="288E589F" w14:textId="77777777">
                  <w:pPr>
                    <w:rPr>
                      <w:lang w:val="en-US"/>
                    </w:rPr>
                  </w:pPr>
                  <w:r>
                    <w:rPr>
                      <w:lang w:val="en-US"/>
                    </w:rPr>
                    <w:t>4</w:t>
                  </w:r>
                </w:p>
              </w:tc>
              <w:tc>
                <w:tcPr>
                  <w:tcW w:w="816" w:type="dxa"/>
                  <w:hideMark/>
                </w:tcPr>
                <w:p w:rsidR="0084491A" w:rsidP="0084491A" w:rsidRDefault="0084491A" w14:paraId="77EA96FD" w14:textId="77777777">
                  <w:pPr>
                    <w:rPr>
                      <w:lang w:val="en-US"/>
                    </w:rPr>
                  </w:pPr>
                  <w:r>
                    <w:rPr>
                      <w:lang w:val="en-US"/>
                    </w:rPr>
                    <w:t>4.5</w:t>
                  </w:r>
                </w:p>
              </w:tc>
              <w:tc>
                <w:tcPr>
                  <w:tcW w:w="829" w:type="dxa"/>
                  <w:hideMark/>
                </w:tcPr>
                <w:p w:rsidR="0084491A" w:rsidP="0084491A" w:rsidRDefault="0084491A" w14:paraId="7DAF4FD5" w14:textId="77777777">
                  <w:pPr>
                    <w:rPr>
                      <w:lang w:val="en-US"/>
                    </w:rPr>
                  </w:pPr>
                  <w:r>
                    <w:rPr>
                      <w:lang w:val="en-US"/>
                    </w:rPr>
                    <w:t>5</w:t>
                  </w:r>
                </w:p>
              </w:tc>
            </w:tr>
            <w:tr w:rsidR="0084491A" w:rsidTr="0084491A" w14:paraId="37D22B86" w14:textId="77777777">
              <w:trPr>
                <w:trHeight w:val="433"/>
              </w:trPr>
              <w:tc>
                <w:tcPr>
                  <w:tcW w:w="2497" w:type="dxa"/>
                  <w:hideMark/>
                </w:tcPr>
                <w:p w:rsidRPr="0084491A" w:rsidR="0084491A" w:rsidP="0084491A" w:rsidRDefault="0084491A" w14:paraId="31F29004" w14:textId="52164A54">
                  <w:r w:rsidRPr="0084491A">
                    <w:t>Capaciteit, onderzoek en evaluatie</w:t>
                  </w:r>
                </w:p>
              </w:tc>
              <w:tc>
                <w:tcPr>
                  <w:tcW w:w="798" w:type="dxa"/>
                  <w:hideMark/>
                </w:tcPr>
                <w:p w:rsidR="0084491A" w:rsidP="0084491A" w:rsidRDefault="0084491A" w14:paraId="418BB43B" w14:textId="77777777">
                  <w:pPr>
                    <w:rPr>
                      <w:lang w:val="en-US"/>
                    </w:rPr>
                  </w:pPr>
                  <w:r>
                    <w:rPr>
                      <w:lang w:val="en-US"/>
                    </w:rPr>
                    <w:t>0</w:t>
                  </w:r>
                </w:p>
              </w:tc>
              <w:tc>
                <w:tcPr>
                  <w:tcW w:w="851" w:type="dxa"/>
                  <w:hideMark/>
                </w:tcPr>
                <w:p w:rsidR="0084491A" w:rsidP="0084491A" w:rsidRDefault="0084491A" w14:paraId="278E1FEA" w14:textId="77777777">
                  <w:pPr>
                    <w:rPr>
                      <w:lang w:val="en-US"/>
                    </w:rPr>
                  </w:pPr>
                  <w:r>
                    <w:rPr>
                      <w:lang w:val="en-US"/>
                    </w:rPr>
                    <w:t>0.5</w:t>
                  </w:r>
                </w:p>
              </w:tc>
              <w:tc>
                <w:tcPr>
                  <w:tcW w:w="850" w:type="dxa"/>
                  <w:hideMark/>
                </w:tcPr>
                <w:p w:rsidR="0084491A" w:rsidP="0084491A" w:rsidRDefault="0084491A" w14:paraId="126B1DBE" w14:textId="77777777">
                  <w:pPr>
                    <w:rPr>
                      <w:lang w:val="en-US"/>
                    </w:rPr>
                  </w:pPr>
                  <w:r>
                    <w:rPr>
                      <w:lang w:val="en-US"/>
                    </w:rPr>
                    <w:t>1</w:t>
                  </w:r>
                </w:p>
              </w:tc>
              <w:tc>
                <w:tcPr>
                  <w:tcW w:w="744" w:type="dxa"/>
                  <w:hideMark/>
                </w:tcPr>
                <w:p w:rsidR="0084491A" w:rsidP="0084491A" w:rsidRDefault="0084491A" w14:paraId="3260AB4F" w14:textId="77777777">
                  <w:pPr>
                    <w:rPr>
                      <w:lang w:val="en-US"/>
                    </w:rPr>
                  </w:pPr>
                  <w:r>
                    <w:rPr>
                      <w:lang w:val="en-US"/>
                    </w:rPr>
                    <w:t>1</w:t>
                  </w:r>
                </w:p>
              </w:tc>
              <w:tc>
                <w:tcPr>
                  <w:tcW w:w="816" w:type="dxa"/>
                  <w:hideMark/>
                </w:tcPr>
                <w:p w:rsidR="0084491A" w:rsidP="0084491A" w:rsidRDefault="0084491A" w14:paraId="4198D2C3" w14:textId="77777777">
                  <w:pPr>
                    <w:rPr>
                      <w:lang w:val="en-US"/>
                    </w:rPr>
                  </w:pPr>
                  <w:r>
                    <w:rPr>
                      <w:lang w:val="en-US"/>
                    </w:rPr>
                    <w:t>1</w:t>
                  </w:r>
                </w:p>
              </w:tc>
              <w:tc>
                <w:tcPr>
                  <w:tcW w:w="829" w:type="dxa"/>
                  <w:hideMark/>
                </w:tcPr>
                <w:p w:rsidR="0084491A" w:rsidP="0084491A" w:rsidRDefault="0084491A" w14:paraId="1EDA4D3F" w14:textId="77777777">
                  <w:pPr>
                    <w:rPr>
                      <w:lang w:val="en-US"/>
                    </w:rPr>
                  </w:pPr>
                  <w:r>
                    <w:rPr>
                      <w:lang w:val="en-US"/>
                    </w:rPr>
                    <w:t>1</w:t>
                  </w:r>
                </w:p>
              </w:tc>
            </w:tr>
            <w:tr w:rsidR="0084491A" w:rsidTr="0084491A" w14:paraId="4D813312" w14:textId="77777777">
              <w:trPr>
                <w:trHeight w:val="221"/>
              </w:trPr>
              <w:tc>
                <w:tcPr>
                  <w:tcW w:w="2497" w:type="dxa"/>
                  <w:hideMark/>
                </w:tcPr>
                <w:p w:rsidR="0084491A" w:rsidP="0084491A" w:rsidRDefault="0084491A" w14:paraId="14DC9204" w14:textId="77777777">
                  <w:pPr>
                    <w:rPr>
                      <w:b/>
                      <w:bCs/>
                      <w:lang w:val="en-US"/>
                    </w:rPr>
                  </w:pPr>
                  <w:proofErr w:type="spellStart"/>
                  <w:r>
                    <w:rPr>
                      <w:b/>
                      <w:bCs/>
                      <w:lang w:val="en-US"/>
                    </w:rPr>
                    <w:t>Totaal</w:t>
                  </w:r>
                  <w:proofErr w:type="spellEnd"/>
                  <w:r>
                    <w:rPr>
                      <w:b/>
                      <w:bCs/>
                      <w:lang w:val="en-US"/>
                    </w:rPr>
                    <w:t xml:space="preserve"> </w:t>
                  </w:r>
                </w:p>
              </w:tc>
              <w:tc>
                <w:tcPr>
                  <w:tcW w:w="798" w:type="dxa"/>
                  <w:hideMark/>
                </w:tcPr>
                <w:p w:rsidR="0084491A" w:rsidP="0084491A" w:rsidRDefault="0084491A" w14:paraId="6CDA713A" w14:textId="77777777">
                  <w:pPr>
                    <w:rPr>
                      <w:b/>
                      <w:bCs/>
                      <w:lang w:val="en-US"/>
                    </w:rPr>
                  </w:pPr>
                  <w:r>
                    <w:rPr>
                      <w:b/>
                      <w:bCs/>
                      <w:lang w:val="en-US"/>
                    </w:rPr>
                    <w:t>5</w:t>
                  </w:r>
                </w:p>
              </w:tc>
              <w:tc>
                <w:tcPr>
                  <w:tcW w:w="851" w:type="dxa"/>
                  <w:hideMark/>
                </w:tcPr>
                <w:p w:rsidR="0084491A" w:rsidP="0084491A" w:rsidRDefault="0084491A" w14:paraId="1336ACBE" w14:textId="77777777">
                  <w:pPr>
                    <w:rPr>
                      <w:b/>
                      <w:bCs/>
                      <w:lang w:val="en-US"/>
                    </w:rPr>
                  </w:pPr>
                  <w:r>
                    <w:rPr>
                      <w:b/>
                      <w:bCs/>
                      <w:lang w:val="en-US"/>
                    </w:rPr>
                    <w:t>20</w:t>
                  </w:r>
                </w:p>
              </w:tc>
              <w:tc>
                <w:tcPr>
                  <w:tcW w:w="850" w:type="dxa"/>
                  <w:hideMark/>
                </w:tcPr>
                <w:p w:rsidR="0084491A" w:rsidP="0084491A" w:rsidRDefault="0084491A" w14:paraId="338DB371" w14:textId="77777777">
                  <w:pPr>
                    <w:rPr>
                      <w:b/>
                      <w:bCs/>
                      <w:lang w:val="en-US"/>
                    </w:rPr>
                  </w:pPr>
                  <w:r>
                    <w:rPr>
                      <w:b/>
                      <w:bCs/>
                      <w:lang w:val="en-US"/>
                    </w:rPr>
                    <w:t>65</w:t>
                  </w:r>
                </w:p>
              </w:tc>
              <w:tc>
                <w:tcPr>
                  <w:tcW w:w="744" w:type="dxa"/>
                  <w:hideMark/>
                </w:tcPr>
                <w:p w:rsidR="0084491A" w:rsidP="0084491A" w:rsidRDefault="0084491A" w14:paraId="5E29B54A" w14:textId="77777777">
                  <w:pPr>
                    <w:rPr>
                      <w:b/>
                      <w:bCs/>
                      <w:lang w:val="en-US"/>
                    </w:rPr>
                  </w:pPr>
                  <w:r>
                    <w:rPr>
                      <w:b/>
                      <w:bCs/>
                      <w:lang w:val="en-US"/>
                    </w:rPr>
                    <w:t>65</w:t>
                  </w:r>
                </w:p>
              </w:tc>
              <w:tc>
                <w:tcPr>
                  <w:tcW w:w="816" w:type="dxa"/>
                  <w:hideMark/>
                </w:tcPr>
                <w:p w:rsidR="0084491A" w:rsidP="0084491A" w:rsidRDefault="0084491A" w14:paraId="011CBD6A" w14:textId="77777777">
                  <w:pPr>
                    <w:rPr>
                      <w:b/>
                      <w:bCs/>
                      <w:lang w:val="en-US"/>
                    </w:rPr>
                  </w:pPr>
                  <w:r>
                    <w:rPr>
                      <w:b/>
                      <w:bCs/>
                      <w:lang w:val="en-US"/>
                    </w:rPr>
                    <w:t>66.5</w:t>
                  </w:r>
                </w:p>
              </w:tc>
              <w:tc>
                <w:tcPr>
                  <w:tcW w:w="829" w:type="dxa"/>
                  <w:hideMark/>
                </w:tcPr>
                <w:p w:rsidR="0084491A" w:rsidP="0084491A" w:rsidRDefault="0084491A" w14:paraId="469B43B4" w14:textId="77777777">
                  <w:pPr>
                    <w:rPr>
                      <w:b/>
                      <w:bCs/>
                      <w:lang w:val="en-US"/>
                    </w:rPr>
                  </w:pPr>
                  <w:r>
                    <w:rPr>
                      <w:b/>
                      <w:bCs/>
                      <w:lang w:val="en-US"/>
                    </w:rPr>
                    <w:t>68</w:t>
                  </w:r>
                </w:p>
              </w:tc>
            </w:tr>
          </w:tbl>
          <w:p w:rsidRPr="0076257B" w:rsidR="0076257B" w:rsidP="0076257B" w:rsidRDefault="0076257B" w14:paraId="47EB6A03" w14:textId="59EED19F">
            <w:pPr>
              <w:cnfStyle w:val="000000000000" w:firstRow="0" w:lastRow="0" w:firstColumn="0" w:lastColumn="0" w:oddVBand="0" w:evenVBand="0" w:oddHBand="0" w:evenHBand="0" w:firstRowFirstColumn="0" w:firstRowLastColumn="0" w:lastRowFirstColumn="0" w:lastRowLastColumn="0"/>
              <w:rPr>
                <w:i/>
                <w:iCs/>
              </w:rPr>
            </w:pPr>
            <w:r>
              <w:rPr>
                <w:i/>
                <w:iCs/>
              </w:rPr>
              <w:t xml:space="preserve"> </w:t>
            </w:r>
          </w:p>
        </w:tc>
      </w:tr>
      <w:tr w:rsidR="0076257B" w:rsidTr="0076257B" w14:paraId="7D6A1EB5" w14:textId="77777777">
        <w:trPr>
          <w:trHeight w:val="917"/>
        </w:trPr>
        <w:tc>
          <w:tcPr>
            <w:cnfStyle w:val="001000000000" w:firstRow="0" w:lastRow="0" w:firstColumn="1" w:lastColumn="0" w:oddVBand="0" w:evenVBand="0" w:oddHBand="0" w:evenHBand="0" w:firstRowFirstColumn="0" w:firstRowLastColumn="0" w:lastRowFirstColumn="0" w:lastRowLastColumn="0"/>
            <w:tcW w:w="2552" w:type="dxa"/>
            <w:shd w:val="clear" w:color="auto" w:fill="DEEAF6" w:themeFill="accent1" w:themeFillTint="33"/>
          </w:tcPr>
          <w:p w:rsidRPr="0076257B" w:rsidR="0076257B" w:rsidP="0076257B" w:rsidRDefault="0076257B" w14:paraId="4134CB5A" w14:textId="3B4C35CA">
            <w:r w:rsidRPr="0076257B">
              <w:t>3.b. Financiële gevolgen voor maatschappelijke sectoren</w:t>
            </w:r>
          </w:p>
        </w:tc>
        <w:tc>
          <w:tcPr>
            <w:tcW w:w="7371" w:type="dxa"/>
          </w:tcPr>
          <w:p w:rsidRPr="0076257B" w:rsidR="0076257B" w:rsidP="0076257B" w:rsidRDefault="0076257B" w14:paraId="08870695" w14:textId="77777777">
            <w:pPr>
              <w:cnfStyle w:val="000000000000" w:firstRow="0" w:lastRow="0" w:firstColumn="0" w:lastColumn="0" w:oddVBand="0" w:evenVBand="0" w:oddHBand="0" w:evenHBand="0" w:firstRowFirstColumn="0" w:firstRowLastColumn="0" w:lastRowFirstColumn="0" w:lastRowLastColumn="0"/>
              <w:rPr>
                <w:b/>
                <w:bCs/>
              </w:rPr>
            </w:pPr>
            <w:r w:rsidRPr="0076257B">
              <w:rPr>
                <w:b/>
                <w:bCs/>
              </w:rPr>
              <w:t>Welke financiële gevolgen heeft het voorstel voor maatschappelijke sectoren (als van toepassing)?</w:t>
            </w:r>
          </w:p>
          <w:p w:rsidRPr="0076257B" w:rsidR="0076257B" w:rsidP="0076257B" w:rsidRDefault="0076257B" w14:paraId="087B48E7" w14:textId="77777777">
            <w:pPr>
              <w:cnfStyle w:val="000000000000" w:firstRow="0" w:lastRow="0" w:firstColumn="0" w:lastColumn="0" w:oddVBand="0" w:evenVBand="0" w:oddHBand="0" w:evenHBand="0" w:firstRowFirstColumn="0" w:firstRowLastColumn="0" w:lastRowFirstColumn="0" w:lastRowLastColumn="0"/>
            </w:pPr>
          </w:p>
          <w:p w:rsidR="001672ED" w:rsidP="0076257B" w:rsidRDefault="0076257B" w14:paraId="1F6EB11C" w14:textId="77777777">
            <w:pPr>
              <w:cnfStyle w:val="000000000000" w:firstRow="0" w:lastRow="0" w:firstColumn="0" w:lastColumn="0" w:oddVBand="0" w:evenVBand="0" w:oddHBand="0" w:evenHBand="0" w:firstRowFirstColumn="0" w:firstRowLastColumn="0" w:lastRowFirstColumn="0" w:lastRowLastColumn="0"/>
              <w:rPr>
                <w:i/>
                <w:iCs/>
              </w:rPr>
            </w:pPr>
            <w:r w:rsidRPr="0076257B">
              <w:rPr>
                <w:i/>
                <w:iCs/>
              </w:rPr>
              <w:t>n.v.t.</w:t>
            </w:r>
          </w:p>
          <w:p w:rsidRPr="0076257B" w:rsidR="001672ED" w:rsidP="0076257B" w:rsidRDefault="001672ED" w14:paraId="216A1310" w14:textId="4D5A86C2">
            <w:pPr>
              <w:cnfStyle w:val="000000000000" w:firstRow="0" w:lastRow="0" w:firstColumn="0" w:lastColumn="0" w:oddVBand="0" w:evenVBand="0" w:oddHBand="0" w:evenHBand="0" w:firstRowFirstColumn="0" w:firstRowLastColumn="0" w:lastRowFirstColumn="0" w:lastRowLastColumn="0"/>
              <w:rPr>
                <w:i/>
                <w:iCs/>
              </w:rPr>
            </w:pPr>
          </w:p>
        </w:tc>
      </w:tr>
      <w:tr w:rsidR="0076257B" w:rsidTr="0076257B" w14:paraId="097E3F72" w14:textId="77777777">
        <w:trPr>
          <w:trHeight w:val="1007"/>
        </w:trPr>
        <w:tc>
          <w:tcPr>
            <w:cnfStyle w:val="001000000000" w:firstRow="0" w:lastRow="0" w:firstColumn="1" w:lastColumn="0" w:oddVBand="0" w:evenVBand="0" w:oddHBand="0" w:evenHBand="0" w:firstRowFirstColumn="0" w:firstRowLastColumn="0" w:lastRowFirstColumn="0" w:lastRowLastColumn="0"/>
            <w:tcW w:w="2552" w:type="dxa"/>
            <w:shd w:val="clear" w:color="auto" w:fill="DEEAF6" w:themeFill="accent1" w:themeFillTint="33"/>
          </w:tcPr>
          <w:p w:rsidRPr="0076257B" w:rsidR="0076257B" w:rsidP="0076257B" w:rsidRDefault="0076257B" w14:paraId="6B28F40C" w14:textId="77777777">
            <w:r w:rsidRPr="0076257B">
              <w:t>4. Nagestreefde doeltreffendheid</w:t>
            </w:r>
          </w:p>
        </w:tc>
        <w:tc>
          <w:tcPr>
            <w:tcW w:w="7371" w:type="dxa"/>
          </w:tcPr>
          <w:p w:rsidRPr="0076257B" w:rsidR="0076257B" w:rsidP="0076257B" w:rsidRDefault="0076257B" w14:paraId="5CABA4E7" w14:textId="77777777">
            <w:pPr>
              <w:cnfStyle w:val="000000000000" w:firstRow="0" w:lastRow="0" w:firstColumn="0" w:lastColumn="0" w:oddVBand="0" w:evenVBand="0" w:oddHBand="0" w:evenHBand="0" w:firstRowFirstColumn="0" w:firstRowLastColumn="0" w:lastRowFirstColumn="0" w:lastRowLastColumn="0"/>
              <w:rPr>
                <w:b/>
                <w:bCs/>
              </w:rPr>
            </w:pPr>
            <w:r w:rsidRPr="0076257B">
              <w:rPr>
                <w:b/>
                <w:bCs/>
              </w:rPr>
              <w:t>Op welke wijze en in welke mate wordt verwacht dat het beleidsinstrumentarium gaat bijdragen aan de beoogde prestaties en effecten? (beknopte beleidstheorie)</w:t>
            </w:r>
          </w:p>
          <w:p w:rsidRPr="0076257B" w:rsidR="0076257B" w:rsidP="0076257B" w:rsidRDefault="0076257B" w14:paraId="73BC6F04" w14:textId="77777777">
            <w:pPr>
              <w:cnfStyle w:val="000000000000" w:firstRow="0" w:lastRow="0" w:firstColumn="0" w:lastColumn="0" w:oddVBand="0" w:evenVBand="0" w:oddHBand="0" w:evenHBand="0" w:firstRowFirstColumn="0" w:firstRowLastColumn="0" w:lastRowFirstColumn="0" w:lastRowLastColumn="0"/>
            </w:pPr>
          </w:p>
          <w:p w:rsidRPr="008A444D" w:rsidR="00557BFA" w:rsidP="008F04CC" w:rsidRDefault="00557BFA" w14:paraId="35AEF733" w14:textId="5C5B4FC6">
            <w:pPr>
              <w:cnfStyle w:val="000000000000" w:firstRow="0" w:lastRow="0" w:firstColumn="0" w:lastColumn="0" w:oddVBand="0" w:evenVBand="0" w:oddHBand="0" w:evenHBand="0" w:firstRowFirstColumn="0" w:firstRowLastColumn="0" w:lastRowFirstColumn="0" w:lastRowLastColumn="0"/>
              <w:rPr>
                <w:b/>
                <w:bCs/>
                <w:szCs w:val="18"/>
              </w:rPr>
            </w:pPr>
            <w:r w:rsidRPr="008A444D">
              <w:rPr>
                <w:b/>
                <w:bCs/>
                <w:szCs w:val="18"/>
              </w:rPr>
              <w:t>Lokale toegang tot diverse basisvoorzieningen, informatie en ondersteuning</w:t>
            </w:r>
          </w:p>
          <w:p w:rsidR="00E50705" w:rsidP="008F04CC" w:rsidRDefault="008F04CC" w14:paraId="68AF3989" w14:textId="65EED8EA">
            <w:pPr>
              <w:cnfStyle w:val="000000000000" w:firstRow="0" w:lastRow="0" w:firstColumn="0" w:lastColumn="0" w:oddVBand="0" w:evenVBand="0" w:oddHBand="0" w:evenHBand="0" w:firstRowFirstColumn="0" w:firstRowLastColumn="0" w:lastRowFirstColumn="0" w:lastRowLastColumn="0"/>
              <w:rPr>
                <w:szCs w:val="18"/>
              </w:rPr>
            </w:pPr>
            <w:r>
              <w:rPr>
                <w:szCs w:val="18"/>
              </w:rPr>
              <w:t>Door</w:t>
            </w:r>
            <w:r w:rsidRPr="008F04CC">
              <w:rPr>
                <w:szCs w:val="18"/>
              </w:rPr>
              <w:t xml:space="preserve"> concrete punten aan</w:t>
            </w:r>
            <w:r>
              <w:rPr>
                <w:szCs w:val="18"/>
              </w:rPr>
              <w:t xml:space="preserve"> t</w:t>
            </w:r>
            <w:r w:rsidRPr="008F04CC">
              <w:rPr>
                <w:szCs w:val="18"/>
              </w:rPr>
              <w:t>e</w:t>
            </w:r>
            <w:r>
              <w:rPr>
                <w:szCs w:val="18"/>
              </w:rPr>
              <w:t xml:space="preserve"> </w:t>
            </w:r>
            <w:r w:rsidRPr="008F04CC">
              <w:rPr>
                <w:szCs w:val="18"/>
              </w:rPr>
              <w:t>w</w:t>
            </w:r>
            <w:r>
              <w:rPr>
                <w:szCs w:val="18"/>
              </w:rPr>
              <w:t>ij</w:t>
            </w:r>
            <w:r w:rsidRPr="008F04CC">
              <w:rPr>
                <w:szCs w:val="18"/>
              </w:rPr>
              <w:t>zen in wijken waar mensen bij grote rampen, crises of dreiging naartoe kunnen</w:t>
            </w:r>
            <w:r>
              <w:rPr>
                <w:szCs w:val="18"/>
              </w:rPr>
              <w:t xml:space="preserve">, bieden we een </w:t>
            </w:r>
            <w:r w:rsidRPr="008F04CC">
              <w:rPr>
                <w:szCs w:val="18"/>
              </w:rPr>
              <w:t>plek waar mensen naartoe kunnen als ze informatie en/of hulp nodig hebben</w:t>
            </w:r>
            <w:r w:rsidR="00082B9A">
              <w:rPr>
                <w:szCs w:val="18"/>
              </w:rPr>
              <w:t xml:space="preserve">. </w:t>
            </w:r>
            <w:r w:rsidRPr="008F04CC">
              <w:rPr>
                <w:szCs w:val="18"/>
              </w:rPr>
              <w:t xml:space="preserve">Van belang is dat de noodsteunpunten worden opgezet op bekende fysieke locaties, zeker vanwege huidige dreigingen waarbij uitval van vitale infrastructuur, zoals elektriciteit (en daarmee ook mobiele verbindingen) kan voorkomen. </w:t>
            </w:r>
          </w:p>
          <w:p w:rsidRPr="008A444D" w:rsidR="000F5744" w:rsidP="008F04CC" w:rsidRDefault="000F5744" w14:paraId="7217983E" w14:textId="77777777">
            <w:pPr>
              <w:cnfStyle w:val="000000000000" w:firstRow="0" w:lastRow="0" w:firstColumn="0" w:lastColumn="0" w:oddVBand="0" w:evenVBand="0" w:oddHBand="0" w:evenHBand="0" w:firstRowFirstColumn="0" w:firstRowLastColumn="0" w:lastRowFirstColumn="0" w:lastRowLastColumn="0"/>
              <w:rPr>
                <w:b/>
                <w:bCs/>
                <w:szCs w:val="18"/>
              </w:rPr>
            </w:pPr>
          </w:p>
          <w:p w:rsidRPr="008A444D" w:rsidR="004B663D" w:rsidP="008F04CC" w:rsidRDefault="004B663D" w14:paraId="5C4E4CC8" w14:textId="55F7BFD2">
            <w:pPr>
              <w:cnfStyle w:val="000000000000" w:firstRow="0" w:lastRow="0" w:firstColumn="0" w:lastColumn="0" w:oddVBand="0" w:evenVBand="0" w:oddHBand="0" w:evenHBand="0" w:firstRowFirstColumn="0" w:firstRowLastColumn="0" w:lastRowFirstColumn="0" w:lastRowLastColumn="0"/>
              <w:rPr>
                <w:b/>
                <w:bCs/>
                <w:szCs w:val="18"/>
              </w:rPr>
            </w:pPr>
            <w:r w:rsidRPr="008A444D">
              <w:rPr>
                <w:b/>
                <w:bCs/>
                <w:szCs w:val="18"/>
              </w:rPr>
              <w:t>Algemeen</w:t>
            </w:r>
          </w:p>
          <w:p w:rsidR="007625FB" w:rsidP="007625FB" w:rsidRDefault="00495B87" w14:paraId="2536E7A8" w14:textId="53363B87">
            <w:pPr>
              <w:cnfStyle w:val="000000000000" w:firstRow="0" w:lastRow="0" w:firstColumn="0" w:lastColumn="0" w:oddVBand="0" w:evenVBand="0" w:oddHBand="0" w:evenHBand="0" w:firstRowFirstColumn="0" w:firstRowLastColumn="0" w:lastRowFirstColumn="0" w:lastRowLastColumn="0"/>
              <w:rPr>
                <w:szCs w:val="18"/>
              </w:rPr>
            </w:pPr>
            <w:r w:rsidRPr="00453806">
              <w:rPr>
                <w:szCs w:val="18"/>
              </w:rPr>
              <w:t xml:space="preserve">De </w:t>
            </w:r>
            <w:r w:rsidR="00147703">
              <w:rPr>
                <w:szCs w:val="18"/>
              </w:rPr>
              <w:t>v</w:t>
            </w:r>
            <w:r w:rsidRPr="00453806">
              <w:rPr>
                <w:szCs w:val="18"/>
              </w:rPr>
              <w:t xml:space="preserve">eiligheidsregio’s beschikken over de beste uitgangspositie om </w:t>
            </w:r>
            <w:r>
              <w:rPr>
                <w:szCs w:val="18"/>
              </w:rPr>
              <w:t>vorm te geven aan het ingezette beleid</w:t>
            </w:r>
            <w:r w:rsidRPr="00453806">
              <w:rPr>
                <w:szCs w:val="18"/>
              </w:rPr>
              <w:t>.</w:t>
            </w:r>
            <w:r>
              <w:rPr>
                <w:szCs w:val="18"/>
              </w:rPr>
              <w:t xml:space="preserve"> Daarom zullen de middelen </w:t>
            </w:r>
            <w:r w:rsidRPr="00453806">
              <w:rPr>
                <w:szCs w:val="18"/>
              </w:rPr>
              <w:t>lopen via de regio’s</w:t>
            </w:r>
            <w:r>
              <w:rPr>
                <w:szCs w:val="18"/>
              </w:rPr>
              <w:t>.</w:t>
            </w:r>
            <w:r w:rsidRPr="00453806">
              <w:rPr>
                <w:szCs w:val="18"/>
              </w:rPr>
              <w:t xml:space="preserve"> </w:t>
            </w:r>
            <w:r>
              <w:rPr>
                <w:szCs w:val="18"/>
              </w:rPr>
              <w:t>H</w:t>
            </w:r>
            <w:r w:rsidRPr="00453806">
              <w:rPr>
                <w:szCs w:val="18"/>
              </w:rPr>
              <w:t xml:space="preserve">et nadrukkelijke uitgangspunt </w:t>
            </w:r>
            <w:r>
              <w:rPr>
                <w:szCs w:val="18"/>
              </w:rPr>
              <w:t xml:space="preserve">blijft daarbij wel </w:t>
            </w:r>
            <w:r w:rsidRPr="00453806">
              <w:rPr>
                <w:szCs w:val="18"/>
              </w:rPr>
              <w:t xml:space="preserve">dat </w:t>
            </w:r>
            <w:r>
              <w:rPr>
                <w:szCs w:val="18"/>
              </w:rPr>
              <w:t>ze dat doen</w:t>
            </w:r>
            <w:r w:rsidRPr="00453806">
              <w:rPr>
                <w:szCs w:val="18"/>
              </w:rPr>
              <w:t xml:space="preserve"> </w:t>
            </w:r>
            <w:r w:rsidR="00FC084E">
              <w:rPr>
                <w:szCs w:val="18"/>
              </w:rPr>
              <w:t>samen</w:t>
            </w:r>
            <w:r w:rsidRPr="00453806">
              <w:rPr>
                <w:szCs w:val="18"/>
              </w:rPr>
              <w:t xml:space="preserve"> met </w:t>
            </w:r>
            <w:r w:rsidR="00FC084E">
              <w:rPr>
                <w:szCs w:val="18"/>
              </w:rPr>
              <w:t>de</w:t>
            </w:r>
            <w:r w:rsidRPr="00453806">
              <w:rPr>
                <w:szCs w:val="18"/>
              </w:rPr>
              <w:t xml:space="preserve"> gemeenten. </w:t>
            </w:r>
            <w:r>
              <w:rPr>
                <w:szCs w:val="18"/>
              </w:rPr>
              <w:t>Die randvoorwaarde is van belang</w:t>
            </w:r>
            <w:r w:rsidRPr="00453806">
              <w:rPr>
                <w:szCs w:val="18"/>
              </w:rPr>
              <w:t>, aangezien lokaal een belangrijke rol is weggelegd voor gemeenten in aansluiting op hun taken in het kader van bevolkingszorg, terwijl de veiligheidsregio’s de noodzakelijke coördinatie en structuren verzorgen, waaronder de aansluiting op de crisisstructuur. Hiermee wordt de regionale slagkracht en het organisatievermogen gecombineerd met de benodigde lokale kennis en maatschappelijke en sociale structuren.</w:t>
            </w:r>
          </w:p>
          <w:p w:rsidRPr="007625FB" w:rsidR="007625FB" w:rsidP="007625FB" w:rsidRDefault="007625FB" w14:paraId="5DD2CF06" w14:textId="02F9257B">
            <w:pPr>
              <w:cnfStyle w:val="000000000000" w:firstRow="0" w:lastRow="0" w:firstColumn="0" w:lastColumn="0" w:oddVBand="0" w:evenVBand="0" w:oddHBand="0" w:evenHBand="0" w:firstRowFirstColumn="0" w:firstRowLastColumn="0" w:lastRowFirstColumn="0" w:lastRowLastColumn="0"/>
              <w:rPr>
                <w:szCs w:val="18"/>
              </w:rPr>
            </w:pPr>
            <w:r w:rsidRPr="007625FB">
              <w:rPr>
                <w:szCs w:val="18"/>
              </w:rPr>
              <w:t xml:space="preserve">Pilots dragen bij aan kennisopbouw en door deze uit te voeren kan vroegtijdig geëvalueerd worden wat wel en niet werkt. Daarmee borgen we de nagestreefde </w:t>
            </w:r>
            <w:r>
              <w:rPr>
                <w:szCs w:val="18"/>
              </w:rPr>
              <w:t>doeltreffendheid.</w:t>
            </w:r>
          </w:p>
          <w:p w:rsidRPr="0076257B" w:rsidR="0076257B" w:rsidP="00B14BE9" w:rsidRDefault="0076257B" w14:paraId="1D275896" w14:textId="5F77E051">
            <w:pPr>
              <w:cnfStyle w:val="000000000000" w:firstRow="0" w:lastRow="0" w:firstColumn="0" w:lastColumn="0" w:oddVBand="0" w:evenVBand="0" w:oddHBand="0" w:evenHBand="0" w:firstRowFirstColumn="0" w:firstRowLastColumn="0" w:lastRowFirstColumn="0" w:lastRowLastColumn="0"/>
            </w:pPr>
          </w:p>
        </w:tc>
      </w:tr>
      <w:tr w:rsidR="0076257B" w:rsidTr="0076257B" w14:paraId="60103E62" w14:textId="77777777">
        <w:trPr>
          <w:trHeight w:val="1007"/>
        </w:trPr>
        <w:tc>
          <w:tcPr>
            <w:cnfStyle w:val="001000000000" w:firstRow="0" w:lastRow="0" w:firstColumn="1" w:lastColumn="0" w:oddVBand="0" w:evenVBand="0" w:oddHBand="0" w:evenHBand="0" w:firstRowFirstColumn="0" w:firstRowLastColumn="0" w:lastRowFirstColumn="0" w:lastRowLastColumn="0"/>
            <w:tcW w:w="2552" w:type="dxa"/>
            <w:shd w:val="clear" w:color="auto" w:fill="DEEAF6" w:themeFill="accent1" w:themeFillTint="33"/>
          </w:tcPr>
          <w:p w:rsidRPr="0076257B" w:rsidR="0076257B" w:rsidP="0076257B" w:rsidRDefault="0076257B" w14:paraId="4B54C0CB" w14:textId="77777777">
            <w:r w:rsidRPr="0076257B">
              <w:lastRenderedPageBreak/>
              <w:t>5. Nagestreefde doelmatigheid</w:t>
            </w:r>
          </w:p>
        </w:tc>
        <w:tc>
          <w:tcPr>
            <w:tcW w:w="7371" w:type="dxa"/>
          </w:tcPr>
          <w:p w:rsidRPr="006B3C57" w:rsidR="0076257B" w:rsidP="0076257B" w:rsidRDefault="0076257B" w14:paraId="65477437" w14:textId="77777777">
            <w:pPr>
              <w:cnfStyle w:val="000000000000" w:firstRow="0" w:lastRow="0" w:firstColumn="0" w:lastColumn="0" w:oddVBand="0" w:evenVBand="0" w:oddHBand="0" w:evenHBand="0" w:firstRowFirstColumn="0" w:firstRowLastColumn="0" w:lastRowFirstColumn="0" w:lastRowLastColumn="0"/>
              <w:rPr>
                <w:b/>
                <w:bCs/>
              </w:rPr>
            </w:pPr>
            <w:r w:rsidRPr="006B3C57">
              <w:rPr>
                <w:b/>
                <w:bCs/>
              </w:rPr>
              <w:t>Waarom is het voorgestelde instrumentarium een efficiënte manier om de beoogde prestaties en effecten te bereiken?</w:t>
            </w:r>
          </w:p>
          <w:p w:rsidRPr="006B3C57" w:rsidR="0076257B" w:rsidP="0076257B" w:rsidRDefault="0076257B" w14:paraId="69B502A4" w14:textId="77777777">
            <w:pPr>
              <w:cnfStyle w:val="000000000000" w:firstRow="0" w:lastRow="0" w:firstColumn="0" w:lastColumn="0" w:oddVBand="0" w:evenVBand="0" w:oddHBand="0" w:evenHBand="0" w:firstRowFirstColumn="0" w:firstRowLastColumn="0" w:lastRowFirstColumn="0" w:lastRowLastColumn="0"/>
            </w:pPr>
          </w:p>
          <w:p w:rsidR="00FF5B33" w:rsidP="00E50705" w:rsidRDefault="00FF5B33" w14:paraId="69025A17" w14:textId="478B780D">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szCs w:val="18"/>
                <w:lang w:val="nl-NL"/>
              </w:rPr>
            </w:pPr>
            <w:r>
              <w:rPr>
                <w:szCs w:val="18"/>
                <w:lang w:val="nl-NL"/>
              </w:rPr>
              <w:t xml:space="preserve">We sluiten met het inrichten van noodsteunpunten en burgerhulpverlening aan bij bestaande organisatiestructuren en ontwikkelingen. Hiermee hoeft er beperkter geïnvesteerd te worden dan wanneer andere instrumenten gebruikt worden om het doel te bereiken. Daarnaast is het een politieke afweging geweest om voor deze instrumenten te kiezen. </w:t>
            </w:r>
          </w:p>
          <w:p w:rsidRPr="006B3C57" w:rsidR="00E50705" w:rsidP="00E50705" w:rsidRDefault="00E50705" w14:paraId="62B4AA56" w14:textId="01B9EFD0">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szCs w:val="18"/>
                <w:lang w:val="nl-NL"/>
              </w:rPr>
            </w:pPr>
            <w:r w:rsidRPr="006B3C57">
              <w:rPr>
                <w:szCs w:val="18"/>
                <w:lang w:val="nl-NL"/>
              </w:rPr>
              <w:t>Veiligheidsregio’s zijn verantwoordelijk om samen met de</w:t>
            </w:r>
            <w:r w:rsidR="007625FB">
              <w:rPr>
                <w:szCs w:val="18"/>
                <w:lang w:val="nl-NL"/>
              </w:rPr>
              <w:t xml:space="preserve"> inliggende</w:t>
            </w:r>
            <w:r w:rsidRPr="006B3C57">
              <w:rPr>
                <w:szCs w:val="18"/>
                <w:lang w:val="nl-NL"/>
              </w:rPr>
              <w:t xml:space="preserve"> gemeenten op regionaal en lokaal niveau invulling te geven aan de gestelde maatregelen. Daarmee blijft er ruimte voor regionaal en lokaal maatwerk, wat belangrijk is omdat elke regio andere uitdagingen kent. </w:t>
            </w:r>
          </w:p>
          <w:p w:rsidRPr="000F6339" w:rsidR="00B14BE9" w:rsidP="000C245C" w:rsidRDefault="00F472A1" w14:paraId="0D75176C" w14:textId="17046D0A">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lang w:val="nl-NL"/>
              </w:rPr>
            </w:pPr>
            <w:r w:rsidRPr="006B3C57">
              <w:rPr>
                <w:szCs w:val="18"/>
                <w:lang w:val="nl-NL"/>
              </w:rPr>
              <w:t>Er worden</w:t>
            </w:r>
            <w:r w:rsidRPr="006B3C57" w:rsidR="00E50705">
              <w:rPr>
                <w:szCs w:val="18"/>
                <w:lang w:val="nl-NL"/>
              </w:rPr>
              <w:t xml:space="preserve"> daarnaast</w:t>
            </w:r>
            <w:r w:rsidRPr="006B3C57">
              <w:rPr>
                <w:szCs w:val="18"/>
                <w:lang w:val="nl-NL"/>
              </w:rPr>
              <w:t xml:space="preserve"> </w:t>
            </w:r>
            <w:r w:rsidR="000C245C">
              <w:rPr>
                <w:szCs w:val="18"/>
                <w:lang w:val="nl-NL"/>
              </w:rPr>
              <w:t>bestuurlijke</w:t>
            </w:r>
            <w:r w:rsidRPr="006B3C57">
              <w:rPr>
                <w:szCs w:val="18"/>
                <w:lang w:val="nl-NL"/>
              </w:rPr>
              <w:t xml:space="preserve"> afspraken gemaakt over </w:t>
            </w:r>
            <w:r w:rsidR="00082B9A">
              <w:rPr>
                <w:szCs w:val="18"/>
                <w:lang w:val="nl-NL"/>
              </w:rPr>
              <w:t xml:space="preserve">onder andere </w:t>
            </w:r>
            <w:r w:rsidRPr="006B3C57">
              <w:rPr>
                <w:szCs w:val="18"/>
                <w:lang w:val="nl-NL"/>
              </w:rPr>
              <w:t>doelen</w:t>
            </w:r>
            <w:r w:rsidRPr="006B3C57" w:rsidR="00E50705">
              <w:rPr>
                <w:szCs w:val="18"/>
                <w:lang w:val="nl-NL"/>
              </w:rPr>
              <w:t xml:space="preserve">, </w:t>
            </w:r>
            <w:r w:rsidRPr="006B3C57">
              <w:rPr>
                <w:szCs w:val="18"/>
                <w:lang w:val="nl-NL"/>
              </w:rPr>
              <w:t>besteding en verantwoording</w:t>
            </w:r>
            <w:r w:rsidRPr="006B3C57" w:rsidR="00E50705">
              <w:rPr>
                <w:szCs w:val="18"/>
                <w:lang w:val="nl-NL"/>
              </w:rPr>
              <w:t xml:space="preserve">. </w:t>
            </w:r>
          </w:p>
        </w:tc>
      </w:tr>
      <w:tr w:rsidR="0076257B" w:rsidTr="0076257B" w14:paraId="696571FA" w14:textId="77777777">
        <w:trPr>
          <w:trHeight w:val="1007"/>
        </w:trPr>
        <w:tc>
          <w:tcPr>
            <w:cnfStyle w:val="001000000000" w:firstRow="0" w:lastRow="0" w:firstColumn="1" w:lastColumn="0" w:oddVBand="0" w:evenVBand="0" w:oddHBand="0" w:evenHBand="0" w:firstRowFirstColumn="0" w:firstRowLastColumn="0" w:lastRowFirstColumn="0" w:lastRowLastColumn="0"/>
            <w:tcW w:w="2552" w:type="dxa"/>
            <w:shd w:val="clear" w:color="auto" w:fill="DEEAF6" w:themeFill="accent1" w:themeFillTint="33"/>
          </w:tcPr>
          <w:p w:rsidRPr="0076257B" w:rsidR="0076257B" w:rsidP="0076257B" w:rsidRDefault="0076257B" w14:paraId="6A361F9F" w14:textId="77777777">
            <w:r w:rsidRPr="0076257B">
              <w:t>6. Evaluatieparagraaf</w:t>
            </w:r>
          </w:p>
        </w:tc>
        <w:tc>
          <w:tcPr>
            <w:tcW w:w="7371" w:type="dxa"/>
          </w:tcPr>
          <w:p w:rsidRPr="0076257B" w:rsidR="0076257B" w:rsidP="0076257B" w:rsidRDefault="0076257B" w14:paraId="4241AD75" w14:textId="77777777">
            <w:pPr>
              <w:cnfStyle w:val="000000000000" w:firstRow="0" w:lastRow="0" w:firstColumn="0" w:lastColumn="0" w:oddVBand="0" w:evenVBand="0" w:oddHBand="0" w:evenHBand="0" w:firstRowFirstColumn="0" w:firstRowLastColumn="0" w:lastRowFirstColumn="0" w:lastRowLastColumn="0"/>
              <w:rPr>
                <w:b/>
                <w:bCs/>
              </w:rPr>
            </w:pPr>
            <w:r w:rsidRPr="0076257B">
              <w:rPr>
                <w:b/>
                <w:bCs/>
              </w:rPr>
              <w:t>Hoe wordt het voorstel gemonitord en geëvalueerd?</w:t>
            </w:r>
          </w:p>
          <w:p w:rsidRPr="0076257B" w:rsidR="0076257B" w:rsidP="0076257B" w:rsidRDefault="0076257B" w14:paraId="0DF94522" w14:textId="77777777">
            <w:pPr>
              <w:cnfStyle w:val="000000000000" w:firstRow="0" w:lastRow="0" w:firstColumn="0" w:lastColumn="0" w:oddVBand="0" w:evenVBand="0" w:oddHBand="0" w:evenHBand="0" w:firstRowFirstColumn="0" w:firstRowLastColumn="0" w:lastRowFirstColumn="0" w:lastRowLastColumn="0"/>
            </w:pPr>
          </w:p>
          <w:p w:rsidRPr="006B3C57" w:rsidR="00A6653E" w:rsidP="00240EE1" w:rsidRDefault="00A6653E" w14:paraId="6E4B2CDB" w14:textId="797F5DBB">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lang w:val="nl-NL"/>
              </w:rPr>
            </w:pPr>
            <w:r w:rsidRPr="006B3C57">
              <w:rPr>
                <w:lang w:val="nl-NL"/>
              </w:rPr>
              <w:t xml:space="preserve">In 2025 en 2026 zal door </w:t>
            </w:r>
            <w:r w:rsidR="000C245C">
              <w:rPr>
                <w:lang w:val="nl-NL"/>
              </w:rPr>
              <w:t>v</w:t>
            </w:r>
            <w:r w:rsidRPr="006B3C57">
              <w:rPr>
                <w:lang w:val="nl-NL"/>
              </w:rPr>
              <w:t>eiligheidsregio</w:t>
            </w:r>
            <w:r w:rsidR="000C245C">
              <w:rPr>
                <w:lang w:val="nl-NL"/>
              </w:rPr>
              <w:t>’</w:t>
            </w:r>
            <w:r w:rsidRPr="006B3C57">
              <w:rPr>
                <w:lang w:val="nl-NL"/>
              </w:rPr>
              <w:t xml:space="preserve">s </w:t>
            </w:r>
            <w:r w:rsidR="000C245C">
              <w:rPr>
                <w:lang w:val="nl-NL"/>
              </w:rPr>
              <w:t xml:space="preserve">en inliggende gemeenten </w:t>
            </w:r>
            <w:r w:rsidRPr="006B3C57">
              <w:rPr>
                <w:lang w:val="nl-NL"/>
              </w:rPr>
              <w:t xml:space="preserve">gestart worden met pilots rond </w:t>
            </w:r>
            <w:r w:rsidR="00944902">
              <w:rPr>
                <w:lang w:val="nl-NL"/>
              </w:rPr>
              <w:t>de stapsgewijze ontwikkeling</w:t>
            </w:r>
            <w:r w:rsidRPr="006B3C57">
              <w:rPr>
                <w:lang w:val="nl-NL"/>
              </w:rPr>
              <w:t xml:space="preserve"> van </w:t>
            </w:r>
            <w:r w:rsidR="00944902">
              <w:rPr>
                <w:lang w:val="nl-NL"/>
              </w:rPr>
              <w:t xml:space="preserve">het netwerk van </w:t>
            </w:r>
            <w:r w:rsidRPr="006B3C57">
              <w:rPr>
                <w:lang w:val="nl-NL"/>
              </w:rPr>
              <w:t xml:space="preserve">noodsteunpunten. Deze worden </w:t>
            </w:r>
            <w:r w:rsidR="00FC084E">
              <w:rPr>
                <w:lang w:val="nl-NL"/>
              </w:rPr>
              <w:t>eind 2026</w:t>
            </w:r>
            <w:r w:rsidR="0039319B">
              <w:rPr>
                <w:lang w:val="nl-NL"/>
              </w:rPr>
              <w:t>/</w:t>
            </w:r>
            <w:r w:rsidR="00FC084E">
              <w:rPr>
                <w:lang w:val="nl-NL"/>
              </w:rPr>
              <w:t xml:space="preserve">begin 2027 </w:t>
            </w:r>
            <w:r w:rsidRPr="006B3C57">
              <w:rPr>
                <w:lang w:val="nl-NL"/>
              </w:rPr>
              <w:t>ge</w:t>
            </w:r>
            <w:r w:rsidRPr="006B3C57" w:rsidR="00240EE1">
              <w:rPr>
                <w:lang w:val="nl-NL"/>
              </w:rPr>
              <w:t>ë</w:t>
            </w:r>
            <w:r w:rsidRPr="006B3C57">
              <w:rPr>
                <w:lang w:val="nl-NL"/>
              </w:rPr>
              <w:t>valueerd</w:t>
            </w:r>
            <w:r w:rsidRPr="006B3C57" w:rsidR="00240EE1">
              <w:rPr>
                <w:lang w:val="nl-NL"/>
              </w:rPr>
              <w:t>.</w:t>
            </w:r>
            <w:r w:rsidRPr="006B3C57">
              <w:rPr>
                <w:lang w:val="nl-NL"/>
              </w:rPr>
              <w:t xml:space="preserve"> </w:t>
            </w:r>
            <w:r w:rsidRPr="006B3C57" w:rsidR="00240EE1">
              <w:rPr>
                <w:lang w:val="nl-NL"/>
              </w:rPr>
              <w:t>D</w:t>
            </w:r>
            <w:r w:rsidRPr="006B3C57">
              <w:rPr>
                <w:lang w:val="nl-NL"/>
              </w:rPr>
              <w:t>e uitkomsten worden gedeeld met het ministerie</w:t>
            </w:r>
            <w:r w:rsidRPr="006B3C57" w:rsidR="00240EE1">
              <w:rPr>
                <w:lang w:val="nl-NL"/>
              </w:rPr>
              <w:t xml:space="preserve"> van JenV</w:t>
            </w:r>
            <w:r w:rsidR="000C245C">
              <w:rPr>
                <w:lang w:val="nl-NL"/>
              </w:rPr>
              <w:t xml:space="preserve">, </w:t>
            </w:r>
            <w:r w:rsidRPr="006B3C57">
              <w:rPr>
                <w:lang w:val="nl-NL"/>
              </w:rPr>
              <w:t>het Veiligheidsberaad</w:t>
            </w:r>
            <w:r w:rsidRPr="006B3C57" w:rsidR="00240EE1">
              <w:rPr>
                <w:lang w:val="nl-NL"/>
              </w:rPr>
              <w:t xml:space="preserve"> </w:t>
            </w:r>
            <w:r w:rsidR="000C245C">
              <w:rPr>
                <w:lang w:val="nl-NL"/>
              </w:rPr>
              <w:t xml:space="preserve">en de VNG </w:t>
            </w:r>
            <w:r w:rsidR="00944902">
              <w:rPr>
                <w:lang w:val="nl-NL"/>
              </w:rPr>
              <w:t xml:space="preserve">en benut voor besluitvorming over de stapsgewijze </w:t>
            </w:r>
            <w:r w:rsidR="00FC084E">
              <w:rPr>
                <w:lang w:val="nl-NL"/>
              </w:rPr>
              <w:t xml:space="preserve">verdere </w:t>
            </w:r>
            <w:r w:rsidR="00944902">
              <w:rPr>
                <w:lang w:val="nl-NL"/>
              </w:rPr>
              <w:t xml:space="preserve">ontwikkeling van het netwerk van </w:t>
            </w:r>
            <w:r w:rsidRPr="006B3C57" w:rsidR="00240EE1">
              <w:rPr>
                <w:lang w:val="nl-NL"/>
              </w:rPr>
              <w:t xml:space="preserve"> noodsteunpunten</w:t>
            </w:r>
            <w:r w:rsidR="00FC084E">
              <w:rPr>
                <w:lang w:val="nl-NL"/>
              </w:rPr>
              <w:t>.</w:t>
            </w:r>
          </w:p>
          <w:p w:rsidRPr="00B1188E" w:rsidR="00A6653E" w:rsidP="001672ED" w:rsidRDefault="005D5072" w14:paraId="396817CA" w14:textId="0B3057C0">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lang w:val="nl-NL"/>
              </w:rPr>
            </w:pPr>
            <w:r w:rsidRPr="005D5072">
              <w:rPr>
                <w:lang w:val="nl-NL"/>
              </w:rPr>
              <w:t xml:space="preserve">De Minister laat in overleg met het Veiligheidsberaad en de VNG binnen vijf jaar na </w:t>
            </w:r>
            <w:r>
              <w:rPr>
                <w:lang w:val="nl-NL"/>
              </w:rPr>
              <w:t xml:space="preserve">ondertekening van de bestuurlijke afspraken </w:t>
            </w:r>
            <w:r w:rsidRPr="005D5072">
              <w:rPr>
                <w:lang w:val="nl-NL"/>
              </w:rPr>
              <w:t xml:space="preserve">een evaluatie uitvoeren naar de werking </w:t>
            </w:r>
            <w:r>
              <w:rPr>
                <w:lang w:val="nl-NL"/>
              </w:rPr>
              <w:t>hiervan</w:t>
            </w:r>
            <w:r w:rsidRPr="005D5072">
              <w:rPr>
                <w:lang w:val="nl-NL"/>
              </w:rPr>
              <w:t>.</w:t>
            </w:r>
          </w:p>
        </w:tc>
      </w:tr>
    </w:tbl>
    <w:p w:rsidR="00674954" w:rsidRDefault="00674954" w14:paraId="73D27C9A" w14:textId="77777777"/>
    <w:sectPr w:rsidR="00674954"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D75B4" w14:textId="77777777" w:rsidR="00532F5A" w:rsidRDefault="00532F5A" w:rsidP="00674954">
      <w:pPr>
        <w:spacing w:after="0" w:line="240" w:lineRule="auto"/>
      </w:pPr>
      <w:r>
        <w:separator/>
      </w:r>
    </w:p>
  </w:endnote>
  <w:endnote w:type="continuationSeparator" w:id="0">
    <w:p w14:paraId="4FB88157" w14:textId="77777777" w:rsidR="00532F5A" w:rsidRDefault="00532F5A" w:rsidP="0067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1C89D" w14:textId="77777777" w:rsidR="00532F5A" w:rsidRDefault="00532F5A" w:rsidP="00674954">
      <w:pPr>
        <w:spacing w:after="0" w:line="240" w:lineRule="auto"/>
      </w:pPr>
      <w:r>
        <w:separator/>
      </w:r>
    </w:p>
  </w:footnote>
  <w:footnote w:type="continuationSeparator" w:id="0">
    <w:p w14:paraId="6EED80E6" w14:textId="77777777" w:rsidR="00532F5A" w:rsidRDefault="00532F5A" w:rsidP="00674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1648"/>
    <w:multiLevelType w:val="hybridMultilevel"/>
    <w:tmpl w:val="5136EF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237262"/>
    <w:multiLevelType w:val="hybridMultilevel"/>
    <w:tmpl w:val="16B0DD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1531A3"/>
    <w:multiLevelType w:val="hybridMultilevel"/>
    <w:tmpl w:val="DA74280A"/>
    <w:lvl w:ilvl="0" w:tplc="5942BC26">
      <w:start w:val="2"/>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183908E5"/>
    <w:multiLevelType w:val="hybridMultilevel"/>
    <w:tmpl w:val="B014885C"/>
    <w:lvl w:ilvl="0" w:tplc="0413000F">
      <w:start w:val="1"/>
      <w:numFmt w:val="decimal"/>
      <w:lvlText w:val="%1."/>
      <w:lvlJc w:val="left"/>
      <w:pPr>
        <w:ind w:left="643" w:hanging="360"/>
      </w:pPr>
    </w:lvl>
    <w:lvl w:ilvl="1" w:tplc="04130019">
      <w:start w:val="1"/>
      <w:numFmt w:val="lowerLetter"/>
      <w:lvlText w:val="%2."/>
      <w:lvlJc w:val="left"/>
      <w:pPr>
        <w:ind w:left="1363" w:hanging="360"/>
      </w:pPr>
    </w:lvl>
    <w:lvl w:ilvl="2" w:tplc="0413001B">
      <w:start w:val="1"/>
      <w:numFmt w:val="lowerRoman"/>
      <w:lvlText w:val="%3."/>
      <w:lvlJc w:val="right"/>
      <w:pPr>
        <w:ind w:left="2083" w:hanging="180"/>
      </w:pPr>
    </w:lvl>
    <w:lvl w:ilvl="3" w:tplc="0413000F">
      <w:start w:val="1"/>
      <w:numFmt w:val="decimal"/>
      <w:lvlText w:val="%4."/>
      <w:lvlJc w:val="left"/>
      <w:pPr>
        <w:ind w:left="2803" w:hanging="360"/>
      </w:pPr>
    </w:lvl>
    <w:lvl w:ilvl="4" w:tplc="04130019">
      <w:start w:val="1"/>
      <w:numFmt w:val="lowerLetter"/>
      <w:lvlText w:val="%5."/>
      <w:lvlJc w:val="left"/>
      <w:pPr>
        <w:ind w:left="3523" w:hanging="360"/>
      </w:pPr>
    </w:lvl>
    <w:lvl w:ilvl="5" w:tplc="0413001B">
      <w:start w:val="1"/>
      <w:numFmt w:val="lowerRoman"/>
      <w:lvlText w:val="%6."/>
      <w:lvlJc w:val="right"/>
      <w:pPr>
        <w:ind w:left="4243" w:hanging="180"/>
      </w:pPr>
    </w:lvl>
    <w:lvl w:ilvl="6" w:tplc="0413000F">
      <w:start w:val="1"/>
      <w:numFmt w:val="decimal"/>
      <w:lvlText w:val="%7."/>
      <w:lvlJc w:val="left"/>
      <w:pPr>
        <w:ind w:left="4963" w:hanging="360"/>
      </w:pPr>
    </w:lvl>
    <w:lvl w:ilvl="7" w:tplc="04130019">
      <w:start w:val="1"/>
      <w:numFmt w:val="lowerLetter"/>
      <w:lvlText w:val="%8."/>
      <w:lvlJc w:val="left"/>
      <w:pPr>
        <w:ind w:left="5683" w:hanging="360"/>
      </w:pPr>
    </w:lvl>
    <w:lvl w:ilvl="8" w:tplc="0413001B">
      <w:start w:val="1"/>
      <w:numFmt w:val="lowerRoman"/>
      <w:lvlText w:val="%9."/>
      <w:lvlJc w:val="right"/>
      <w:pPr>
        <w:ind w:left="6403" w:hanging="180"/>
      </w:pPr>
    </w:lvl>
  </w:abstractNum>
  <w:abstractNum w:abstractNumId="4" w15:restartNumberingAfterBreak="0">
    <w:nsid w:val="237B6A77"/>
    <w:multiLevelType w:val="hybridMultilevel"/>
    <w:tmpl w:val="C1661EE4"/>
    <w:lvl w:ilvl="0" w:tplc="9EA6CBE6">
      <w:start w:val="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62E5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3E45FA1"/>
    <w:multiLevelType w:val="hybridMultilevel"/>
    <w:tmpl w:val="253A8176"/>
    <w:lvl w:ilvl="0" w:tplc="105CE988">
      <w:start w:val="1"/>
      <w:numFmt w:val="bullet"/>
      <w:lvlText w:val="-"/>
      <w:lvlJc w:val="left"/>
      <w:pPr>
        <w:ind w:left="720" w:hanging="360"/>
      </w:pPr>
      <w:rPr>
        <w:rFonts w:ascii="Verdana" w:eastAsia="DejaVu Sans" w:hAnsi="Verdana" w:cs="Lohit Hind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9F2858"/>
    <w:multiLevelType w:val="hybridMultilevel"/>
    <w:tmpl w:val="EEFE36E8"/>
    <w:lvl w:ilvl="0" w:tplc="5942BC26">
      <w:start w:val="2"/>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7C620689"/>
    <w:multiLevelType w:val="hybridMultilevel"/>
    <w:tmpl w:val="D1FEBD10"/>
    <w:lvl w:ilvl="0" w:tplc="D1C2B51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7426929">
    <w:abstractNumId w:val="8"/>
  </w:num>
  <w:num w:numId="2" w16cid:durableId="82267463">
    <w:abstractNumId w:val="2"/>
  </w:num>
  <w:num w:numId="3" w16cid:durableId="916212119">
    <w:abstractNumId w:val="7"/>
  </w:num>
  <w:num w:numId="4" w16cid:durableId="791561620">
    <w:abstractNumId w:val="5"/>
  </w:num>
  <w:num w:numId="5" w16cid:durableId="77023074">
    <w:abstractNumId w:val="4"/>
  </w:num>
  <w:num w:numId="6" w16cid:durableId="1221402135">
    <w:abstractNumId w:val="1"/>
  </w:num>
  <w:num w:numId="7" w16cid:durableId="2038694282">
    <w:abstractNumId w:val="6"/>
  </w:num>
  <w:num w:numId="8" w16cid:durableId="493841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734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54"/>
    <w:rsid w:val="0000539A"/>
    <w:rsid w:val="000111A2"/>
    <w:rsid w:val="00017996"/>
    <w:rsid w:val="0002410B"/>
    <w:rsid w:val="0003217B"/>
    <w:rsid w:val="000461BF"/>
    <w:rsid w:val="00046503"/>
    <w:rsid w:val="00082B9A"/>
    <w:rsid w:val="000C0756"/>
    <w:rsid w:val="000C245C"/>
    <w:rsid w:val="000F5744"/>
    <w:rsid w:val="000F6339"/>
    <w:rsid w:val="0010411D"/>
    <w:rsid w:val="00104275"/>
    <w:rsid w:val="00114AC8"/>
    <w:rsid w:val="00135A0F"/>
    <w:rsid w:val="00147703"/>
    <w:rsid w:val="001533F0"/>
    <w:rsid w:val="001672ED"/>
    <w:rsid w:val="00181A63"/>
    <w:rsid w:val="00186ACA"/>
    <w:rsid w:val="001E6A24"/>
    <w:rsid w:val="001F0B8B"/>
    <w:rsid w:val="0020456C"/>
    <w:rsid w:val="00240EE1"/>
    <w:rsid w:val="0029657C"/>
    <w:rsid w:val="002B21EC"/>
    <w:rsid w:val="002C05CB"/>
    <w:rsid w:val="002C3F0D"/>
    <w:rsid w:val="002D7622"/>
    <w:rsid w:val="00304358"/>
    <w:rsid w:val="00325541"/>
    <w:rsid w:val="0034794F"/>
    <w:rsid w:val="00361C59"/>
    <w:rsid w:val="003805F7"/>
    <w:rsid w:val="00382996"/>
    <w:rsid w:val="0039319B"/>
    <w:rsid w:val="003A30FF"/>
    <w:rsid w:val="003A561C"/>
    <w:rsid w:val="00426E95"/>
    <w:rsid w:val="004358A0"/>
    <w:rsid w:val="0043716C"/>
    <w:rsid w:val="004414EC"/>
    <w:rsid w:val="00453806"/>
    <w:rsid w:val="00474AE5"/>
    <w:rsid w:val="004947BF"/>
    <w:rsid w:val="00495415"/>
    <w:rsid w:val="00495B87"/>
    <w:rsid w:val="00497A7E"/>
    <w:rsid w:val="004A6E62"/>
    <w:rsid w:val="004B663D"/>
    <w:rsid w:val="004E6B97"/>
    <w:rsid w:val="004F193B"/>
    <w:rsid w:val="004F4E00"/>
    <w:rsid w:val="00500BE9"/>
    <w:rsid w:val="005023AB"/>
    <w:rsid w:val="005043CB"/>
    <w:rsid w:val="00513288"/>
    <w:rsid w:val="00532F5A"/>
    <w:rsid w:val="00544CBF"/>
    <w:rsid w:val="00544CC0"/>
    <w:rsid w:val="00556180"/>
    <w:rsid w:val="00557BFA"/>
    <w:rsid w:val="00583741"/>
    <w:rsid w:val="005D5072"/>
    <w:rsid w:val="00600CAE"/>
    <w:rsid w:val="00674954"/>
    <w:rsid w:val="0068157C"/>
    <w:rsid w:val="006B3C57"/>
    <w:rsid w:val="00702184"/>
    <w:rsid w:val="0076257B"/>
    <w:rsid w:val="007625FB"/>
    <w:rsid w:val="007671A3"/>
    <w:rsid w:val="00782A24"/>
    <w:rsid w:val="007C707F"/>
    <w:rsid w:val="00802B79"/>
    <w:rsid w:val="00807092"/>
    <w:rsid w:val="008112C3"/>
    <w:rsid w:val="008224B6"/>
    <w:rsid w:val="0084491A"/>
    <w:rsid w:val="00850013"/>
    <w:rsid w:val="00874BC9"/>
    <w:rsid w:val="0088466E"/>
    <w:rsid w:val="00885649"/>
    <w:rsid w:val="008A444D"/>
    <w:rsid w:val="008B1D89"/>
    <w:rsid w:val="008C7389"/>
    <w:rsid w:val="008F04CC"/>
    <w:rsid w:val="009001F1"/>
    <w:rsid w:val="009051DB"/>
    <w:rsid w:val="00907FFC"/>
    <w:rsid w:val="00944902"/>
    <w:rsid w:val="009654CB"/>
    <w:rsid w:val="009767DD"/>
    <w:rsid w:val="00986681"/>
    <w:rsid w:val="009B0CA9"/>
    <w:rsid w:val="009C34FC"/>
    <w:rsid w:val="00A147AE"/>
    <w:rsid w:val="00A6653E"/>
    <w:rsid w:val="00A73C80"/>
    <w:rsid w:val="00AF554F"/>
    <w:rsid w:val="00B037A3"/>
    <w:rsid w:val="00B06701"/>
    <w:rsid w:val="00B1188E"/>
    <w:rsid w:val="00B14BE9"/>
    <w:rsid w:val="00B155EA"/>
    <w:rsid w:val="00B244DE"/>
    <w:rsid w:val="00B34208"/>
    <w:rsid w:val="00B56E71"/>
    <w:rsid w:val="00B73EF4"/>
    <w:rsid w:val="00BE7618"/>
    <w:rsid w:val="00C127C7"/>
    <w:rsid w:val="00C15131"/>
    <w:rsid w:val="00C15310"/>
    <w:rsid w:val="00C317F4"/>
    <w:rsid w:val="00C35185"/>
    <w:rsid w:val="00CC15B3"/>
    <w:rsid w:val="00CD0C19"/>
    <w:rsid w:val="00CF3724"/>
    <w:rsid w:val="00CF48C9"/>
    <w:rsid w:val="00D26782"/>
    <w:rsid w:val="00D27539"/>
    <w:rsid w:val="00D353F3"/>
    <w:rsid w:val="00D6785A"/>
    <w:rsid w:val="00D76D50"/>
    <w:rsid w:val="00D77D31"/>
    <w:rsid w:val="00DC645A"/>
    <w:rsid w:val="00DD3C3A"/>
    <w:rsid w:val="00DD6F3A"/>
    <w:rsid w:val="00DF024E"/>
    <w:rsid w:val="00DF6001"/>
    <w:rsid w:val="00E052A5"/>
    <w:rsid w:val="00E2756D"/>
    <w:rsid w:val="00E320C9"/>
    <w:rsid w:val="00E3673A"/>
    <w:rsid w:val="00E41E83"/>
    <w:rsid w:val="00E50705"/>
    <w:rsid w:val="00E871DF"/>
    <w:rsid w:val="00EA615C"/>
    <w:rsid w:val="00EC59BF"/>
    <w:rsid w:val="00EC7E21"/>
    <w:rsid w:val="00EE0A84"/>
    <w:rsid w:val="00F16C35"/>
    <w:rsid w:val="00F3014D"/>
    <w:rsid w:val="00F42DE8"/>
    <w:rsid w:val="00F472A1"/>
    <w:rsid w:val="00F66D4E"/>
    <w:rsid w:val="00F97E2F"/>
    <w:rsid w:val="00FB59DF"/>
    <w:rsid w:val="00FC084E"/>
    <w:rsid w:val="00FD4202"/>
    <w:rsid w:val="00FF5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7A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6749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749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7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67495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6749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4954"/>
    <w:rPr>
      <w:lang w:val="nl-NL"/>
    </w:rPr>
  </w:style>
  <w:style w:type="paragraph" w:styleId="Voettekst">
    <w:name w:val="footer"/>
    <w:basedOn w:val="Standaard"/>
    <w:link w:val="VoettekstChar"/>
    <w:uiPriority w:val="99"/>
    <w:unhideWhenUsed/>
    <w:rsid w:val="006749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4954"/>
    <w:rPr>
      <w:lang w:val="nl-NL"/>
    </w:rPr>
  </w:style>
  <w:style w:type="character" w:customStyle="1" w:styleId="Kop1Char">
    <w:name w:val="Kop 1 Char"/>
    <w:basedOn w:val="Standaardalinea-lettertype"/>
    <w:link w:val="Kop1"/>
    <w:uiPriority w:val="9"/>
    <w:rsid w:val="00674954"/>
    <w:rPr>
      <w:rFonts w:asciiTheme="majorHAnsi" w:eastAsiaTheme="majorEastAsia" w:hAnsiTheme="majorHAnsi" w:cstheme="majorBidi"/>
      <w:color w:val="2E74B5" w:themeColor="accent1" w:themeShade="BF"/>
      <w:sz w:val="32"/>
      <w:szCs w:val="32"/>
      <w:lang w:val="nl-NL"/>
    </w:rPr>
  </w:style>
  <w:style w:type="character" w:customStyle="1" w:styleId="Kop2Char">
    <w:name w:val="Kop 2 Char"/>
    <w:basedOn w:val="Standaardalinea-lettertype"/>
    <w:link w:val="Kop2"/>
    <w:uiPriority w:val="9"/>
    <w:rsid w:val="00674954"/>
    <w:rPr>
      <w:rFonts w:asciiTheme="majorHAnsi" w:eastAsiaTheme="majorEastAsia" w:hAnsiTheme="majorHAnsi" w:cstheme="majorBidi"/>
      <w:color w:val="2E74B5" w:themeColor="accent1" w:themeShade="BF"/>
      <w:sz w:val="26"/>
      <w:szCs w:val="26"/>
      <w:lang w:val="nl-NL"/>
    </w:rPr>
  </w:style>
  <w:style w:type="paragraph" w:styleId="Lijstalinea">
    <w:name w:val="List Paragraph"/>
    <w:basedOn w:val="Standaard"/>
    <w:uiPriority w:val="34"/>
    <w:qFormat/>
    <w:rsid w:val="000111A2"/>
    <w:pPr>
      <w:ind w:left="720"/>
      <w:contextualSpacing/>
    </w:pPr>
    <w:rPr>
      <w:kern w:val="2"/>
      <w:lang w:val="en-US"/>
      <w14:ligatures w14:val="standardContextual"/>
    </w:rPr>
  </w:style>
  <w:style w:type="paragraph" w:styleId="Revisie">
    <w:name w:val="Revision"/>
    <w:hidden/>
    <w:uiPriority w:val="99"/>
    <w:semiHidden/>
    <w:rsid w:val="00600CAE"/>
    <w:pPr>
      <w:spacing w:after="0" w:line="240" w:lineRule="auto"/>
    </w:pPr>
    <w:rPr>
      <w:lang w:val="nl-NL"/>
    </w:rPr>
  </w:style>
  <w:style w:type="character" w:styleId="Verwijzingopmerking">
    <w:name w:val="annotation reference"/>
    <w:basedOn w:val="Standaardalinea-lettertype"/>
    <w:uiPriority w:val="99"/>
    <w:semiHidden/>
    <w:unhideWhenUsed/>
    <w:rsid w:val="00600CAE"/>
    <w:rPr>
      <w:sz w:val="16"/>
      <w:szCs w:val="16"/>
    </w:rPr>
  </w:style>
  <w:style w:type="paragraph" w:styleId="Tekstopmerking">
    <w:name w:val="annotation text"/>
    <w:basedOn w:val="Standaard"/>
    <w:link w:val="TekstopmerkingChar"/>
    <w:uiPriority w:val="99"/>
    <w:unhideWhenUsed/>
    <w:rsid w:val="00600CAE"/>
    <w:pPr>
      <w:spacing w:line="240" w:lineRule="auto"/>
    </w:pPr>
    <w:rPr>
      <w:sz w:val="20"/>
      <w:szCs w:val="20"/>
    </w:rPr>
  </w:style>
  <w:style w:type="character" w:customStyle="1" w:styleId="TekstopmerkingChar">
    <w:name w:val="Tekst opmerking Char"/>
    <w:basedOn w:val="Standaardalinea-lettertype"/>
    <w:link w:val="Tekstopmerking"/>
    <w:uiPriority w:val="99"/>
    <w:rsid w:val="00600CAE"/>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00CAE"/>
    <w:rPr>
      <w:b/>
      <w:bCs/>
    </w:rPr>
  </w:style>
  <w:style w:type="character" w:customStyle="1" w:styleId="OnderwerpvanopmerkingChar">
    <w:name w:val="Onderwerp van opmerking Char"/>
    <w:basedOn w:val="TekstopmerkingChar"/>
    <w:link w:val="Onderwerpvanopmerking"/>
    <w:uiPriority w:val="99"/>
    <w:semiHidden/>
    <w:rsid w:val="00600CAE"/>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5458">
      <w:bodyDiv w:val="1"/>
      <w:marLeft w:val="0"/>
      <w:marRight w:val="0"/>
      <w:marTop w:val="0"/>
      <w:marBottom w:val="0"/>
      <w:divBdr>
        <w:top w:val="none" w:sz="0" w:space="0" w:color="auto"/>
        <w:left w:val="none" w:sz="0" w:space="0" w:color="auto"/>
        <w:bottom w:val="none" w:sz="0" w:space="0" w:color="auto"/>
        <w:right w:val="none" w:sz="0" w:space="0" w:color="auto"/>
      </w:divBdr>
    </w:div>
    <w:div w:id="129716907">
      <w:bodyDiv w:val="1"/>
      <w:marLeft w:val="0"/>
      <w:marRight w:val="0"/>
      <w:marTop w:val="0"/>
      <w:marBottom w:val="0"/>
      <w:divBdr>
        <w:top w:val="none" w:sz="0" w:space="0" w:color="auto"/>
        <w:left w:val="none" w:sz="0" w:space="0" w:color="auto"/>
        <w:bottom w:val="none" w:sz="0" w:space="0" w:color="auto"/>
        <w:right w:val="none" w:sz="0" w:space="0" w:color="auto"/>
      </w:divBdr>
    </w:div>
    <w:div w:id="388380621">
      <w:bodyDiv w:val="1"/>
      <w:marLeft w:val="0"/>
      <w:marRight w:val="0"/>
      <w:marTop w:val="0"/>
      <w:marBottom w:val="0"/>
      <w:divBdr>
        <w:top w:val="none" w:sz="0" w:space="0" w:color="auto"/>
        <w:left w:val="none" w:sz="0" w:space="0" w:color="auto"/>
        <w:bottom w:val="none" w:sz="0" w:space="0" w:color="auto"/>
        <w:right w:val="none" w:sz="0" w:space="0" w:color="auto"/>
      </w:divBdr>
    </w:div>
    <w:div w:id="404305481">
      <w:bodyDiv w:val="1"/>
      <w:marLeft w:val="0"/>
      <w:marRight w:val="0"/>
      <w:marTop w:val="0"/>
      <w:marBottom w:val="0"/>
      <w:divBdr>
        <w:top w:val="none" w:sz="0" w:space="0" w:color="auto"/>
        <w:left w:val="none" w:sz="0" w:space="0" w:color="auto"/>
        <w:bottom w:val="none" w:sz="0" w:space="0" w:color="auto"/>
        <w:right w:val="none" w:sz="0" w:space="0" w:color="auto"/>
      </w:divBdr>
    </w:div>
    <w:div w:id="462310383">
      <w:bodyDiv w:val="1"/>
      <w:marLeft w:val="0"/>
      <w:marRight w:val="0"/>
      <w:marTop w:val="0"/>
      <w:marBottom w:val="0"/>
      <w:divBdr>
        <w:top w:val="none" w:sz="0" w:space="0" w:color="auto"/>
        <w:left w:val="none" w:sz="0" w:space="0" w:color="auto"/>
        <w:bottom w:val="none" w:sz="0" w:space="0" w:color="auto"/>
        <w:right w:val="none" w:sz="0" w:space="0" w:color="auto"/>
      </w:divBdr>
    </w:div>
    <w:div w:id="884370919">
      <w:bodyDiv w:val="1"/>
      <w:marLeft w:val="0"/>
      <w:marRight w:val="0"/>
      <w:marTop w:val="0"/>
      <w:marBottom w:val="0"/>
      <w:divBdr>
        <w:top w:val="none" w:sz="0" w:space="0" w:color="auto"/>
        <w:left w:val="none" w:sz="0" w:space="0" w:color="auto"/>
        <w:bottom w:val="none" w:sz="0" w:space="0" w:color="auto"/>
        <w:right w:val="none" w:sz="0" w:space="0" w:color="auto"/>
      </w:divBdr>
    </w:div>
    <w:div w:id="1136214545">
      <w:bodyDiv w:val="1"/>
      <w:marLeft w:val="0"/>
      <w:marRight w:val="0"/>
      <w:marTop w:val="0"/>
      <w:marBottom w:val="0"/>
      <w:divBdr>
        <w:top w:val="none" w:sz="0" w:space="0" w:color="auto"/>
        <w:left w:val="none" w:sz="0" w:space="0" w:color="auto"/>
        <w:bottom w:val="none" w:sz="0" w:space="0" w:color="auto"/>
        <w:right w:val="none" w:sz="0" w:space="0" w:color="auto"/>
      </w:divBdr>
    </w:div>
    <w:div w:id="1187527902">
      <w:bodyDiv w:val="1"/>
      <w:marLeft w:val="0"/>
      <w:marRight w:val="0"/>
      <w:marTop w:val="0"/>
      <w:marBottom w:val="0"/>
      <w:divBdr>
        <w:top w:val="none" w:sz="0" w:space="0" w:color="auto"/>
        <w:left w:val="none" w:sz="0" w:space="0" w:color="auto"/>
        <w:bottom w:val="none" w:sz="0" w:space="0" w:color="auto"/>
        <w:right w:val="none" w:sz="0" w:space="0" w:color="auto"/>
      </w:divBdr>
    </w:div>
    <w:div w:id="1361860859">
      <w:bodyDiv w:val="1"/>
      <w:marLeft w:val="0"/>
      <w:marRight w:val="0"/>
      <w:marTop w:val="0"/>
      <w:marBottom w:val="0"/>
      <w:divBdr>
        <w:top w:val="none" w:sz="0" w:space="0" w:color="auto"/>
        <w:left w:val="none" w:sz="0" w:space="0" w:color="auto"/>
        <w:bottom w:val="none" w:sz="0" w:space="0" w:color="auto"/>
        <w:right w:val="none" w:sz="0" w:space="0" w:color="auto"/>
      </w:divBdr>
    </w:div>
    <w:div w:id="1479616609">
      <w:bodyDiv w:val="1"/>
      <w:marLeft w:val="0"/>
      <w:marRight w:val="0"/>
      <w:marTop w:val="0"/>
      <w:marBottom w:val="0"/>
      <w:divBdr>
        <w:top w:val="none" w:sz="0" w:space="0" w:color="auto"/>
        <w:left w:val="none" w:sz="0" w:space="0" w:color="auto"/>
        <w:bottom w:val="none" w:sz="0" w:space="0" w:color="auto"/>
        <w:right w:val="none" w:sz="0" w:space="0" w:color="auto"/>
      </w:divBdr>
    </w:div>
    <w:div w:id="1562448914">
      <w:bodyDiv w:val="1"/>
      <w:marLeft w:val="0"/>
      <w:marRight w:val="0"/>
      <w:marTop w:val="0"/>
      <w:marBottom w:val="0"/>
      <w:divBdr>
        <w:top w:val="none" w:sz="0" w:space="0" w:color="auto"/>
        <w:left w:val="none" w:sz="0" w:space="0" w:color="auto"/>
        <w:bottom w:val="none" w:sz="0" w:space="0" w:color="auto"/>
        <w:right w:val="none" w:sz="0" w:space="0" w:color="auto"/>
      </w:divBdr>
    </w:div>
    <w:div w:id="187138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1307</ap:Words>
  <ap:Characters>7194</ap:Characters>
  <ap:DocSecurity>0</ap:DocSecurity>
  <ap:Lines>59</ap:Lines>
  <ap:Paragraphs>16</ap:Paragraphs>
  <ap:ScaleCrop>false</ap:ScaleCrop>
  <ap:LinksUpToDate>false</ap:LinksUpToDate>
  <ap:CharactersWithSpaces>8485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2025-10-03T09:01:00.0000000Z</dcterms:created>
  <dcterms:modified xsi:type="dcterms:W3CDTF">2025-10-03T09:01:00.0000000Z</dcterms:modified>
  <version/>
  <category/>
</coreProperties>
</file>