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773" w:rsidRDefault="00FA16DE" w14:paraId="1010D4A9" w14:textId="77777777">
      <w:r>
        <w:t>Geachte voorzitter,</w:t>
      </w:r>
    </w:p>
    <w:p w:rsidR="00C50773" w:rsidRDefault="00C50773" w14:paraId="1010D4AA" w14:textId="77777777"/>
    <w:p w:rsidR="00504429" w:rsidP="00504429" w:rsidRDefault="00030AAB" w14:paraId="3747C07C" w14:textId="3DB47AF3">
      <w:r w:rsidRPr="00030AAB">
        <w:t xml:space="preserve">Tijdens de Voorjaarsbesluitvorming </w:t>
      </w:r>
      <w:r w:rsidR="00504429">
        <w:t>in april</w:t>
      </w:r>
      <w:r w:rsidRPr="00030AAB">
        <w:t xml:space="preserve"> 2025 </w:t>
      </w:r>
      <w:r w:rsidR="00504429">
        <w:t>heeft het kabinet een bedrag van EUR 3,5 miljard ter beschik</w:t>
      </w:r>
      <w:r w:rsidR="00CC50C8">
        <w:t>king</w:t>
      </w:r>
      <w:r w:rsidR="00504429">
        <w:t xml:space="preserve"> gesteld voor steun aan </w:t>
      </w:r>
      <w:r w:rsidR="0072683A">
        <w:t>Oekraïne</w:t>
      </w:r>
      <w:r w:rsidR="00504429">
        <w:t xml:space="preserve">. Hiermee </w:t>
      </w:r>
      <w:r w:rsidRPr="00030AAB">
        <w:t xml:space="preserve">geeft </w:t>
      </w:r>
      <w:r w:rsidR="00504429">
        <w:t xml:space="preserve">het kabinet invulling </w:t>
      </w:r>
      <w:r w:rsidRPr="00030AAB">
        <w:t xml:space="preserve">aan </w:t>
      </w:r>
      <w:r w:rsidR="00B644E0">
        <w:t xml:space="preserve">de </w:t>
      </w:r>
      <w:r w:rsidRPr="00030AAB">
        <w:t>actieve en onverminderde steun aan Oekraïne.</w:t>
      </w:r>
      <w:r>
        <w:t xml:space="preserve"> </w:t>
      </w:r>
      <w:r w:rsidR="00504429">
        <w:t xml:space="preserve">Van dit bedrag is </w:t>
      </w:r>
      <w:r w:rsidRPr="00030AAB" w:rsidR="00504429">
        <w:t>EUR 25</w:t>
      </w:r>
      <w:r w:rsidR="00504429">
        <w:t>2 miljoen bestemd voor niet-militaire steun</w:t>
      </w:r>
      <w:r w:rsidR="002E0997">
        <w:t>, gericht op herstel, wederopbouw en verlichting van de humanitaire en sociale noden</w:t>
      </w:r>
      <w:r w:rsidR="00504429">
        <w:t xml:space="preserve">. Deze steun werd aangekondigd door de minister-president en de minister van Buitenlandse Zaken tijdens de Ukraine Recovery Conference van </w:t>
      </w:r>
      <w:r w:rsidR="00A67598">
        <w:t>9 t/m 11 juli jl. in Rome</w:t>
      </w:r>
      <w:r w:rsidR="00ED087E">
        <w:t>. In de</w:t>
      </w:r>
      <w:r w:rsidR="00A67598">
        <w:t xml:space="preserve"> K</w:t>
      </w:r>
      <w:r w:rsidR="00504429">
        <w:t>amerbrief van 16 juli 2025</w:t>
      </w:r>
      <w:r w:rsidR="00ED087E">
        <w:t xml:space="preserve"> (</w:t>
      </w:r>
      <w:r w:rsidRPr="0076209D" w:rsidR="0076209D">
        <w:t>36045, nr. 209</w:t>
      </w:r>
      <w:r w:rsidR="0076209D">
        <w:t>)</w:t>
      </w:r>
      <w:r w:rsidR="00ED087E">
        <w:t xml:space="preserve"> </w:t>
      </w:r>
      <w:r w:rsidR="00B62209">
        <w:t>is</w:t>
      </w:r>
      <w:r w:rsidR="00ED087E">
        <w:t xml:space="preserve"> uw Kamer reeds </w:t>
      </w:r>
      <w:r w:rsidR="004F48B2">
        <w:t>geïnformeerd</w:t>
      </w:r>
      <w:r w:rsidR="00ED087E">
        <w:t xml:space="preserve"> over de hoofdlijnen van de inzet voor 2026.</w:t>
      </w:r>
      <w:r w:rsidR="00504429">
        <w:t xml:space="preserve"> </w:t>
      </w:r>
      <w:r w:rsidR="00CA45F9">
        <w:t>Middels deze brief is o</w:t>
      </w:r>
      <w:r w:rsidR="00B62209">
        <w:t xml:space="preserve">ok de inzet van de eerder nog niet gealloceerde EUR 52 miljoen uit het pakket voor 2025 met uw </w:t>
      </w:r>
      <w:r w:rsidR="00F32829">
        <w:t>K</w:t>
      </w:r>
      <w:r w:rsidR="00B62209">
        <w:t>amer gedeeld</w:t>
      </w:r>
      <w:r w:rsidR="00ED087E">
        <w:t>.</w:t>
      </w:r>
      <w:r w:rsidR="00B62209">
        <w:t xml:space="preserve"> Deze doorverdeling is </w:t>
      </w:r>
      <w:r w:rsidR="00CA45F9">
        <w:t>vervolgens</w:t>
      </w:r>
      <w:r w:rsidR="00B62209">
        <w:t xml:space="preserve"> verwerkt in de Suppletoire Begroting September van </w:t>
      </w:r>
      <w:r w:rsidR="006509C3">
        <w:t>Buitenlandse Handel en Ontwikkelingshulp</w:t>
      </w:r>
      <w:r w:rsidR="00B62209">
        <w:t xml:space="preserve">. </w:t>
      </w:r>
      <w:r w:rsidR="00504429">
        <w:t xml:space="preserve">  </w:t>
      </w:r>
    </w:p>
    <w:p w:rsidR="00504429" w:rsidP="00504429" w:rsidRDefault="00504429" w14:paraId="2F9AE569" w14:textId="56B030E8"/>
    <w:p w:rsidR="00504429" w:rsidP="00504429" w:rsidRDefault="0072683A" w14:paraId="322EF5FD" w14:textId="54EAFAC4">
      <w:r>
        <w:t xml:space="preserve">In de ontwerpbegrotingen van Buitenlandse Zaken en Buitenlandse Handel en Ontwikkelingshulp, zoals gepresenteerd op Prinsjesdag, is uw </w:t>
      </w:r>
      <w:r w:rsidR="00B72FD8">
        <w:t>K</w:t>
      </w:r>
      <w:r>
        <w:t xml:space="preserve">amer geïnformeerd over de budgettaire </w:t>
      </w:r>
      <w:proofErr w:type="spellStart"/>
      <w:r>
        <w:t>herallocaties</w:t>
      </w:r>
      <w:proofErr w:type="spellEnd"/>
      <w:r>
        <w:t xml:space="preserve"> binnen de begrotingen ten behoeve van de niet</w:t>
      </w:r>
      <w:r w:rsidR="00D15D52">
        <w:noBreakHyphen/>
      </w:r>
      <w:r>
        <w:t>militaire steun aan Oekraïne</w:t>
      </w:r>
      <w:r w:rsidR="00874611">
        <w:t xml:space="preserve"> in 2026</w:t>
      </w:r>
      <w:r>
        <w:t xml:space="preserve">. </w:t>
      </w:r>
      <w:r w:rsidR="00B91C9C">
        <w:t xml:space="preserve">Hierin zijn ook kasschuiven verwerkt die de budgetten over de jaren in het juiste kasritme zetten. </w:t>
      </w:r>
      <w:r w:rsidR="00183690">
        <w:t xml:space="preserve">Deze kasschuiven hebben effect op de verdeling over de jaren van dit steunpakket. </w:t>
      </w:r>
      <w:r w:rsidR="00504429">
        <w:t>Met deze brief informe</w:t>
      </w:r>
      <w:r w:rsidR="00B72FD8">
        <w:t>e</w:t>
      </w:r>
      <w:r w:rsidRPr="0076209D" w:rsidR="00B72FD8">
        <w:t xml:space="preserve">r ik, mede namens de minister van Buitenlandse Zaken, </w:t>
      </w:r>
      <w:r w:rsidRPr="0076209D" w:rsidR="00504429">
        <w:t xml:space="preserve">uw Kamer </w:t>
      </w:r>
      <w:r w:rsidRPr="0076209D" w:rsidR="00A67598">
        <w:t>nader</w:t>
      </w:r>
      <w:r w:rsidR="00A67598">
        <w:t xml:space="preserve"> </w:t>
      </w:r>
      <w:r w:rsidR="00504429">
        <w:t>over de invulling van het Nederlandse pakket aan niet</w:t>
      </w:r>
      <w:r w:rsidR="00D15D52">
        <w:noBreakHyphen/>
      </w:r>
      <w:r w:rsidR="00504429">
        <w:t>militaire steun voor Oekraïne in 2026.</w:t>
      </w:r>
    </w:p>
    <w:p w:rsidR="00377592" w:rsidDel="00EF1098" w:rsidRDefault="00377592" w14:paraId="4562297F" w14:textId="6DA09420"/>
    <w:p w:rsidR="00DB4C49" w:rsidP="009812D3" w:rsidRDefault="00F375B3" w14:paraId="5DC7EE53" w14:textId="7AE87B81">
      <w:r>
        <w:t xml:space="preserve">Aan de basis van de invulling van het steunpakket 2026 ligt het gegeven dat de Russische agressieoorlog in Oekraïne al meer dan drie jaar het uithoudingsvermogen van de Oekraïense bevolking op de proef stelt. Indien Oekraïne zijn economie en maatschappij niet overeind kan houden, zal het onmogelijk zijn </w:t>
      </w:r>
      <w:r w:rsidR="00B2277C">
        <w:t>zich te blijven verdedigen</w:t>
      </w:r>
      <w:r>
        <w:t xml:space="preserve">. Vooralsnog is Oekraïne er met hulp van donoren en de </w:t>
      </w:r>
      <w:r w:rsidR="00F32829">
        <w:t>i</w:t>
      </w:r>
      <w:r>
        <w:t xml:space="preserve">nternationale </w:t>
      </w:r>
      <w:r w:rsidR="00F32829">
        <w:t>fi</w:t>
      </w:r>
      <w:r>
        <w:t xml:space="preserve">nanciële </w:t>
      </w:r>
      <w:r w:rsidR="00F32829">
        <w:t>i</w:t>
      </w:r>
      <w:r>
        <w:t>ns</w:t>
      </w:r>
      <w:r w:rsidR="00A67598">
        <w:t>tellingen</w:t>
      </w:r>
      <w:r>
        <w:t xml:space="preserve"> (IFI’s) in geslaagd de </w:t>
      </w:r>
      <w:r w:rsidR="00A67598">
        <w:t>macro-</w:t>
      </w:r>
      <w:r w:rsidR="002B7149">
        <w:t>financiële</w:t>
      </w:r>
      <w:r w:rsidR="00A40958">
        <w:t xml:space="preserve"> </w:t>
      </w:r>
      <w:r>
        <w:t>stabiliteit te bewaren.</w:t>
      </w:r>
      <w:r w:rsidR="00A64567">
        <w:t xml:space="preserve"> </w:t>
      </w:r>
      <w:r w:rsidR="00A67598">
        <w:t xml:space="preserve">De </w:t>
      </w:r>
      <w:r w:rsidR="00EF5518">
        <w:t xml:space="preserve">herstel- en </w:t>
      </w:r>
      <w:r>
        <w:t>wederopbouw</w:t>
      </w:r>
      <w:r w:rsidR="00A67598">
        <w:t>opgave is echter</w:t>
      </w:r>
      <w:r>
        <w:t xml:space="preserve"> </w:t>
      </w:r>
      <w:r w:rsidR="00B165DF">
        <w:t>groot</w:t>
      </w:r>
      <w:r w:rsidR="00763DEA">
        <w:t>.</w:t>
      </w:r>
      <w:r w:rsidR="00B165DF">
        <w:t xml:space="preserve"> </w:t>
      </w:r>
      <w:r w:rsidR="00763DEA">
        <w:t>E</w:t>
      </w:r>
      <w:r w:rsidR="00B165DF">
        <w:t>n</w:t>
      </w:r>
      <w:r w:rsidR="00763DEA">
        <w:t xml:space="preserve"> deze opgave</w:t>
      </w:r>
      <w:r w:rsidR="00B165DF">
        <w:t xml:space="preserve"> </w:t>
      </w:r>
      <w:r w:rsidR="00917C37">
        <w:t>stijg</w:t>
      </w:r>
      <w:r w:rsidR="00390796">
        <w:t>t</w:t>
      </w:r>
      <w:r w:rsidR="00BA2495">
        <w:t xml:space="preserve"> </w:t>
      </w:r>
      <w:r w:rsidR="00763DEA">
        <w:t>verder</w:t>
      </w:r>
      <w:r w:rsidR="00BA2495">
        <w:t xml:space="preserve"> door de aanhoudende Russische agressieoorlog</w:t>
      </w:r>
      <w:r w:rsidR="00F03510">
        <w:t>.</w:t>
      </w:r>
      <w:r w:rsidR="00A64567">
        <w:t xml:space="preserve"> </w:t>
      </w:r>
      <w:r w:rsidR="002D623F">
        <w:t>I</w:t>
      </w:r>
      <w:r w:rsidR="00A64567">
        <w:t>n</w:t>
      </w:r>
      <w:r>
        <w:t xml:space="preserve"> de </w:t>
      </w:r>
      <w:r w:rsidRPr="00F65BB3">
        <w:rPr>
          <w:i/>
          <w:iCs/>
        </w:rPr>
        <w:t>Rapid Damage and Needs Assessment</w:t>
      </w:r>
      <w:r>
        <w:t xml:space="preserve"> (RDNA4</w:t>
      </w:r>
      <w:r w:rsidR="00A67598">
        <w:t xml:space="preserve"> van februari </w:t>
      </w:r>
      <w:r w:rsidR="00A67598">
        <w:lastRenderedPageBreak/>
        <w:t>2025</w:t>
      </w:r>
      <w:r>
        <w:t>) van de Wereldbank, de Verenigde Naties en de Europese Commissie word</w:t>
      </w:r>
      <w:r w:rsidR="00E14B3F">
        <w:t>t</w:t>
      </w:r>
      <w:r>
        <w:t xml:space="preserve"> deze geraamd op USD 524 m</w:t>
      </w:r>
      <w:r w:rsidR="00A67598">
        <w:t>iljard</w:t>
      </w:r>
      <w:r w:rsidR="00A64567">
        <w:t xml:space="preserve"> </w:t>
      </w:r>
      <w:r>
        <w:t>voor de komende tien jaar.</w:t>
      </w:r>
      <w:r w:rsidR="00F03510">
        <w:t xml:space="preserve"> </w:t>
      </w:r>
    </w:p>
    <w:p w:rsidR="00822662" w:rsidP="009812D3" w:rsidRDefault="00822662" w14:paraId="41982FB0" w14:textId="77777777"/>
    <w:p w:rsidR="00F375B3" w:rsidP="00F375B3" w:rsidRDefault="00F375B3" w14:paraId="7DC915A0" w14:textId="4F0EB43B">
      <w:r>
        <w:t>De wijze waarop wederopbouw en herstel worden vormgegeven is van grote invloed op de levensomstandigheden in het land en het toekomstperspectief van de Oekraïense bevolking</w:t>
      </w:r>
      <w:r w:rsidR="00A64567">
        <w:t>. Tevens is het</w:t>
      </w:r>
      <w:r>
        <w:t xml:space="preserve"> bepalend voor migratiestromen en de terugkeer van vluchtelingen. Het </w:t>
      </w:r>
      <w:r w:rsidR="00A67598">
        <w:t xml:space="preserve">steunpakket voor 2026 </w:t>
      </w:r>
      <w:r>
        <w:t>voorziet zowel in de verlichting van de urgente noden (o.</w:t>
      </w:r>
      <w:r w:rsidR="00A64567">
        <w:t>a</w:t>
      </w:r>
      <w:r>
        <w:t>. energie</w:t>
      </w:r>
      <w:r w:rsidR="00F32829">
        <w:t>steun</w:t>
      </w:r>
      <w:r>
        <w:t xml:space="preserve">, herstel </w:t>
      </w:r>
      <w:r w:rsidR="00F32829">
        <w:t>van</w:t>
      </w:r>
      <w:r>
        <w:t xml:space="preserve"> kritieke infrastructuur, huisvesting, gezondheidszorg, </w:t>
      </w:r>
      <w:r w:rsidR="00A67598">
        <w:t xml:space="preserve">humanitaire </w:t>
      </w:r>
      <w:r>
        <w:t xml:space="preserve">ontmijning en humanitaire </w:t>
      </w:r>
      <w:r w:rsidR="00A67598">
        <w:t>hulp</w:t>
      </w:r>
      <w:r>
        <w:t xml:space="preserve">) als </w:t>
      </w:r>
      <w:r w:rsidR="00CC50C8">
        <w:t xml:space="preserve">in </w:t>
      </w:r>
      <w:r>
        <w:t xml:space="preserve">het </w:t>
      </w:r>
      <w:r w:rsidR="00CC50C8">
        <w:t>leggen</w:t>
      </w:r>
      <w:r>
        <w:t xml:space="preserve"> van een fundament voor de grote wederopbouwopgave die O</w:t>
      </w:r>
      <w:r w:rsidR="00202487">
        <w:t>ekraïne</w:t>
      </w:r>
      <w:r>
        <w:t xml:space="preserve"> te wachten staat. Ten behoeve van dat laatste zijn bijdragen voorzien </w:t>
      </w:r>
      <w:r w:rsidR="004832EE">
        <w:t xml:space="preserve">voor </w:t>
      </w:r>
      <w:r>
        <w:t xml:space="preserve">het vergroten van de rol van de private sector </w:t>
      </w:r>
      <w:r w:rsidR="00202487">
        <w:t xml:space="preserve">en </w:t>
      </w:r>
      <w:r>
        <w:t xml:space="preserve">het versterken van </w:t>
      </w:r>
      <w:r w:rsidR="00A50D5B">
        <w:t xml:space="preserve">de </w:t>
      </w:r>
      <w:r>
        <w:t xml:space="preserve">lokale capaciteit. </w:t>
      </w:r>
      <w:r w:rsidR="00657EE4">
        <w:t xml:space="preserve">Een overheid die in staat is aan (urgente) behoeften van zijn burgers te voldoen staat aan de basis van een robuuste Oekraïense maatschappij die de uitdagingen van wederopbouw </w:t>
      </w:r>
      <w:r w:rsidR="00F32829">
        <w:t xml:space="preserve">en de </w:t>
      </w:r>
      <w:r w:rsidR="00657EE4">
        <w:t xml:space="preserve">terugkeer </w:t>
      </w:r>
      <w:r w:rsidR="00F32829">
        <w:t>van ontheemden</w:t>
      </w:r>
      <w:r w:rsidR="00657EE4">
        <w:t xml:space="preserve"> aankan. </w:t>
      </w:r>
      <w:r w:rsidR="00FB0185">
        <w:t xml:space="preserve">Het versterken van de weerbaarheid van de Oekraïense samenleving bestendigt veiligheid en stabiliteit op langere termijn en vormt daarmee een essentiële aanvulling op de Nederlandse militaire steun. </w:t>
      </w:r>
      <w:r>
        <w:t xml:space="preserve">Bij de vormgeving van dit pakket is tevens </w:t>
      </w:r>
      <w:r w:rsidR="00A67598">
        <w:t>rekening gehouden met noden die</w:t>
      </w:r>
      <w:r>
        <w:t xml:space="preserve"> urgent(er) zijn geworden in het licht van het wegvallen van</w:t>
      </w:r>
      <w:r w:rsidR="00BD59A1">
        <w:t xml:space="preserve"> de</w:t>
      </w:r>
      <w:r>
        <w:t xml:space="preserve"> niet-militaire steun</w:t>
      </w:r>
      <w:r w:rsidR="00BD59A1">
        <w:t xml:space="preserve"> van de Verenigde Staten</w:t>
      </w:r>
      <w:r>
        <w:t xml:space="preserve">. Juist op thema’s waar </w:t>
      </w:r>
      <w:r w:rsidR="00BD59A1">
        <w:t>Nederland</w:t>
      </w:r>
      <w:r>
        <w:t xml:space="preserve"> reeds een leidende rol speelt, zoals energie</w:t>
      </w:r>
      <w:r w:rsidR="00A67598">
        <w:t>steun</w:t>
      </w:r>
      <w:r>
        <w:t xml:space="preserve"> en accountability, kan het O</w:t>
      </w:r>
      <w:r w:rsidR="00BD59A1">
        <w:t>ekraïne</w:t>
      </w:r>
      <w:r>
        <w:t xml:space="preserve"> ondersteunen bij de knelpunten die </w:t>
      </w:r>
      <w:r w:rsidR="00A67598">
        <w:t>door het wegvallen van Amerikaanse steun</w:t>
      </w:r>
      <w:r>
        <w:t xml:space="preserve"> zijn ontstaan</w:t>
      </w:r>
      <w:r w:rsidR="00A64567">
        <w:t xml:space="preserve">. </w:t>
      </w:r>
    </w:p>
    <w:p w:rsidR="00A64567" w:rsidP="00F375B3" w:rsidRDefault="00A64567" w14:paraId="56FC640D" w14:textId="77777777"/>
    <w:p w:rsidRPr="00A64567" w:rsidR="00A64567" w:rsidP="00F375B3" w:rsidRDefault="00A64567" w14:paraId="602AC196" w14:textId="203D4617">
      <w:pPr>
        <w:rPr>
          <w:i/>
          <w:iCs/>
        </w:rPr>
      </w:pPr>
      <w:r w:rsidRPr="00A64567">
        <w:rPr>
          <w:i/>
          <w:iCs/>
        </w:rPr>
        <w:t>Prioriteiten per thema</w:t>
      </w:r>
    </w:p>
    <w:p w:rsidR="00FB560C" w:rsidP="00A64567" w:rsidRDefault="00FB560C" w14:paraId="4309776B" w14:textId="77777777">
      <w:pPr>
        <w:rPr>
          <w:i/>
          <w:iCs/>
        </w:rPr>
      </w:pPr>
    </w:p>
    <w:p w:rsidR="00A64567" w:rsidP="00A64567" w:rsidRDefault="00A64567" w14:paraId="7A47270A" w14:textId="7C40FF6A">
      <w:r w:rsidRPr="00A64567">
        <w:rPr>
          <w:i/>
          <w:iCs/>
        </w:rPr>
        <w:t>Energie</w:t>
      </w:r>
      <w:r>
        <w:rPr>
          <w:i/>
          <w:iCs/>
        </w:rPr>
        <w:t xml:space="preserve"> </w:t>
      </w:r>
    </w:p>
    <w:p w:rsidR="00DE21A8" w:rsidP="00047AE7" w:rsidRDefault="0094724E" w14:paraId="0F113A3D" w14:textId="77777777">
      <w:r w:rsidRPr="00047AE7">
        <w:t xml:space="preserve">Oekraïne </w:t>
      </w:r>
      <w:r>
        <w:t xml:space="preserve">wordt geconfronteerd met intensieve </w:t>
      </w:r>
      <w:r w:rsidR="002B7149">
        <w:t xml:space="preserve">Russische </w:t>
      </w:r>
      <w:r>
        <w:t>aanvallen op de energie-infrastructuur, waarbij</w:t>
      </w:r>
      <w:r w:rsidRPr="0094724E">
        <w:t xml:space="preserve"> </w:t>
      </w:r>
      <w:r>
        <w:t xml:space="preserve">zowel het elektriciteitsnetwerk als de gasinfrastructuur doelwit zijn. Deze aanvallen zijn gericht, frequent en strategisch: ze treffen het hart van de civiele voorzieningen en vormen een directe bedreiging voor de energiezekerheid van Oekraïense burgers en </w:t>
      </w:r>
      <w:r w:rsidR="00B36714">
        <w:t xml:space="preserve">ontwrichten </w:t>
      </w:r>
      <w:r w:rsidR="002B7149">
        <w:t xml:space="preserve">daarmee </w:t>
      </w:r>
      <w:r w:rsidR="00B36714">
        <w:t>de Oekraïense economie</w:t>
      </w:r>
      <w:r>
        <w:t>. De toename in het aantal Russische aanvallen vorm</w:t>
      </w:r>
      <w:r w:rsidR="002B7149">
        <w:t>t</w:t>
      </w:r>
      <w:r>
        <w:t xml:space="preserve"> een serieuze dreiging, zeker nu de wintermaanden weer voor de deur staan.</w:t>
      </w:r>
      <w:r w:rsidR="00047AE7">
        <w:t xml:space="preserve"> Oekraïne </w:t>
      </w:r>
      <w:r w:rsidR="0076209D">
        <w:t xml:space="preserve">kan </w:t>
      </w:r>
      <w:r w:rsidR="00047AE7">
        <w:t xml:space="preserve">door middel van de Nederlandse steun </w:t>
      </w:r>
      <w:r>
        <w:t xml:space="preserve">reservemateriaal </w:t>
      </w:r>
      <w:r w:rsidR="00047AE7">
        <w:t>aanleggen</w:t>
      </w:r>
      <w:r w:rsidR="009E3691">
        <w:t>,</w:t>
      </w:r>
      <w:r>
        <w:t xml:space="preserve"> beschadigde energie</w:t>
      </w:r>
      <w:r w:rsidR="002B7149">
        <w:t>-</w:t>
      </w:r>
      <w:r>
        <w:t>infrastructuur herstellen</w:t>
      </w:r>
      <w:r w:rsidR="009E3691">
        <w:t xml:space="preserve"> en mensen opleiden in de energiesector</w:t>
      </w:r>
      <w:r w:rsidR="00B36714">
        <w:t>.</w:t>
      </w:r>
      <w:r>
        <w:t xml:space="preserve"> </w:t>
      </w:r>
    </w:p>
    <w:p w:rsidR="00DE21A8" w:rsidP="00047AE7" w:rsidRDefault="00DE21A8" w14:paraId="1D95E4A9" w14:textId="77777777"/>
    <w:p w:rsidR="0094724E" w:rsidP="00047AE7" w:rsidRDefault="009E3691" w14:paraId="5374A93D" w14:textId="7DC80B23">
      <w:r>
        <w:t xml:space="preserve">Tegelijkertijd werkt </w:t>
      </w:r>
      <w:r w:rsidR="0094724E">
        <w:t xml:space="preserve">Nederland – via </w:t>
      </w:r>
      <w:r w:rsidR="002B7149">
        <w:t>IFI’s</w:t>
      </w:r>
      <w:r>
        <w:t xml:space="preserve"> en </w:t>
      </w:r>
      <w:r w:rsidR="0094724E">
        <w:t xml:space="preserve">bilateraal – </w:t>
      </w:r>
      <w:r>
        <w:t xml:space="preserve">ook aan de energietransitie in Oekraïne </w:t>
      </w:r>
      <w:r w:rsidR="0094724E">
        <w:t xml:space="preserve">met specifieke aandacht voor de inzet van nieuwe, duurzamere energiebronnen zoals wind- en zonne-energie. Deze transitie naar </w:t>
      </w:r>
      <w:r w:rsidRPr="005D1079" w:rsidR="0094724E">
        <w:t>een</w:t>
      </w:r>
      <w:r w:rsidR="006335C5">
        <w:t xml:space="preserve"> </w:t>
      </w:r>
      <w:proofErr w:type="spellStart"/>
      <w:r w:rsidRPr="006335C5" w:rsidR="002B7149">
        <w:t>decentraler</w:t>
      </w:r>
      <w:proofErr w:type="spellEnd"/>
      <w:r w:rsidRPr="006335C5" w:rsidR="0094724E">
        <w:t xml:space="preserve"> </w:t>
      </w:r>
      <w:r w:rsidRPr="006335C5" w:rsidR="005D1079">
        <w:t xml:space="preserve">en ook groener </w:t>
      </w:r>
      <w:r w:rsidRPr="006335C5" w:rsidR="0094724E">
        <w:t>energiesysteem</w:t>
      </w:r>
      <w:r w:rsidR="0094724E">
        <w:t xml:space="preserve"> m</w:t>
      </w:r>
      <w:r>
        <w:t>aakt</w:t>
      </w:r>
      <w:r w:rsidR="0094724E">
        <w:t xml:space="preserve"> Oekraïne weerbaarder tegen toekomstige dreigingen</w:t>
      </w:r>
      <w:r w:rsidR="005D1079">
        <w:t>.</w:t>
      </w:r>
      <w:r w:rsidR="006335C5">
        <w:t xml:space="preserve"> </w:t>
      </w:r>
      <w:r w:rsidR="00E902F5">
        <w:t xml:space="preserve">Het kabinet maakt in 2026 EUR 20 miljoen beschikbaar voor </w:t>
      </w:r>
      <w:r w:rsidR="007A1B72">
        <w:t xml:space="preserve">urgente noodsteun via </w:t>
      </w:r>
      <w:r w:rsidR="00E902F5">
        <w:t xml:space="preserve">een bijdrage aan het </w:t>
      </w:r>
      <w:r w:rsidR="00E902F5">
        <w:rPr>
          <w:i/>
          <w:iCs/>
        </w:rPr>
        <w:t>Ukraine Energy Support Fund</w:t>
      </w:r>
      <w:r w:rsidR="00E902F5">
        <w:t xml:space="preserve"> (UESF) en steunt de </w:t>
      </w:r>
      <w:r w:rsidRPr="00572AB5" w:rsidR="00E902F5">
        <w:rPr>
          <w:i/>
          <w:iCs/>
        </w:rPr>
        <w:t>International Labour Organisation</w:t>
      </w:r>
      <w:r w:rsidR="00E902F5">
        <w:t xml:space="preserve"> (ILO) met EUR 3 miljoen </w:t>
      </w:r>
      <w:r w:rsidR="00B22C3C">
        <w:t>waarmee steun geboden</w:t>
      </w:r>
      <w:r w:rsidR="00E902F5">
        <w:t xml:space="preserve"> </w:t>
      </w:r>
      <w:r w:rsidR="00B22C3C">
        <w:t xml:space="preserve">zal worden </w:t>
      </w:r>
      <w:r w:rsidR="00E902F5">
        <w:t xml:space="preserve">aan energiepersoneel in de publieke- en private sector. </w:t>
      </w:r>
    </w:p>
    <w:p w:rsidRPr="00B51181" w:rsidR="00B72FD8" w:rsidP="00047AE7" w:rsidRDefault="00B72FD8" w14:paraId="34D38C17" w14:textId="04CA7879">
      <w:pPr>
        <w:rPr>
          <w:i/>
        </w:rPr>
      </w:pPr>
    </w:p>
    <w:p w:rsidR="001C7907" w:rsidP="00A64567" w:rsidRDefault="003771BF" w14:paraId="5AFE642F" w14:textId="50AB703F">
      <w:r>
        <w:t xml:space="preserve">Gezien de hoge noden ten aanzien van energie en de prioriteit om bij te dragen aan herstel van de </w:t>
      </w:r>
      <w:r w:rsidR="00F32829">
        <w:t>getroffen</w:t>
      </w:r>
      <w:r>
        <w:t xml:space="preserve"> energievoorziening</w:t>
      </w:r>
      <w:r w:rsidR="002E0997">
        <w:t>,</w:t>
      </w:r>
      <w:r>
        <w:t xml:space="preserve"> </w:t>
      </w:r>
      <w:r w:rsidR="00DE21A8">
        <w:t>levert</w:t>
      </w:r>
      <w:r>
        <w:t xml:space="preserve"> </w:t>
      </w:r>
      <w:r w:rsidR="00DE21A8">
        <w:t>Nederland</w:t>
      </w:r>
      <w:r>
        <w:t xml:space="preserve"> </w:t>
      </w:r>
      <w:r w:rsidR="00DE21A8">
        <w:t xml:space="preserve">daarnaast een bijdrage van EUR 35 miljoen aan de </w:t>
      </w:r>
      <w:r w:rsidR="00EF5518">
        <w:rPr>
          <w:i/>
          <w:iCs/>
        </w:rPr>
        <w:t xml:space="preserve">European Bank for Reconstruction and </w:t>
      </w:r>
      <w:r w:rsidRPr="00324C00" w:rsidR="00EF5518">
        <w:t>Development</w:t>
      </w:r>
      <w:r w:rsidR="00EF5518">
        <w:t xml:space="preserve"> (</w:t>
      </w:r>
      <w:r w:rsidR="00DE21A8">
        <w:t>EBRD</w:t>
      </w:r>
      <w:r w:rsidR="00EF5518">
        <w:t>)</w:t>
      </w:r>
      <w:r w:rsidR="00DE21A8">
        <w:t xml:space="preserve">. </w:t>
      </w:r>
      <w:r w:rsidR="00A65C46">
        <w:t>De</w:t>
      </w:r>
      <w:r w:rsidR="002E0997">
        <w:t>ze</w:t>
      </w:r>
      <w:r w:rsidR="00A65C46">
        <w:t xml:space="preserve"> middelen zullen ingezet worden om inclusieve en </w:t>
      </w:r>
      <w:r w:rsidR="00A65C46">
        <w:lastRenderedPageBreak/>
        <w:t xml:space="preserve">duurzame wederopbouw te ondersteunen middels EBRD-projecten die inspelen op de noden die </w:t>
      </w:r>
      <w:r w:rsidR="00F32829">
        <w:t xml:space="preserve">zijn </w:t>
      </w:r>
      <w:r w:rsidR="008003C3">
        <w:t>geïdentificeerd</w:t>
      </w:r>
      <w:r w:rsidR="00A65C46">
        <w:t xml:space="preserve"> in de </w:t>
      </w:r>
      <w:r w:rsidR="00F32829">
        <w:t>RDNA4</w:t>
      </w:r>
      <w:r w:rsidR="002E0997">
        <w:t>, waaronder energie.</w:t>
      </w:r>
    </w:p>
    <w:p w:rsidR="003771BF" w:rsidP="00A64567" w:rsidRDefault="003771BF" w14:paraId="356F72E4" w14:textId="77777777"/>
    <w:p w:rsidRPr="0001049A" w:rsidR="00D31EB3" w:rsidP="00D31EB3" w:rsidRDefault="00D31EB3" w14:paraId="70E83B8B" w14:textId="77777777">
      <w:pPr>
        <w:shd w:val="clear" w:color="auto" w:fill="FFFFFF" w:themeFill="background1"/>
        <w:rPr>
          <w:i/>
          <w:iCs/>
        </w:rPr>
      </w:pPr>
      <w:r w:rsidRPr="0D711068">
        <w:rPr>
          <w:i/>
          <w:iCs/>
        </w:rPr>
        <w:t>Herstel van kritieke infrastructuur</w:t>
      </w:r>
    </w:p>
    <w:p w:rsidR="00D31EB3" w:rsidP="00D31EB3" w:rsidRDefault="00D31EB3" w14:paraId="184143B3" w14:textId="77777777">
      <w:r w:rsidRPr="00923DDF">
        <w:t xml:space="preserve">Het </w:t>
      </w:r>
      <w:r w:rsidRPr="00572AB5">
        <w:rPr>
          <w:i/>
        </w:rPr>
        <w:t>Ukraine Relief, Recovery, Reconstruction, and Reform Trust Fund</w:t>
      </w:r>
      <w:r>
        <w:rPr>
          <w:i/>
          <w:iCs/>
        </w:rPr>
        <w:t xml:space="preserve"> </w:t>
      </w:r>
      <w:r>
        <w:t xml:space="preserve">(URTF) </w:t>
      </w:r>
      <w:r w:rsidRPr="00923DDF">
        <w:t xml:space="preserve">van de Wereldbank </w:t>
      </w:r>
      <w:r>
        <w:t>is</w:t>
      </w:r>
      <w:r w:rsidRPr="00923DDF">
        <w:t xml:space="preserve"> een gecoördineerd financierings- en ond</w:t>
      </w:r>
      <w:r>
        <w:t xml:space="preserve">ersteuningsmechanisme om de regering van Oekraïne te helpen bij het herstel van kritieke infrastructuur. Het fonds focust zich op het herstel van essentiële infrastructuur binnen de sectoren gezondheidszorg, infrastructuur, elektriciteitsnetwerk, huisvesting, landbouw en onderwijs. Nederland levert in 2026 een bijdrage van EUR 55 miljoen, dat is in lijn met de bijdragen van afgelopen jaren. Het URTF helpt Oekraïne direct bij de liquiditeitsbehoefte op het gebied van kritiek herstel en de ondersteuning van kritieke overheidsdiensten. Met eerdere steun uit het URTF is onder andere hulp gegeven aan de Oekraïense spoorwegen, revalidatiediensten en het elektriciteitsnetwerk. </w:t>
      </w:r>
    </w:p>
    <w:p w:rsidRPr="00D31EB3" w:rsidR="00D31EB3" w:rsidP="00A64567" w:rsidRDefault="00D31EB3" w14:paraId="379A2164" w14:textId="77777777"/>
    <w:p w:rsidRPr="007077BF" w:rsidR="00A64567" w:rsidP="00A64567" w:rsidRDefault="00A64567" w14:paraId="4640DFDB" w14:textId="13E79DB7">
      <w:pPr>
        <w:rPr>
          <w:i/>
        </w:rPr>
      </w:pPr>
      <w:r w:rsidRPr="001C7907">
        <w:rPr>
          <w:i/>
          <w:iCs/>
        </w:rPr>
        <w:t xml:space="preserve">Humanitaire hulp </w:t>
      </w:r>
    </w:p>
    <w:p w:rsidR="00C027EB" w:rsidP="006E5AB9" w:rsidRDefault="00A64567" w14:paraId="4216DC65" w14:textId="12AF62C2">
      <w:r w:rsidRPr="001C7907">
        <w:t xml:space="preserve">De humanitaire situatie in </w:t>
      </w:r>
      <w:r w:rsidR="002E0997">
        <w:t xml:space="preserve">met name </w:t>
      </w:r>
      <w:r w:rsidRPr="001C7907">
        <w:t xml:space="preserve">de frontregio’s verslechtert en de noden groeien in complexiteit door een </w:t>
      </w:r>
      <w:r w:rsidR="002B7149">
        <w:t>op</w:t>
      </w:r>
      <w:r w:rsidRPr="001C7907">
        <w:t>stapeling van problemen, zoals gebrek aan voedsel, drinkwater, veiligheid, medische voorzieningen en energie. Het aantal ontheemden</w:t>
      </w:r>
      <w:r w:rsidR="00FB560C">
        <w:t xml:space="preserve"> in </w:t>
      </w:r>
      <w:r w:rsidR="002B7149">
        <w:t>Oekraïne</w:t>
      </w:r>
      <w:r w:rsidRPr="001C7907">
        <w:t xml:space="preserve"> ligt rond de 3</w:t>
      </w:r>
      <w:r w:rsidR="00B078B0">
        <w:t>,</w:t>
      </w:r>
      <w:r w:rsidR="00003CE3">
        <w:t>6</w:t>
      </w:r>
      <w:r w:rsidRPr="001C7907">
        <w:t xml:space="preserve"> </w:t>
      </w:r>
      <w:r w:rsidR="00B078B0">
        <w:t>miljoen</w:t>
      </w:r>
      <w:r w:rsidRPr="001C7907">
        <w:t xml:space="preserve"> en dit aantal </w:t>
      </w:r>
      <w:r w:rsidR="002E0997">
        <w:t xml:space="preserve">neemt </w:t>
      </w:r>
      <w:r w:rsidRPr="001C7907">
        <w:t>toe.</w:t>
      </w:r>
      <w:r w:rsidRPr="00572AB5" w:rsidR="002B7149">
        <w:rPr>
          <w:strike/>
        </w:rPr>
        <w:t xml:space="preserve"> </w:t>
      </w:r>
      <w:r w:rsidR="00E727E1">
        <w:t xml:space="preserve"> Tegelijkertijd hebben h</w:t>
      </w:r>
      <w:r w:rsidR="00CC50C8">
        <w:t xml:space="preserve">umanitaire organisaties </w:t>
      </w:r>
      <w:r w:rsidR="00E727E1">
        <w:t xml:space="preserve">hun plannen moeten bijstellen door de wereldwijde bezuinigingen. Het humanitaire responsplan van de VN </w:t>
      </w:r>
      <w:r w:rsidR="00CC50C8">
        <w:t>concentre</w:t>
      </w:r>
      <w:r w:rsidR="00E727E1">
        <w:t>e</w:t>
      </w:r>
      <w:r w:rsidR="00CC50C8">
        <w:t>r</w:t>
      </w:r>
      <w:r w:rsidR="00E727E1">
        <w:t>t</w:t>
      </w:r>
      <w:r w:rsidR="00CC50C8">
        <w:t xml:space="preserve"> zich </w:t>
      </w:r>
      <w:r w:rsidR="00E727E1">
        <w:t xml:space="preserve">nu nog meer dan voorheen </w:t>
      </w:r>
      <w:r w:rsidR="00CC50C8">
        <w:t xml:space="preserve">op </w:t>
      </w:r>
      <w:r w:rsidR="00E727E1">
        <w:t xml:space="preserve">humanitaire noden van de meest kwetsbare mensen langs de frontlijnen en in collectieve opvangcentra. Nederland levert opnieuw – naast </w:t>
      </w:r>
      <w:r w:rsidR="00C44607">
        <w:t>meerjarige, flexibele</w:t>
      </w:r>
      <w:r w:rsidR="00DC6D2B">
        <w:t xml:space="preserve"> </w:t>
      </w:r>
      <w:r w:rsidDel="00C44607" w:rsidR="00E727E1">
        <w:t>algemene steun</w:t>
      </w:r>
      <w:r w:rsidR="00B51181">
        <w:t xml:space="preserve"> </w:t>
      </w:r>
      <w:r w:rsidR="00C44607">
        <w:t>financiering aan</w:t>
      </w:r>
      <w:r w:rsidR="00E727E1">
        <w:t xml:space="preserve"> humanitaire partners</w:t>
      </w:r>
      <w:r w:rsidR="00C44607">
        <w:rPr>
          <w:rStyle w:val="FootnoteReference"/>
        </w:rPr>
        <w:footnoteReference w:id="2"/>
      </w:r>
      <w:r w:rsidR="00E727E1">
        <w:t xml:space="preserve"> die zij ook in Oekraïne kunnen inzetten - gerichte steun voor humanitaire actie in Oekraïne via het VN </w:t>
      </w:r>
      <w:r w:rsidRPr="488B10BF" w:rsidR="00E727E1">
        <w:rPr>
          <w:i/>
          <w:iCs/>
        </w:rPr>
        <w:t>Ukraine Humanitarian Fund</w:t>
      </w:r>
      <w:r w:rsidR="00E727E1">
        <w:t xml:space="preserve">. </w:t>
      </w:r>
      <w:r w:rsidRPr="001C7907">
        <w:t xml:space="preserve">Ook </w:t>
      </w:r>
      <w:r w:rsidR="00E727E1">
        <w:t xml:space="preserve">geeft Nederland opnieuw een bijdrage aan het </w:t>
      </w:r>
      <w:r w:rsidRPr="488B10BF" w:rsidR="00E727E1">
        <w:rPr>
          <w:rFonts w:eastAsia="Aptos" w:cs="Aptos"/>
          <w:i/>
          <w:iCs/>
        </w:rPr>
        <w:t xml:space="preserve">International Committee of the Red Cross </w:t>
      </w:r>
      <w:r w:rsidR="00E727E1">
        <w:rPr>
          <w:rFonts w:eastAsia="Aptos" w:cs="Aptos"/>
        </w:rPr>
        <w:t>(ICRC). UHF en ICRC bieden primaire levensbehoeften (onderdak, water, voedsel, medische hulp) aan direct getroffenen en meest kwetsbare bevolking. ICRC speelt bovendien een belangrijke rol</w:t>
      </w:r>
      <w:r w:rsidRPr="001C7907">
        <w:t xml:space="preserve"> </w:t>
      </w:r>
      <w:r w:rsidR="00FB560C">
        <w:t>bij</w:t>
      </w:r>
      <w:r w:rsidRPr="001C7907">
        <w:t xml:space="preserve"> aan het opsporen van vermiste personen en het herenigen van families. </w:t>
      </w:r>
      <w:r w:rsidR="00BE6A87">
        <w:t>Voor het bieden van humanitaire hulp via UHF en ICRC is EUR 15 miljoen beschikbaar in 2026.</w:t>
      </w:r>
      <w:r w:rsidR="00C027EB">
        <w:rPr>
          <w:rFonts w:eastAsia="Aptos" w:cs="Aptos"/>
        </w:rPr>
        <w:t xml:space="preserve"> </w:t>
      </w:r>
      <w:r w:rsidR="00C027EB">
        <w:rPr>
          <w:rFonts w:eastAsia="Aptos" w:cs="Aptos"/>
        </w:rPr>
        <w:br/>
      </w:r>
    </w:p>
    <w:p w:rsidRPr="00C027EB" w:rsidR="008B0271" w:rsidP="008B0271" w:rsidRDefault="008B0271" w14:paraId="3507E7C3" w14:textId="70B2E8A8">
      <w:pPr>
        <w:rPr>
          <w:i/>
          <w:iCs/>
        </w:rPr>
      </w:pPr>
      <w:r w:rsidRPr="00C027EB">
        <w:rPr>
          <w:i/>
          <w:iCs/>
        </w:rPr>
        <w:t xml:space="preserve">Versterking </w:t>
      </w:r>
      <w:r>
        <w:rPr>
          <w:i/>
          <w:iCs/>
        </w:rPr>
        <w:t xml:space="preserve">van </w:t>
      </w:r>
      <w:r w:rsidRPr="00C027EB">
        <w:rPr>
          <w:i/>
          <w:iCs/>
        </w:rPr>
        <w:t>lokale capaciteit</w:t>
      </w:r>
      <w:r>
        <w:rPr>
          <w:i/>
          <w:iCs/>
        </w:rPr>
        <w:t xml:space="preserve"> en sociale zekerheid</w:t>
      </w:r>
    </w:p>
    <w:p w:rsidR="008B0271" w:rsidP="008B0271" w:rsidRDefault="008B0271" w14:paraId="0B52ECAC" w14:textId="40940656">
      <w:pPr>
        <w:rPr>
          <w:rFonts w:eastAsia="Aptos" w:cs="Aptos"/>
        </w:rPr>
      </w:pPr>
      <w:r>
        <w:t xml:space="preserve">Behalve humanitaire noden als direct gevolg van oorlogshandelingen, is er in heel Oekraïne ook sprake van sociale noden. Armoede verdiept zich door de oorlog. De manieren waarop mensen kunnen overleven raken uitgeput. In antwoord hierop is een adequaat sociaal </w:t>
      </w:r>
      <w:r w:rsidRPr="006335C5">
        <w:t xml:space="preserve">vangnet </w:t>
      </w:r>
      <w:r w:rsidRPr="006335C5" w:rsidR="0090269C">
        <w:t xml:space="preserve">van de Oekraïense overheid </w:t>
      </w:r>
      <w:r w:rsidRPr="006335C5">
        <w:t>noodzakelijk</w:t>
      </w:r>
      <w:r w:rsidR="006335C5">
        <w:rPr>
          <w:color w:val="auto"/>
        </w:rPr>
        <w:t xml:space="preserve">. </w:t>
      </w:r>
      <w:r>
        <w:t xml:space="preserve">Sociale zekerheid maakt deel uit van de overheidsdienstverlening die in stand moet blijven en versterkt moet worden wil het land overleven en op termijn weerbaar en economisch sterk uit de oorlog komen. </w:t>
      </w:r>
      <w:r w:rsidR="004D72AC">
        <w:t xml:space="preserve">Ook bijvoorbeeld werkgelegenheid en het faciliteren van ondernemerschap behoren daartoe. De verantwoordelijkheden hiervoor liggen grotendeels bij lokale overheden. </w:t>
      </w:r>
      <w:r w:rsidRPr="006E5AB9">
        <w:t>Het is van belang dat d</w:t>
      </w:r>
      <w:r w:rsidR="004D72AC">
        <w:t>i</w:t>
      </w:r>
      <w:r w:rsidRPr="006E5AB9">
        <w:t>e overheden voldoende</w:t>
      </w:r>
      <w:r>
        <w:t xml:space="preserve"> kennis,</w:t>
      </w:r>
      <w:r w:rsidRPr="006E5AB9">
        <w:t xml:space="preserve"> capaciteit en legitimiteit hebben om aan </w:t>
      </w:r>
      <w:proofErr w:type="spellStart"/>
      <w:r w:rsidR="004D72AC">
        <w:t>sociaal-economische</w:t>
      </w:r>
      <w:proofErr w:type="spellEnd"/>
      <w:r w:rsidR="004D72AC">
        <w:t xml:space="preserve"> en </w:t>
      </w:r>
      <w:r w:rsidRPr="006E5AB9">
        <w:t>herstel- en wederopbouwopgave</w:t>
      </w:r>
      <w:r w:rsidR="004D72AC">
        <w:t>n</w:t>
      </w:r>
      <w:r w:rsidRPr="006E5AB9">
        <w:t xml:space="preserve"> te voldoen</w:t>
      </w:r>
      <w:r w:rsidR="004D72AC">
        <w:t>.</w:t>
      </w:r>
      <w:r w:rsidRPr="006E5AB9">
        <w:t xml:space="preserve"> </w:t>
      </w:r>
      <w:r w:rsidR="004D72AC">
        <w:t xml:space="preserve">Adequate en zichtbare lokale dienstverlening draagt ook bij aan randvoorwaarden </w:t>
      </w:r>
      <w:r w:rsidRPr="006E5AB9">
        <w:t>voor (vrijwillige) terugkeer van vluchtelingen, zodra dit kan.</w:t>
      </w:r>
      <w:r>
        <w:rPr>
          <w:rFonts w:eastAsia="Aptos" w:cs="Aptos"/>
        </w:rPr>
        <w:t xml:space="preserve"> </w:t>
      </w:r>
      <w:r w:rsidR="004D72AC">
        <w:rPr>
          <w:rFonts w:eastAsia="Aptos" w:cs="Aptos"/>
        </w:rPr>
        <w:t>In aanvulling op de humanitaire bijdragen zal Nederland in 2026 via het herstelprogramma (</w:t>
      </w:r>
      <w:r w:rsidRPr="00572AB5" w:rsidR="004D72AC">
        <w:rPr>
          <w:rFonts w:eastAsia="Aptos" w:cs="Aptos"/>
          <w:i/>
          <w:iCs/>
        </w:rPr>
        <w:t>area-</w:t>
      </w:r>
      <w:proofErr w:type="spellStart"/>
      <w:r w:rsidRPr="00572AB5" w:rsidR="004D72AC">
        <w:rPr>
          <w:rFonts w:eastAsia="Aptos" w:cs="Aptos"/>
          <w:i/>
          <w:iCs/>
        </w:rPr>
        <w:lastRenderedPageBreak/>
        <w:t>based</w:t>
      </w:r>
      <w:proofErr w:type="spellEnd"/>
      <w:r w:rsidRPr="00572AB5" w:rsidR="004D72AC">
        <w:rPr>
          <w:rFonts w:eastAsia="Aptos" w:cs="Aptos"/>
          <w:i/>
          <w:iCs/>
        </w:rPr>
        <w:t xml:space="preserve"> recovery approach</w:t>
      </w:r>
      <w:r w:rsidR="004D72AC">
        <w:rPr>
          <w:rFonts w:eastAsia="Aptos" w:cs="Aptos"/>
        </w:rPr>
        <w:t>) van UNDP EUR 6 miljoen bijdragen aan versterking van capaciteit en dienstverlening door lokale overheden</w:t>
      </w:r>
      <w:r w:rsidR="00630D6A">
        <w:rPr>
          <w:rFonts w:eastAsia="Aptos" w:cs="Aptos"/>
        </w:rPr>
        <w:t>.</w:t>
      </w:r>
    </w:p>
    <w:p w:rsidR="004D72AC" w:rsidP="008B0271" w:rsidRDefault="004D72AC" w14:paraId="3E56D4C3" w14:textId="77777777">
      <w:pPr>
        <w:rPr>
          <w:rFonts w:eastAsia="Aptos" w:cs="Aptos"/>
        </w:rPr>
      </w:pPr>
    </w:p>
    <w:p w:rsidRPr="00A11F54" w:rsidR="00C027EB" w:rsidP="00C027EB" w:rsidRDefault="00C027EB" w14:paraId="4B3EEDE0" w14:textId="77777777">
      <w:pPr>
        <w:rPr>
          <w:i/>
        </w:rPr>
      </w:pPr>
      <w:r w:rsidRPr="00762EB9">
        <w:rPr>
          <w:i/>
          <w:iCs/>
        </w:rPr>
        <w:t>Gezondheidszorg en (</w:t>
      </w:r>
      <w:proofErr w:type="spellStart"/>
      <w:r w:rsidRPr="00762EB9">
        <w:rPr>
          <w:i/>
          <w:iCs/>
        </w:rPr>
        <w:t>psycho</w:t>
      </w:r>
      <w:proofErr w:type="spellEnd"/>
      <w:r w:rsidRPr="00762EB9">
        <w:rPr>
          <w:i/>
          <w:iCs/>
        </w:rPr>
        <w:t>)sociale weerbaarheid</w:t>
      </w:r>
    </w:p>
    <w:p w:rsidR="00E66BD9" w:rsidP="00C027EB" w:rsidRDefault="00C027EB" w14:paraId="639B244A" w14:textId="29669717">
      <w:r>
        <w:t xml:space="preserve">Gezondheidszorg is een basisvoorwaarde voor een stabiele samenleving en </w:t>
      </w:r>
      <w:r w:rsidR="002B7149">
        <w:t xml:space="preserve">een </w:t>
      </w:r>
      <w:r>
        <w:t>voortvarende economie. Momenteel heeft 86% van alle huishoudens in het land moeite om toegang tot de juiste zorg en medicijnen te krijgen.</w:t>
      </w:r>
      <w:r w:rsidR="0076209D">
        <w:t xml:space="preserve"> </w:t>
      </w:r>
      <w:r w:rsidRPr="00954F4C">
        <w:t>Via het Nederlandse steunpakket kunnen de urgente medische noden van Oekraïne worden geadresseerd en het gezondheidsstelsel worden versterkt. Deze inzet draagt bij aan de gezondheid en zelfredzaamheid van de bevolking en het perspectief op vrijwillige terugkeer.</w:t>
      </w:r>
      <w:r>
        <w:t xml:space="preserve"> Nederland levert in 2026 een bijdrage van EUR </w:t>
      </w:r>
      <w:r w:rsidR="00E66BD9">
        <w:t>4</w:t>
      </w:r>
      <w:r>
        <w:t xml:space="preserve">,8 miljoen aan de </w:t>
      </w:r>
      <w:r w:rsidR="008003C3">
        <w:t>Wereldgezondheidsorganisatie (</w:t>
      </w:r>
      <w:r>
        <w:t>WHO</w:t>
      </w:r>
      <w:r w:rsidR="008003C3">
        <w:t>)</w:t>
      </w:r>
      <w:r>
        <w:t xml:space="preserve">, en EUR 5,2 miljoen voor UNAIDS. </w:t>
      </w:r>
    </w:p>
    <w:p w:rsidR="00E66BD9" w:rsidP="00C027EB" w:rsidRDefault="00E66BD9" w14:paraId="1687093D" w14:textId="77777777"/>
    <w:p w:rsidR="00C027EB" w:rsidP="00C027EB" w:rsidRDefault="00E66BD9" w14:paraId="4838833D" w14:textId="1FA66B5C">
      <w:r>
        <w:t>Nederland is ook een belangrijke partner van Oekraïne op het gebied van geestelijke gezondheid en psychosociale weerbaarheid, belangrijke factoren voor overlevings- en herstelvermogen van de Oekraïense samenleving. Nederland draagt via WHO bij aan de Oekraïense inspanningen om toegankelijke geestelijke gezondheidszorg te bieden en om hier een toekomstbestendig systeem voor te vormen. Bovendien ondersteunt Nederland via</w:t>
      </w:r>
      <w:r w:rsidR="00C027EB">
        <w:t xml:space="preserve"> de </w:t>
      </w:r>
      <w:r w:rsidRPr="00DA4A06" w:rsidR="00C027EB">
        <w:rPr>
          <w:i/>
        </w:rPr>
        <w:t xml:space="preserve">European Union </w:t>
      </w:r>
      <w:proofErr w:type="spellStart"/>
      <w:r w:rsidRPr="00DA4A06" w:rsidR="00C027EB">
        <w:rPr>
          <w:i/>
        </w:rPr>
        <w:t>A</w:t>
      </w:r>
      <w:r w:rsidRPr="00DA4A06">
        <w:rPr>
          <w:i/>
        </w:rPr>
        <w:t>dvisory</w:t>
      </w:r>
      <w:proofErr w:type="spellEnd"/>
      <w:r w:rsidRPr="00DA4A06" w:rsidR="00C027EB">
        <w:rPr>
          <w:i/>
        </w:rPr>
        <w:t xml:space="preserve"> Mission</w:t>
      </w:r>
      <w:r w:rsidR="00C027EB">
        <w:t xml:space="preserve"> (EUAM) </w:t>
      </w:r>
      <w:r>
        <w:t xml:space="preserve">mentale zorg </w:t>
      </w:r>
      <w:r w:rsidR="00C027EB">
        <w:t xml:space="preserve">voor de Oekraïense politie. </w:t>
      </w:r>
      <w:bookmarkStart w:name="_Hlk209433542" w:id="0"/>
      <w:r>
        <w:t xml:space="preserve">Voor deze inzet via WHO en EUAM is </w:t>
      </w:r>
      <w:r w:rsidR="00657EE4">
        <w:t>in</w:t>
      </w:r>
      <w:r>
        <w:t xml:space="preserve"> 2026 EUR 7 miljoen voorzien.</w:t>
      </w:r>
      <w:bookmarkEnd w:id="0"/>
    </w:p>
    <w:p w:rsidR="00C027EB" w:rsidP="006E5AB9" w:rsidRDefault="00C027EB" w14:paraId="629AB9CA" w14:textId="77777777"/>
    <w:p w:rsidRPr="0001049A" w:rsidR="00A64567" w:rsidP="0D711068" w:rsidRDefault="00FB560C" w14:paraId="68622300" w14:textId="183815DF">
      <w:pPr>
        <w:shd w:val="clear" w:color="auto" w:fill="FFFFFF" w:themeFill="background1"/>
        <w:rPr>
          <w:i/>
          <w:iCs/>
        </w:rPr>
      </w:pPr>
      <w:r w:rsidRPr="0D711068">
        <w:rPr>
          <w:i/>
          <w:iCs/>
        </w:rPr>
        <w:t>Ondersteuning van de p</w:t>
      </w:r>
      <w:r w:rsidRPr="0D711068" w:rsidR="00A64567">
        <w:rPr>
          <w:i/>
          <w:iCs/>
        </w:rPr>
        <w:t xml:space="preserve">rivate sector </w:t>
      </w:r>
    </w:p>
    <w:p w:rsidR="00A64567" w:rsidP="00A64567" w:rsidRDefault="00A64567" w14:paraId="17E5AA05" w14:textId="09C3F13B">
      <w:r w:rsidRPr="00EC01EB">
        <w:t xml:space="preserve">De </w:t>
      </w:r>
      <w:r w:rsidR="00FB560C">
        <w:t>wederopbouw</w:t>
      </w:r>
      <w:r w:rsidRPr="00EC01EB">
        <w:t xml:space="preserve"> van </w:t>
      </w:r>
      <w:r>
        <w:t>O</w:t>
      </w:r>
      <w:r w:rsidR="00AE0221">
        <w:t>ekraïne</w:t>
      </w:r>
      <w:r w:rsidRPr="00EC01EB">
        <w:t xml:space="preserve"> is </w:t>
      </w:r>
      <w:r w:rsidR="00567A2D">
        <w:t xml:space="preserve">een </w:t>
      </w:r>
      <w:r w:rsidRPr="00EC01EB">
        <w:t>te gro</w:t>
      </w:r>
      <w:r w:rsidR="00FB560C">
        <w:t>te opgave</w:t>
      </w:r>
      <w:r w:rsidRPr="00EC01EB">
        <w:t xml:space="preserve"> om enkel vanuit de publieke sector te dragen</w:t>
      </w:r>
      <w:r w:rsidR="00567A2D">
        <w:t>:</w:t>
      </w:r>
      <w:r w:rsidRPr="00EC01EB">
        <w:t xml:space="preserve"> geschat wordt dat het aandeel van de private sector in de wederopbouw van </w:t>
      </w:r>
      <w:r>
        <w:t>O</w:t>
      </w:r>
      <w:r w:rsidR="00AE0221">
        <w:t>ekraïne</w:t>
      </w:r>
      <w:r w:rsidRPr="00EC01EB">
        <w:t xml:space="preserve"> kan doorgroeien tot c</w:t>
      </w:r>
      <w:r w:rsidR="00567A2D">
        <w:t>irca</w:t>
      </w:r>
      <w:r w:rsidRPr="00EC01EB">
        <w:t xml:space="preserve"> 30%. Daarin liggen ook kansen voor het N</w:t>
      </w:r>
      <w:r w:rsidR="00AE0221">
        <w:t>ederlandse</w:t>
      </w:r>
      <w:r w:rsidRPr="00EC01EB">
        <w:t xml:space="preserve"> bedrijfsleven.</w:t>
      </w:r>
      <w:r w:rsidR="00762EB9">
        <w:t xml:space="preserve"> Via de private sector inzet worden</w:t>
      </w:r>
      <w:r>
        <w:t xml:space="preserve"> bedrijven en maatschappelijke organisaties ondersteund bij het opzetten van projecten die ten goede komen aan herstel en wederopbouw binnen de sectoren agrofood, circulaire bouw, duurzame energie, gezondheidszorg en water. </w:t>
      </w:r>
      <w:r w:rsidR="00B50117">
        <w:t xml:space="preserve">Er wordt EUR 30 miljoen ingezet ten behoeve van de derde ronde van de </w:t>
      </w:r>
      <w:r w:rsidRPr="488B10BF" w:rsidR="00B50117">
        <w:rPr>
          <w:i/>
          <w:iCs/>
        </w:rPr>
        <w:t>Ukraine Partnership Facility</w:t>
      </w:r>
      <w:r w:rsidR="00B50117">
        <w:t xml:space="preserve"> (UPF3). </w:t>
      </w:r>
      <w:r w:rsidR="005A756E">
        <w:t>Hiermee kunnen Nederlandse bedrijven gestimuleerd worden om hun kennis, expertise en financiële middelen bij te dragen aan het herstel- en wederopbouw van Oekraïne.</w:t>
      </w:r>
      <w:r w:rsidR="005229F0">
        <w:t xml:space="preserve"> </w:t>
      </w:r>
      <w:r w:rsidR="00B1776E">
        <w:t xml:space="preserve">Ook maakt Nederland EUR 1 miljoen beschikbaar </w:t>
      </w:r>
      <w:r w:rsidR="002E32F8">
        <w:t xml:space="preserve">ten behoeve van het </w:t>
      </w:r>
      <w:r w:rsidR="00524770">
        <w:t>OESO-</w:t>
      </w:r>
      <w:r w:rsidR="002E32F8">
        <w:t xml:space="preserve">landenprogramma voor </w:t>
      </w:r>
      <w:r w:rsidR="00383139">
        <w:t>Oekraïne</w:t>
      </w:r>
      <w:r w:rsidR="00524770">
        <w:t xml:space="preserve"> dat is gericht op capaciteitsopbouw en vergroting van de absorptiecapaciteit van </w:t>
      </w:r>
      <w:r w:rsidR="00383139">
        <w:t>Oekraïense</w:t>
      </w:r>
      <w:r w:rsidR="00524770">
        <w:t xml:space="preserve"> overheidsinstellingen. </w:t>
      </w:r>
      <w:r w:rsidRPr="00524770" w:rsidR="00524770">
        <w:t xml:space="preserve">Dit programma </w:t>
      </w:r>
      <w:r w:rsidR="00524770">
        <w:t xml:space="preserve">draagt bij aan </w:t>
      </w:r>
      <w:r w:rsidR="000F765A">
        <w:t xml:space="preserve">benodigde </w:t>
      </w:r>
      <w:r w:rsidR="00524770">
        <w:t>economische hervormingen en het leggen van een</w:t>
      </w:r>
      <w:r w:rsidRPr="00524770" w:rsidR="00524770">
        <w:t xml:space="preserve"> economisch fundament voor de toekomst</w:t>
      </w:r>
      <w:r w:rsidR="00524770">
        <w:t>.</w:t>
      </w:r>
      <w:r w:rsidR="00567A2D">
        <w:br/>
      </w:r>
    </w:p>
    <w:p w:rsidRPr="00A11F54" w:rsidR="00A64567" w:rsidP="00A64567" w:rsidRDefault="00A64567" w14:paraId="7EBADCFD" w14:textId="77777777">
      <w:pPr>
        <w:rPr>
          <w:i/>
        </w:rPr>
      </w:pPr>
      <w:r w:rsidRPr="006F4962">
        <w:rPr>
          <w:i/>
          <w:iCs/>
        </w:rPr>
        <w:t>Humanitaire ontmijning</w:t>
      </w:r>
    </w:p>
    <w:p w:rsidR="00A64567" w:rsidP="00A64567" w:rsidRDefault="00A64567" w14:paraId="61BCC254" w14:textId="55D62AF9">
      <w:r>
        <w:t>O</w:t>
      </w:r>
      <w:r w:rsidR="006F4962">
        <w:t>ekraïne</w:t>
      </w:r>
      <w:r>
        <w:t xml:space="preserve"> is het land met de meeste </w:t>
      </w:r>
      <w:r w:rsidR="002E32F8">
        <w:t xml:space="preserve">mijnen en </w:t>
      </w:r>
      <w:r>
        <w:t>explosieve oorlogsresten ter wereld. Naar schatting is meer dan 139.000 km2 land potentieel vervuild (c</w:t>
      </w:r>
      <w:r w:rsidR="00567A2D">
        <w:t>irca</w:t>
      </w:r>
      <w:r>
        <w:t xml:space="preserve"> een kwart van het land). </w:t>
      </w:r>
      <w:r w:rsidR="006F4962">
        <w:t xml:space="preserve">Nederlandse steun </w:t>
      </w:r>
      <w:r w:rsidR="00CB2E99">
        <w:t xml:space="preserve">aan ontmijningsactiviteiten </w:t>
      </w:r>
      <w:r w:rsidR="006F4962">
        <w:t xml:space="preserve">draagt bij aan het vergroten van </w:t>
      </w:r>
      <w:r>
        <w:t xml:space="preserve">de veiligheid van mensen </w:t>
      </w:r>
      <w:r w:rsidR="006F4962">
        <w:t xml:space="preserve">en het weer in gebruik nemen van </w:t>
      </w:r>
      <w:r>
        <w:t>landbouwgrond w</w:t>
      </w:r>
      <w:r w:rsidR="006F4962">
        <w:t xml:space="preserve">aarmee de </w:t>
      </w:r>
      <w:r>
        <w:t>voedselzekerheid zal worden versterkt.</w:t>
      </w:r>
      <w:r w:rsidR="00C62C36">
        <w:t xml:space="preserve"> </w:t>
      </w:r>
      <w:r w:rsidR="0050791B">
        <w:t>Nederland investeert ook in het versterken van de capaciteit van Oekraïne om de enorme uitdaging</w:t>
      </w:r>
      <w:r w:rsidR="00CB2E99">
        <w:t>en</w:t>
      </w:r>
      <w:r w:rsidR="0050791B">
        <w:t xml:space="preserve"> op het gebied van ontmijning op zo </w:t>
      </w:r>
      <w:r w:rsidR="0001049A">
        <w:t>efficiënt</w:t>
      </w:r>
      <w:r w:rsidR="0050791B">
        <w:t xml:space="preserve"> mogelijke wijze het hoofd te bieden. Hiervoor </w:t>
      </w:r>
      <w:r w:rsidR="00C62C36">
        <w:t xml:space="preserve">wordt </w:t>
      </w:r>
      <w:r w:rsidR="0050791B">
        <w:t>in 2026</w:t>
      </w:r>
      <w:r w:rsidR="00C62C36">
        <w:t xml:space="preserve"> EUR 10 miljoen beschikbaar gesteld.</w:t>
      </w:r>
    </w:p>
    <w:p w:rsidR="00524770" w:rsidP="00A64567" w:rsidRDefault="00524770" w14:paraId="030429D0" w14:textId="77777777"/>
    <w:p w:rsidR="00524770" w:rsidP="00A64567" w:rsidRDefault="00524770" w14:paraId="0747E6CA" w14:textId="77777777"/>
    <w:p w:rsidR="009775F2" w:rsidP="00A64567" w:rsidRDefault="009775F2" w14:paraId="17DA5C37" w14:textId="1FF6C2BE">
      <w:pPr>
        <w:rPr>
          <w:i/>
          <w:iCs/>
        </w:rPr>
      </w:pPr>
      <w:r>
        <w:rPr>
          <w:i/>
          <w:iCs/>
        </w:rPr>
        <w:lastRenderedPageBreak/>
        <w:t xml:space="preserve">Accountability </w:t>
      </w:r>
    </w:p>
    <w:p w:rsidR="009775F2" w:rsidP="00A64567" w:rsidRDefault="00B80085" w14:paraId="1E805588" w14:textId="676997F8">
      <w:r w:rsidRPr="00B80085">
        <w:t xml:space="preserve">De Russische agressie en flagrante schendingen van het internationaal recht bedreigen niet alleen Oekraïne, maar vormen ook een bedreiging voor de internationale rechtsorde als zodanig. Nederland is voortrekker op gerechtigheid voor Oekraïne en </w:t>
      </w:r>
      <w:r w:rsidR="00767FD8">
        <w:t xml:space="preserve">de bestrijding van </w:t>
      </w:r>
      <w:r w:rsidR="5D1A6A42">
        <w:t>straffeloosheid</w:t>
      </w:r>
      <w:r w:rsidR="00767FD8">
        <w:t xml:space="preserve"> van Rusland voor internationale </w:t>
      </w:r>
      <w:r w:rsidRPr="00B80085">
        <w:t>misdrijven</w:t>
      </w:r>
      <w:r w:rsidRPr="0D711068">
        <w:t xml:space="preserve">. </w:t>
      </w:r>
      <w:r w:rsidRPr="00DA7F35" w:rsidR="00DA7F35">
        <w:t>De verwachting is dat meer dan 95 procent van de opsporing, vervolging en berechting van internationale misdrijven die het gevolg zijn van Russische agressie tegen Oekraïne door de Oekraïense nationale instanties ter hand moet worden genomen.</w:t>
      </w:r>
      <w:r w:rsidR="00DA7F35">
        <w:t xml:space="preserve"> Daarom </w:t>
      </w:r>
      <w:r w:rsidR="009B517E">
        <w:t xml:space="preserve">is </w:t>
      </w:r>
      <w:r w:rsidR="00DA7F35">
        <w:t>verdere capaciteits</w:t>
      </w:r>
      <w:r w:rsidR="00767FD8">
        <w:t xml:space="preserve">versterking </w:t>
      </w:r>
      <w:r w:rsidR="00DA7F35">
        <w:t xml:space="preserve">van nationale actoren </w:t>
      </w:r>
      <w:r w:rsidR="00767FD8">
        <w:t xml:space="preserve">verantwoordelijk voor de opsporing, vervolging en berechting </w:t>
      </w:r>
      <w:r w:rsidR="488B10BF">
        <w:t>essentieel</w:t>
      </w:r>
      <w:r w:rsidR="00DA7F35">
        <w:t xml:space="preserve">. Met </w:t>
      </w:r>
      <w:r w:rsidR="29511230">
        <w:t xml:space="preserve">de </w:t>
      </w:r>
      <w:r w:rsidR="009B517E">
        <w:t xml:space="preserve">extra bijdrage van </w:t>
      </w:r>
      <w:r w:rsidR="00DA7F35">
        <w:t xml:space="preserve">EUR 5 miljoen </w:t>
      </w:r>
      <w:r w:rsidR="29511230">
        <w:t xml:space="preserve">draagt </w:t>
      </w:r>
      <w:r w:rsidR="00DA7F35">
        <w:t xml:space="preserve">Nederland bij </w:t>
      </w:r>
      <w:r w:rsidR="00767FD8">
        <w:t xml:space="preserve">aan de </w:t>
      </w:r>
      <w:r w:rsidR="29511230">
        <w:t>gedeeltelij</w:t>
      </w:r>
      <w:r w:rsidR="0D711068">
        <w:t xml:space="preserve">ke </w:t>
      </w:r>
      <w:r w:rsidR="00767FD8">
        <w:t xml:space="preserve">compensatie </w:t>
      </w:r>
      <w:r w:rsidR="009B517E">
        <w:t xml:space="preserve">van de </w:t>
      </w:r>
      <w:r w:rsidR="00767FD8">
        <w:t>weg</w:t>
      </w:r>
      <w:r w:rsidR="009B517E">
        <w:t>ge</w:t>
      </w:r>
      <w:r w:rsidR="00767FD8">
        <w:t>vallen VS</w:t>
      </w:r>
      <w:r w:rsidRPr="0D711068" w:rsidR="009B517E">
        <w:t>-</w:t>
      </w:r>
      <w:r w:rsidR="00767FD8">
        <w:t xml:space="preserve">financiering hiervoor. </w:t>
      </w:r>
    </w:p>
    <w:p w:rsidRPr="00B80085" w:rsidR="00B80085" w:rsidP="00A64567" w:rsidRDefault="00B80085" w14:paraId="417F7513" w14:textId="77777777"/>
    <w:p w:rsidR="009775F2" w:rsidP="00A64567" w:rsidRDefault="009775F2" w14:paraId="7B52B4E9" w14:textId="39A5622D">
      <w:pPr>
        <w:rPr>
          <w:i/>
          <w:iCs/>
        </w:rPr>
      </w:pPr>
      <w:r>
        <w:rPr>
          <w:i/>
          <w:iCs/>
        </w:rPr>
        <w:t xml:space="preserve">Democratie &amp; rechtsstaat </w:t>
      </w:r>
    </w:p>
    <w:p w:rsidR="009775F2" w:rsidP="00A64567" w:rsidRDefault="00671A48" w14:paraId="52977CE3" w14:textId="114BB45E">
      <w:r>
        <w:t xml:space="preserve">Oekraïne heeft in de afgelopen jaren ondanks de oorlog gestaag voortgang geboekt op zijn brede hervormingsagenda. </w:t>
      </w:r>
      <w:r w:rsidRPr="008B3DF2">
        <w:t xml:space="preserve">Tegelijkertijd is nog een lange weg te gaan. Democratie, </w:t>
      </w:r>
      <w:r>
        <w:t>de rechtsstaat</w:t>
      </w:r>
      <w:r w:rsidRPr="008B3DF2">
        <w:t xml:space="preserve"> en corruptiebestrijding zijn hierbij centrale aandachtspunten en behoeven</w:t>
      </w:r>
      <w:r>
        <w:t xml:space="preserve"> juist nu - ten tijde van de oorlog - </w:t>
      </w:r>
      <w:r w:rsidRPr="008B3DF2">
        <w:t>continue aandacht.</w:t>
      </w:r>
      <w:r>
        <w:t xml:space="preserve"> </w:t>
      </w:r>
      <w:r w:rsidR="00FF0C5E">
        <w:t xml:space="preserve">Met dit budget van EUR 3 miljoen zal Nederland </w:t>
      </w:r>
      <w:r w:rsidR="002E32F8">
        <w:t>activiteiten</w:t>
      </w:r>
      <w:r w:rsidR="00FF0C5E">
        <w:t xml:space="preserve"> van het maatschappelijk middenveld in Oekraïne ondersteunen</w:t>
      </w:r>
      <w:r w:rsidR="002E32F8">
        <w:t>, gericht</w:t>
      </w:r>
      <w:r w:rsidR="00FF0C5E">
        <w:t xml:space="preserve"> op de prioritaire hervormingsthema’s democratie, rechtstaat, goed bestuur, anti-corruptie en </w:t>
      </w:r>
      <w:r w:rsidR="00953BDC">
        <w:t>onafhankelijke media</w:t>
      </w:r>
      <w:r w:rsidR="00FF0C5E">
        <w:t>.</w:t>
      </w:r>
    </w:p>
    <w:p w:rsidRPr="00DA4A06" w:rsidR="00FF0C5E" w:rsidP="00A64567" w:rsidRDefault="00FF0C5E" w14:paraId="323403B1" w14:textId="77777777"/>
    <w:p w:rsidRPr="009775F2" w:rsidR="009775F2" w:rsidP="00A64567" w:rsidRDefault="009775F2" w14:paraId="24197DCD" w14:textId="45811829">
      <w:pPr>
        <w:rPr>
          <w:i/>
          <w:iCs/>
        </w:rPr>
      </w:pPr>
      <w:r>
        <w:rPr>
          <w:i/>
          <w:iCs/>
        </w:rPr>
        <w:t xml:space="preserve">Cultureel erfgoed </w:t>
      </w:r>
    </w:p>
    <w:p w:rsidR="00B72FD8" w:rsidP="00A64567" w:rsidRDefault="00551C3F" w14:paraId="055E917C" w14:textId="7AE40EC8">
      <w:r w:rsidRPr="00551C3F">
        <w:t xml:space="preserve">Oekraïne vecht </w:t>
      </w:r>
      <w:r w:rsidRPr="006335C5">
        <w:t>niet alleen voor het behoud van territoriale soevereiniteit, het vecht ook een existentiële oorlog uit waarin het zijn cultu</w:t>
      </w:r>
      <w:r w:rsidRPr="006335C5" w:rsidR="005D1079">
        <w:t>reel erfgoed</w:t>
      </w:r>
      <w:r w:rsidRPr="006335C5">
        <w:t>, waarden en nationale identiteit verdedigt.</w:t>
      </w:r>
      <w:r w:rsidRPr="006335C5" w:rsidR="00471CFF">
        <w:t xml:space="preserve"> </w:t>
      </w:r>
      <w:r w:rsidRPr="006335C5">
        <w:t>Met dit voorstel voor steun aan de cultu</w:t>
      </w:r>
      <w:r w:rsidRPr="006335C5" w:rsidR="005D1079">
        <w:t>rele erfgoed</w:t>
      </w:r>
      <w:r w:rsidRPr="006335C5">
        <w:t>sector in Oekraïne</w:t>
      </w:r>
      <w:r w:rsidRPr="00551C3F">
        <w:t xml:space="preserve"> voor het bedrag van euro </w:t>
      </w:r>
      <w:r>
        <w:t xml:space="preserve">EUR </w:t>
      </w:r>
      <w:r w:rsidRPr="00551C3F">
        <w:t>2</w:t>
      </w:r>
      <w:r>
        <w:t xml:space="preserve"> miljoen</w:t>
      </w:r>
      <w:r w:rsidRPr="00551C3F">
        <w:t xml:space="preserve"> wordt het doel nagestreefd om bij te dragen aan behoud van identiteitsbepalende cultuur in Oekraïne</w:t>
      </w:r>
      <w:r>
        <w:t xml:space="preserve">. </w:t>
      </w:r>
    </w:p>
    <w:p w:rsidRPr="009812D3" w:rsidR="00A64567" w:rsidP="009812D3" w:rsidRDefault="00A64567" w14:paraId="1EB0A8C4" w14:textId="77777777">
      <w:pPr>
        <w:rPr>
          <w:bCs/>
          <w:lang w:eastAsia="ja-JP"/>
        </w:rPr>
      </w:pPr>
    </w:p>
    <w:p w:rsidR="00C50773" w:rsidP="0052667E" w:rsidRDefault="00C50773" w14:paraId="1010D4B1" w14:textId="77777777"/>
    <w:p w:rsidR="00B72FD8" w:rsidP="0052667E" w:rsidRDefault="00B72FD8" w14:paraId="7E99DCFC" w14:textId="77777777"/>
    <w:p w:rsidR="00AB69FB" w:rsidP="0052667E" w:rsidRDefault="00BD7DD1" w14:paraId="4AACF731" w14:textId="39BFB98B">
      <w:r>
        <w:t>S</w:t>
      </w:r>
      <w:r w:rsidR="00B72FD8">
        <w:t>taatssecretaris Buitenlandse Handel</w:t>
      </w:r>
      <w:r w:rsidR="006A775E">
        <w:t xml:space="preserve"> </w:t>
      </w:r>
      <w:r w:rsidR="004C2985">
        <w:tab/>
        <w:t xml:space="preserve">      De minister van Buitenlandse Zaken,</w:t>
      </w:r>
    </w:p>
    <w:p w:rsidR="00B72FD8" w:rsidP="0052667E" w:rsidRDefault="006A775E" w14:paraId="4FA7857C" w14:textId="7A1D21F7">
      <w:r>
        <w:t>en Ontwikkelingshulp</w:t>
      </w:r>
      <w:r w:rsidR="00B72FD8">
        <w:t>,</w:t>
      </w:r>
    </w:p>
    <w:p w:rsidR="00B72FD8" w:rsidP="0052667E" w:rsidRDefault="00B72FD8" w14:paraId="3C6E89BD" w14:textId="77777777"/>
    <w:p w:rsidR="00B72FD8" w:rsidP="0052667E" w:rsidRDefault="00B72FD8" w14:paraId="154D3D0F" w14:textId="77777777"/>
    <w:p w:rsidR="00B72FD8" w:rsidP="0052667E" w:rsidRDefault="00B72FD8" w14:paraId="7F637E3A" w14:textId="77777777"/>
    <w:p w:rsidR="00524770" w:rsidP="0052667E" w:rsidRDefault="00524770" w14:paraId="385F2035" w14:textId="77777777"/>
    <w:p w:rsidR="00B72FD8" w:rsidP="0052667E" w:rsidRDefault="00B72FD8" w14:paraId="1202F19F" w14:textId="77777777"/>
    <w:p w:rsidR="00B72FD8" w:rsidP="0052667E" w:rsidRDefault="00B72FD8" w14:paraId="45DA7EB8" w14:textId="1F3B68C8">
      <w:r>
        <w:t>Aukje de Vries</w:t>
      </w:r>
      <w:r w:rsidR="004C2985">
        <w:tab/>
      </w:r>
      <w:r w:rsidR="004C2985">
        <w:tab/>
      </w:r>
      <w:r w:rsidR="004C2985">
        <w:tab/>
      </w:r>
      <w:r w:rsidR="004C2985">
        <w:tab/>
        <w:t xml:space="preserve">      D.M. Van Weel</w:t>
      </w:r>
    </w:p>
    <w:p w:rsidR="00B72FD8" w:rsidP="0052667E" w:rsidRDefault="00B72FD8" w14:paraId="1BF84EB5" w14:textId="77777777"/>
    <w:p w:rsidR="00B72FD8" w:rsidP="0052667E" w:rsidRDefault="00B72FD8" w14:paraId="7B187C78" w14:textId="77777777"/>
    <w:sectPr w:rsidR="00B72FD8" w:rsidSect="002A79C6">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E1EA" w14:textId="77777777" w:rsidR="00FA16DE" w:rsidRDefault="00FA16DE">
      <w:pPr>
        <w:spacing w:line="240" w:lineRule="auto"/>
      </w:pPr>
      <w:r>
        <w:separator/>
      </w:r>
    </w:p>
  </w:endnote>
  <w:endnote w:type="continuationSeparator" w:id="0">
    <w:p w14:paraId="76BE7686" w14:textId="77777777" w:rsidR="00FA16DE" w:rsidRDefault="00FA16DE">
      <w:pPr>
        <w:spacing w:line="240" w:lineRule="auto"/>
      </w:pPr>
      <w:r>
        <w:continuationSeparator/>
      </w:r>
    </w:p>
  </w:endnote>
  <w:endnote w:type="continuationNotice" w:id="1">
    <w:p w14:paraId="420197C8" w14:textId="77777777" w:rsidR="00E32C67" w:rsidRDefault="00E32C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BAE8" w14:textId="77777777" w:rsidR="00057637" w:rsidRDefault="00057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06247"/>
      <w:docPartObj>
        <w:docPartGallery w:val="Page Numbers (Bottom of Page)"/>
        <w:docPartUnique/>
      </w:docPartObj>
    </w:sdtPr>
    <w:sdtEndPr/>
    <w:sdtContent>
      <w:p w14:paraId="204D30A7" w14:textId="717BDC37" w:rsidR="00BD7DD1" w:rsidRDefault="00BD7DD1">
        <w:pPr>
          <w:pStyle w:val="Footer"/>
          <w:jc w:val="center"/>
        </w:pPr>
        <w:r>
          <w:fldChar w:fldCharType="begin"/>
        </w:r>
        <w:r>
          <w:instrText>PAGE   \* MERGEFORMAT</w:instrText>
        </w:r>
        <w:r>
          <w:fldChar w:fldCharType="separate"/>
        </w:r>
        <w:r>
          <w:t>2</w:t>
        </w:r>
        <w:r>
          <w:fldChar w:fldCharType="end"/>
        </w:r>
      </w:p>
    </w:sdtContent>
  </w:sdt>
  <w:p w14:paraId="598A0E23" w14:textId="77777777" w:rsidR="00BD7DD1" w:rsidRDefault="00BD7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708969"/>
      <w:docPartObj>
        <w:docPartGallery w:val="Page Numbers (Bottom of Page)"/>
        <w:docPartUnique/>
      </w:docPartObj>
    </w:sdtPr>
    <w:sdtEndPr/>
    <w:sdtContent>
      <w:p w14:paraId="5FA4989B" w14:textId="2C712597" w:rsidR="00BD7DD1" w:rsidRDefault="00BD7DD1">
        <w:pPr>
          <w:pStyle w:val="Footer"/>
          <w:jc w:val="center"/>
        </w:pPr>
        <w:r>
          <w:fldChar w:fldCharType="begin"/>
        </w:r>
        <w:r>
          <w:instrText>PAGE   \* MERGEFORMAT</w:instrText>
        </w:r>
        <w:r>
          <w:fldChar w:fldCharType="separate"/>
        </w:r>
        <w:r>
          <w:t>2</w:t>
        </w:r>
        <w:r>
          <w:fldChar w:fldCharType="end"/>
        </w:r>
      </w:p>
    </w:sdtContent>
  </w:sdt>
  <w:p w14:paraId="34C0B320" w14:textId="77777777" w:rsidR="00BD7DD1" w:rsidRDefault="00BD7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4D96" w14:textId="77777777" w:rsidR="00FA16DE" w:rsidRDefault="00FA16DE">
      <w:pPr>
        <w:spacing w:line="240" w:lineRule="auto"/>
      </w:pPr>
      <w:r>
        <w:separator/>
      </w:r>
    </w:p>
  </w:footnote>
  <w:footnote w:type="continuationSeparator" w:id="0">
    <w:p w14:paraId="24999F59" w14:textId="77777777" w:rsidR="00FA16DE" w:rsidRDefault="00FA16DE">
      <w:pPr>
        <w:spacing w:line="240" w:lineRule="auto"/>
      </w:pPr>
      <w:r>
        <w:continuationSeparator/>
      </w:r>
    </w:p>
  </w:footnote>
  <w:footnote w:type="continuationNotice" w:id="1">
    <w:p w14:paraId="1D4D80F4" w14:textId="77777777" w:rsidR="00E32C67" w:rsidRDefault="00E32C67">
      <w:pPr>
        <w:spacing w:line="240" w:lineRule="auto"/>
      </w:pPr>
    </w:p>
  </w:footnote>
  <w:footnote w:id="2">
    <w:p w14:paraId="32AD7BE8" w14:textId="73FF07AB" w:rsidR="00C44607" w:rsidRPr="00C44607" w:rsidRDefault="00C44607">
      <w:pPr>
        <w:pStyle w:val="FootnoteText"/>
      </w:pPr>
      <w:r>
        <w:rPr>
          <w:rStyle w:val="FootnoteReference"/>
        </w:rPr>
        <w:footnoteRef/>
      </w:r>
      <w:r>
        <w:t xml:space="preserve"> </w:t>
      </w:r>
      <w:r w:rsidRPr="00B51181">
        <w:rPr>
          <w:sz w:val="16"/>
          <w:szCs w:val="16"/>
        </w:rPr>
        <w:t>Zie Kamerstuk 36</w:t>
      </w:r>
      <w:r w:rsidR="00BD7DD1">
        <w:rPr>
          <w:sz w:val="16"/>
          <w:szCs w:val="16"/>
        </w:rPr>
        <w:t xml:space="preserve"> </w:t>
      </w:r>
      <w:r w:rsidRPr="00B51181">
        <w:rPr>
          <w:sz w:val="16"/>
          <w:szCs w:val="16"/>
        </w:rPr>
        <w:t>180</w:t>
      </w:r>
      <w:r w:rsidR="00BD7DD1">
        <w:rPr>
          <w:sz w:val="16"/>
          <w:szCs w:val="16"/>
        </w:rPr>
        <w:t xml:space="preserve"> nr. </w:t>
      </w:r>
      <w:r w:rsidRPr="00B51181">
        <w:rPr>
          <w:sz w:val="16"/>
          <w:szCs w:val="16"/>
        </w:rPr>
        <w:t>136</w:t>
      </w:r>
      <w:r>
        <w:rPr>
          <w:sz w:val="16"/>
          <w:szCs w:val="16"/>
        </w:rPr>
        <w:t>,</w:t>
      </w:r>
      <w:r w:rsidRPr="00B51181">
        <w:rPr>
          <w:sz w:val="16"/>
          <w:szCs w:val="16"/>
        </w:rPr>
        <w:t xml:space="preserve"> 1 april 2025</w:t>
      </w:r>
      <w:r>
        <w:rPr>
          <w:sz w:val="16"/>
          <w:szCs w:val="16"/>
        </w:rPr>
        <w:t>:</w:t>
      </w:r>
      <w:r w:rsidRPr="00B51181">
        <w:rPr>
          <w:i/>
          <w:iCs/>
          <w:sz w:val="16"/>
          <w:szCs w:val="16"/>
        </w:rPr>
        <w:t xml:space="preserve"> </w:t>
      </w:r>
      <w:hyperlink r:id="rId1" w:history="1">
        <w:r w:rsidRPr="00B51181">
          <w:rPr>
            <w:rStyle w:val="Hyperlink"/>
            <w:i/>
            <w:iCs/>
            <w:sz w:val="16"/>
            <w:szCs w:val="16"/>
          </w:rPr>
          <w:t>Humanitaire hulp en diplomatie – Doen wat nodig blijft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1A0A" w14:textId="77777777" w:rsidR="00057637" w:rsidRDefault="00057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D4B2" w14:textId="2600D679" w:rsidR="00C50773" w:rsidRDefault="00FA16DE">
    <w:r>
      <w:rPr>
        <w:noProof/>
      </w:rPr>
      <mc:AlternateContent>
        <mc:Choice Requires="wps">
          <w:drawing>
            <wp:anchor distT="0" distB="0" distL="0" distR="0" simplePos="0" relativeHeight="251658240" behindDoc="0" locked="1" layoutInCell="1" allowOverlap="1" wp14:anchorId="1010D4B6" wp14:editId="3CCB3EDF">
              <wp:simplePos x="0" y="0"/>
              <wp:positionH relativeFrom="page">
                <wp:posOffset>5924550</wp:posOffset>
              </wp:positionH>
              <wp:positionV relativeFrom="page">
                <wp:posOffset>1968500</wp:posOffset>
              </wp:positionV>
              <wp:extent cx="137160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1010D4E3" w14:textId="77777777" w:rsidR="00C50773" w:rsidRDefault="00FA16DE">
                          <w:pPr>
                            <w:pStyle w:val="Referentiegegevensbold"/>
                          </w:pPr>
                          <w:r>
                            <w:t>Ministerie van Buitenlandse Zaken</w:t>
                          </w:r>
                        </w:p>
                        <w:p w14:paraId="1010D4E4" w14:textId="77777777" w:rsidR="00C50773" w:rsidRDefault="00C50773">
                          <w:pPr>
                            <w:pStyle w:val="WitregelW2"/>
                          </w:pPr>
                        </w:p>
                        <w:p w14:paraId="1010D4E5" w14:textId="77777777" w:rsidR="00C50773" w:rsidRDefault="00FA16DE">
                          <w:pPr>
                            <w:pStyle w:val="Referentiegegevensbold"/>
                          </w:pPr>
                          <w:r>
                            <w:t>Onze referentie</w:t>
                          </w:r>
                        </w:p>
                        <w:p w14:paraId="1010D4E6" w14:textId="77777777" w:rsidR="00C50773" w:rsidRDefault="00FA16DE">
                          <w:pPr>
                            <w:pStyle w:val="Referentiegegevens"/>
                          </w:pPr>
                          <w:r>
                            <w:t>BZ2520130</w:t>
                          </w:r>
                        </w:p>
                      </w:txbxContent>
                    </wps:txbx>
                    <wps:bodyPr vert="horz" wrap="square" lIns="0" tIns="0" rIns="0" bIns="0" anchor="t" anchorCtr="0"/>
                  </wps:wsp>
                </a:graphicData>
              </a:graphic>
              <wp14:sizeRelH relativeFrom="margin">
                <wp14:pctWidth>0</wp14:pctWidth>
              </wp14:sizeRelH>
            </wp:anchor>
          </w:drawing>
        </mc:Choice>
        <mc:Fallback>
          <w:pict>
            <v:shapetype w14:anchorId="1010D4B6" id="_x0000_t202" coordsize="21600,21600" o:spt="202" path="m,l,21600r21600,l21600,xe">
              <v:stroke joinstyle="miter"/>
              <v:path gradientshapeok="t" o:connecttype="rect"/>
            </v:shapetype>
            <v:shape id="Text Box 1" o:spid="_x0000_s1026" type="#_x0000_t202" style="position:absolute;margin-left:466.5pt;margin-top:15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1010D4E3" w14:textId="77777777" w:rsidR="00C50773" w:rsidRDefault="00FA16DE">
                    <w:pPr>
                      <w:pStyle w:val="Referentiegegevensbold"/>
                    </w:pPr>
                    <w:r>
                      <w:t>Ministerie van Buitenlandse Zaken</w:t>
                    </w:r>
                  </w:p>
                  <w:p w14:paraId="1010D4E4" w14:textId="77777777" w:rsidR="00C50773" w:rsidRDefault="00C50773">
                    <w:pPr>
                      <w:pStyle w:val="WitregelW2"/>
                    </w:pPr>
                  </w:p>
                  <w:p w14:paraId="1010D4E5" w14:textId="77777777" w:rsidR="00C50773" w:rsidRDefault="00FA16DE">
                    <w:pPr>
                      <w:pStyle w:val="Referentiegegevensbold"/>
                    </w:pPr>
                    <w:r>
                      <w:t>Onze referentie</w:t>
                    </w:r>
                  </w:p>
                  <w:p w14:paraId="1010D4E6" w14:textId="77777777" w:rsidR="00C50773" w:rsidRDefault="00FA16DE">
                    <w:pPr>
                      <w:pStyle w:val="Referentiegegevens"/>
                    </w:pPr>
                    <w:r>
                      <w:t>BZ2520130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010D4BA" wp14:editId="0930ABDD">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10D4F5" w14:textId="77777777" w:rsidR="00FA16DE" w:rsidRDefault="00FA16DE"/>
                      </w:txbxContent>
                    </wps:txbx>
                    <wps:bodyPr vert="horz" wrap="square" lIns="0" tIns="0" rIns="0" bIns="0" anchor="t" anchorCtr="0"/>
                  </wps:wsp>
                </a:graphicData>
              </a:graphic>
            </wp:anchor>
          </w:drawing>
        </mc:Choice>
        <mc:Fallback>
          <w:pict>
            <v:shape w14:anchorId="1010D4BA" id="Text Box 3"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010D4F5" w14:textId="77777777" w:rsidR="00FA16DE" w:rsidRDefault="00FA16D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D4B4" w14:textId="6AF8BDB6" w:rsidR="00C50773" w:rsidRDefault="00FA16DE">
    <w:pPr>
      <w:spacing w:after="7131" w:line="14" w:lineRule="exact"/>
    </w:pPr>
    <w:r>
      <w:rPr>
        <w:noProof/>
      </w:rPr>
      <mc:AlternateContent>
        <mc:Choice Requires="wps">
          <w:drawing>
            <wp:anchor distT="0" distB="0" distL="0" distR="0" simplePos="0" relativeHeight="251658243" behindDoc="0" locked="1" layoutInCell="1" allowOverlap="1" wp14:anchorId="1010D4BC" wp14:editId="1010D4BD">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010D4E8" w14:textId="77777777" w:rsidR="00FA16DE" w:rsidRDefault="00FA16DE"/>
                      </w:txbxContent>
                    </wps:txbx>
                    <wps:bodyPr vert="horz" wrap="square" lIns="0" tIns="0" rIns="0" bIns="0" anchor="t" anchorCtr="0"/>
                  </wps:wsp>
                </a:graphicData>
              </a:graphic>
            </wp:anchor>
          </w:drawing>
        </mc:Choice>
        <mc:Fallback>
          <w:pict>
            <v:shapetype w14:anchorId="1010D4BC" id="_x0000_t202" coordsize="21600,21600" o:spt="202" path="m,l,21600r21600,l21600,xe">
              <v:stroke joinstyle="miter"/>
              <v:path gradientshapeok="t" o:connecttype="rect"/>
            </v:shapetype>
            <v:shape id="Text Box 4"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010D4E8" w14:textId="77777777" w:rsidR="00FA16DE" w:rsidRDefault="00FA16D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010D4BE" wp14:editId="1010D4BF">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0CC221" w14:textId="254D7545" w:rsidR="00BD7DD1" w:rsidRDefault="00BD7DD1" w:rsidP="00BD7DD1">
                          <w:r>
                            <w:t xml:space="preserve">Aan de Voorzitter van de </w:t>
                          </w:r>
                        </w:p>
                        <w:p w14:paraId="23255A0C" w14:textId="59266F6D" w:rsidR="00BD7DD1" w:rsidRDefault="00BD7DD1" w:rsidP="00BD7DD1">
                          <w:r>
                            <w:t xml:space="preserve">Tweede Kamer der Staten-Generaal </w:t>
                          </w:r>
                        </w:p>
                        <w:p w14:paraId="7E697F76" w14:textId="71ABA740" w:rsidR="00BD7DD1" w:rsidRDefault="00BD7DD1" w:rsidP="00BD7DD1">
                          <w:r>
                            <w:t>Prinses Irenestraat 6</w:t>
                          </w:r>
                        </w:p>
                        <w:p w14:paraId="5D7568FD" w14:textId="28A9C689" w:rsidR="00BD7DD1" w:rsidRDefault="00BD7DD1" w:rsidP="00BD7DD1">
                          <w:r>
                            <w:t>Den Haag</w:t>
                          </w:r>
                        </w:p>
                        <w:p w14:paraId="6578EFA2" w14:textId="77777777" w:rsidR="00BD7DD1" w:rsidRPr="00BD7DD1" w:rsidRDefault="00BD7DD1" w:rsidP="00BD7DD1"/>
                      </w:txbxContent>
                    </wps:txbx>
                    <wps:bodyPr vert="horz" wrap="square" lIns="0" tIns="0" rIns="0" bIns="0" anchor="t" anchorCtr="0"/>
                  </wps:wsp>
                </a:graphicData>
              </a:graphic>
            </wp:anchor>
          </w:drawing>
        </mc:Choice>
        <mc:Fallback>
          <w:pict>
            <v:shape w14:anchorId="1010D4BE" id="Text Box 5"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B0CC221" w14:textId="254D7545" w:rsidR="00BD7DD1" w:rsidRDefault="00BD7DD1" w:rsidP="00BD7DD1">
                    <w:r>
                      <w:t xml:space="preserve">Aan de Voorzitter van de </w:t>
                    </w:r>
                  </w:p>
                  <w:p w14:paraId="23255A0C" w14:textId="59266F6D" w:rsidR="00BD7DD1" w:rsidRDefault="00BD7DD1" w:rsidP="00BD7DD1">
                    <w:r>
                      <w:t xml:space="preserve">Tweede Kamer der Staten-Generaal </w:t>
                    </w:r>
                  </w:p>
                  <w:p w14:paraId="7E697F76" w14:textId="71ABA740" w:rsidR="00BD7DD1" w:rsidRDefault="00BD7DD1" w:rsidP="00BD7DD1">
                    <w:r>
                      <w:t>Prinses Irenestraat 6</w:t>
                    </w:r>
                  </w:p>
                  <w:p w14:paraId="5D7568FD" w14:textId="28A9C689" w:rsidR="00BD7DD1" w:rsidRDefault="00BD7DD1" w:rsidP="00BD7DD1">
                    <w:r>
                      <w:t>Den Haag</w:t>
                    </w:r>
                  </w:p>
                  <w:p w14:paraId="6578EFA2" w14:textId="77777777" w:rsidR="00BD7DD1" w:rsidRPr="00BD7DD1" w:rsidRDefault="00BD7DD1" w:rsidP="00BD7DD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010D4C0" wp14:editId="1010D4C1">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50773" w14:paraId="1010D4CF" w14:textId="77777777">
                            <w:tc>
                              <w:tcPr>
                                <w:tcW w:w="678" w:type="dxa"/>
                              </w:tcPr>
                              <w:p w14:paraId="1010D4CD" w14:textId="77777777" w:rsidR="00C50773" w:rsidRDefault="00FA16DE">
                                <w:r>
                                  <w:t>Datum</w:t>
                                </w:r>
                              </w:p>
                            </w:tc>
                            <w:tc>
                              <w:tcPr>
                                <w:tcW w:w="6851" w:type="dxa"/>
                              </w:tcPr>
                              <w:p w14:paraId="1010D4CE" w14:textId="7A0F7615" w:rsidR="00C50773" w:rsidRDefault="006335C5">
                                <w:r>
                                  <w:t>3</w:t>
                                </w:r>
                                <w:r w:rsidR="00BC7ECE">
                                  <w:t xml:space="preserve"> </w:t>
                                </w:r>
                                <w:r w:rsidR="00BE717C">
                                  <w:t xml:space="preserve">oktober </w:t>
                                </w:r>
                                <w:r w:rsidR="00FA16DE">
                                  <w:t>2025</w:t>
                                </w:r>
                              </w:p>
                            </w:tc>
                          </w:tr>
                          <w:tr w:rsidR="00C50773" w14:paraId="1010D4D4" w14:textId="77777777">
                            <w:tc>
                              <w:tcPr>
                                <w:tcW w:w="678" w:type="dxa"/>
                              </w:tcPr>
                              <w:p w14:paraId="1010D4D0" w14:textId="77777777" w:rsidR="00C50773" w:rsidRDefault="00FA16DE">
                                <w:r>
                                  <w:t>Betreft</w:t>
                                </w:r>
                              </w:p>
                              <w:p w14:paraId="1010D4D1" w14:textId="77777777" w:rsidR="00C50773" w:rsidRDefault="00C50773"/>
                            </w:tc>
                            <w:tc>
                              <w:tcPr>
                                <w:tcW w:w="6851" w:type="dxa"/>
                              </w:tcPr>
                              <w:p w14:paraId="1010D4D2" w14:textId="764E5352" w:rsidR="00C50773" w:rsidRDefault="00F03F22">
                                <w:r>
                                  <w:t>Invulling niet-militaire steun Oekraïne</w:t>
                                </w:r>
                                <w:r w:rsidR="00FA16DE">
                                  <w:t xml:space="preserve"> </w:t>
                                </w:r>
                                <w:r w:rsidR="00822662">
                                  <w:t xml:space="preserve">in </w:t>
                                </w:r>
                                <w:r w:rsidR="00FA16DE">
                                  <w:t xml:space="preserve">2026 </w:t>
                                </w:r>
                              </w:p>
                              <w:p w14:paraId="1010D4D3" w14:textId="77777777" w:rsidR="00C50773" w:rsidRDefault="00C50773"/>
                            </w:tc>
                          </w:tr>
                        </w:tbl>
                        <w:p w14:paraId="1010D4D5" w14:textId="77777777" w:rsidR="00C50773" w:rsidRDefault="00C50773"/>
                        <w:p w14:paraId="1010D4D6" w14:textId="77777777" w:rsidR="00C50773" w:rsidRDefault="00C50773"/>
                      </w:txbxContent>
                    </wps:txbx>
                    <wps:bodyPr vert="horz" wrap="square" lIns="0" tIns="0" rIns="0" bIns="0" anchor="t" anchorCtr="0"/>
                  </wps:wsp>
                </a:graphicData>
              </a:graphic>
            </wp:anchor>
          </w:drawing>
        </mc:Choice>
        <mc:Fallback>
          <w:pict>
            <v:shape w14:anchorId="1010D4C0" id="Text Box 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50773" w14:paraId="1010D4CF" w14:textId="77777777">
                      <w:tc>
                        <w:tcPr>
                          <w:tcW w:w="678" w:type="dxa"/>
                        </w:tcPr>
                        <w:p w14:paraId="1010D4CD" w14:textId="77777777" w:rsidR="00C50773" w:rsidRDefault="00FA16DE">
                          <w:r>
                            <w:t>Datum</w:t>
                          </w:r>
                        </w:p>
                      </w:tc>
                      <w:tc>
                        <w:tcPr>
                          <w:tcW w:w="6851" w:type="dxa"/>
                        </w:tcPr>
                        <w:p w14:paraId="1010D4CE" w14:textId="7A0F7615" w:rsidR="00C50773" w:rsidRDefault="006335C5">
                          <w:r>
                            <w:t>3</w:t>
                          </w:r>
                          <w:r w:rsidR="00BC7ECE">
                            <w:t xml:space="preserve"> </w:t>
                          </w:r>
                          <w:r w:rsidR="00BE717C">
                            <w:t xml:space="preserve">oktober </w:t>
                          </w:r>
                          <w:r w:rsidR="00FA16DE">
                            <w:t>2025</w:t>
                          </w:r>
                        </w:p>
                      </w:tc>
                    </w:tr>
                    <w:tr w:rsidR="00C50773" w14:paraId="1010D4D4" w14:textId="77777777">
                      <w:tc>
                        <w:tcPr>
                          <w:tcW w:w="678" w:type="dxa"/>
                        </w:tcPr>
                        <w:p w14:paraId="1010D4D0" w14:textId="77777777" w:rsidR="00C50773" w:rsidRDefault="00FA16DE">
                          <w:r>
                            <w:t>Betreft</w:t>
                          </w:r>
                        </w:p>
                        <w:p w14:paraId="1010D4D1" w14:textId="77777777" w:rsidR="00C50773" w:rsidRDefault="00C50773"/>
                      </w:tc>
                      <w:tc>
                        <w:tcPr>
                          <w:tcW w:w="6851" w:type="dxa"/>
                        </w:tcPr>
                        <w:p w14:paraId="1010D4D2" w14:textId="764E5352" w:rsidR="00C50773" w:rsidRDefault="00F03F22">
                          <w:r>
                            <w:t>Invulling niet-militaire steun Oekraïne</w:t>
                          </w:r>
                          <w:r w:rsidR="00FA16DE">
                            <w:t xml:space="preserve"> </w:t>
                          </w:r>
                          <w:r w:rsidR="00822662">
                            <w:t xml:space="preserve">in </w:t>
                          </w:r>
                          <w:r w:rsidR="00FA16DE">
                            <w:t xml:space="preserve">2026 </w:t>
                          </w:r>
                        </w:p>
                        <w:p w14:paraId="1010D4D3" w14:textId="77777777" w:rsidR="00C50773" w:rsidRDefault="00C50773"/>
                      </w:tc>
                    </w:tr>
                  </w:tbl>
                  <w:p w14:paraId="1010D4D5" w14:textId="77777777" w:rsidR="00C50773" w:rsidRDefault="00C50773"/>
                  <w:p w14:paraId="1010D4D6" w14:textId="77777777" w:rsidR="00C50773" w:rsidRDefault="00C50773"/>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010D4C2" wp14:editId="6AEBDF77">
              <wp:simplePos x="0" y="0"/>
              <wp:positionH relativeFrom="page">
                <wp:posOffset>5924550</wp:posOffset>
              </wp:positionH>
              <wp:positionV relativeFrom="page">
                <wp:posOffset>1968500</wp:posOffset>
              </wp:positionV>
              <wp:extent cx="134620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1010D4D7" w14:textId="77777777" w:rsidR="00C50773" w:rsidRDefault="00FA16DE">
                          <w:pPr>
                            <w:pStyle w:val="Referentiegegevensbold"/>
                          </w:pPr>
                          <w:r>
                            <w:t>Ministerie van Buitenlandse Zaken</w:t>
                          </w:r>
                        </w:p>
                        <w:p w14:paraId="1010D4D8" w14:textId="77777777" w:rsidR="00C50773" w:rsidRDefault="00C50773">
                          <w:pPr>
                            <w:pStyle w:val="WitregelW1"/>
                          </w:pPr>
                        </w:p>
                        <w:p w14:paraId="1010D4D9" w14:textId="34F8B11B" w:rsidR="00C50773" w:rsidRPr="00BD7DD1" w:rsidRDefault="00BD7DD1">
                          <w:pPr>
                            <w:pStyle w:val="Referentiegegevens"/>
                          </w:pPr>
                          <w:r w:rsidRPr="00BD7DD1">
                            <w:t>Rijnstraat 8</w:t>
                          </w:r>
                        </w:p>
                        <w:p w14:paraId="31EC4ADA" w14:textId="405EC30C" w:rsidR="00BD7DD1" w:rsidRPr="00BD7DD1" w:rsidRDefault="00BD7DD1" w:rsidP="00BD7DD1">
                          <w:pPr>
                            <w:rPr>
                              <w:sz w:val="13"/>
                              <w:szCs w:val="13"/>
                              <w:lang w:val="da-DK"/>
                            </w:rPr>
                          </w:pPr>
                          <w:r w:rsidRPr="00BD7DD1">
                            <w:rPr>
                              <w:sz w:val="13"/>
                              <w:szCs w:val="13"/>
                              <w:lang w:val="da-DK"/>
                            </w:rPr>
                            <w:t>2515XP Den Haag</w:t>
                          </w:r>
                        </w:p>
                        <w:p w14:paraId="17917469" w14:textId="7EC1EF94" w:rsidR="00BD7DD1" w:rsidRPr="00BD7DD1" w:rsidRDefault="00BD7DD1" w:rsidP="00BD7DD1">
                          <w:pPr>
                            <w:rPr>
                              <w:sz w:val="13"/>
                              <w:szCs w:val="13"/>
                              <w:lang w:val="da-DK"/>
                            </w:rPr>
                          </w:pPr>
                          <w:r w:rsidRPr="00BD7DD1">
                            <w:rPr>
                              <w:sz w:val="13"/>
                              <w:szCs w:val="13"/>
                              <w:lang w:val="da-DK"/>
                            </w:rPr>
                            <w:t>Postbus 20061</w:t>
                          </w:r>
                        </w:p>
                        <w:p w14:paraId="07D1B2E5" w14:textId="085C1B30" w:rsidR="00BD7DD1" w:rsidRPr="00BD7DD1" w:rsidRDefault="00BD7DD1" w:rsidP="00BD7DD1">
                          <w:pPr>
                            <w:rPr>
                              <w:sz w:val="13"/>
                              <w:szCs w:val="13"/>
                              <w:lang w:val="da-DK"/>
                            </w:rPr>
                          </w:pPr>
                          <w:r w:rsidRPr="00BD7DD1">
                            <w:rPr>
                              <w:sz w:val="13"/>
                              <w:szCs w:val="13"/>
                              <w:lang w:val="da-DK"/>
                            </w:rPr>
                            <w:t>Nederland</w:t>
                          </w:r>
                        </w:p>
                        <w:p w14:paraId="1010D4DA" w14:textId="77777777" w:rsidR="00C50773" w:rsidRPr="00BD7DD1" w:rsidRDefault="00FA16DE">
                          <w:pPr>
                            <w:pStyle w:val="Referentiegegevens"/>
                            <w:rPr>
                              <w:lang w:val="da-DK"/>
                            </w:rPr>
                          </w:pPr>
                          <w:r w:rsidRPr="00BD7DD1">
                            <w:rPr>
                              <w:lang w:val="da-DK"/>
                            </w:rPr>
                            <w:t>www.minbuza.nl</w:t>
                          </w:r>
                        </w:p>
                        <w:p w14:paraId="1010D4DB" w14:textId="77777777" w:rsidR="00C50773" w:rsidRPr="00BD7DD1" w:rsidRDefault="00C50773">
                          <w:pPr>
                            <w:pStyle w:val="WitregelW2"/>
                            <w:rPr>
                              <w:lang w:val="da-DK"/>
                            </w:rPr>
                          </w:pPr>
                        </w:p>
                        <w:p w14:paraId="1010D4DC" w14:textId="77777777" w:rsidR="00C50773" w:rsidRDefault="00FA16DE">
                          <w:pPr>
                            <w:pStyle w:val="Referentiegegevensbold"/>
                          </w:pPr>
                          <w:r>
                            <w:t>Onze referentie</w:t>
                          </w:r>
                        </w:p>
                        <w:p w14:paraId="1010D4DD" w14:textId="77777777" w:rsidR="00C50773" w:rsidRDefault="00FA16DE">
                          <w:pPr>
                            <w:pStyle w:val="Referentiegegevens"/>
                          </w:pPr>
                          <w:r>
                            <w:t>BZ2520130</w:t>
                          </w:r>
                        </w:p>
                        <w:p w14:paraId="1010D4DE" w14:textId="77777777" w:rsidR="00C50773" w:rsidRDefault="00C50773">
                          <w:pPr>
                            <w:pStyle w:val="WitregelW1"/>
                          </w:pPr>
                        </w:p>
                        <w:p w14:paraId="1010D4DF" w14:textId="77777777" w:rsidR="00C50773" w:rsidRDefault="00FA16DE">
                          <w:pPr>
                            <w:pStyle w:val="Referentiegegevensbold"/>
                          </w:pPr>
                          <w:r>
                            <w:t>Bijlage(n)</w:t>
                          </w:r>
                        </w:p>
                        <w:p w14:paraId="1010D4E0" w14:textId="5F656838" w:rsidR="00C50773" w:rsidRDefault="00BD7DD1">
                          <w:pPr>
                            <w:pStyle w:val="Referentiegegevens"/>
                          </w:pPr>
                          <w:r>
                            <w:t>1</w:t>
                          </w:r>
                          <w:r w:rsidR="00F66E22">
                            <w:t>1</w:t>
                          </w:r>
                        </w:p>
                      </w:txbxContent>
                    </wps:txbx>
                    <wps:bodyPr vert="horz" wrap="square" lIns="0" tIns="0" rIns="0" bIns="0" anchor="t" anchorCtr="0"/>
                  </wps:wsp>
                </a:graphicData>
              </a:graphic>
              <wp14:sizeRelH relativeFrom="margin">
                <wp14:pctWidth>0</wp14:pctWidth>
              </wp14:sizeRelH>
            </wp:anchor>
          </w:drawing>
        </mc:Choice>
        <mc:Fallback>
          <w:pict>
            <v:shape w14:anchorId="1010D4C2" id="Text Box 7" o:spid="_x0000_s1031" type="#_x0000_t202" style="position:absolute;margin-left:466.5pt;margin-top:155pt;width:106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p w14:paraId="1010D4D7" w14:textId="77777777" w:rsidR="00C50773" w:rsidRDefault="00FA16DE">
                    <w:pPr>
                      <w:pStyle w:val="Referentiegegevensbold"/>
                    </w:pPr>
                    <w:r>
                      <w:t>Ministerie van Buitenlandse Zaken</w:t>
                    </w:r>
                  </w:p>
                  <w:p w14:paraId="1010D4D8" w14:textId="77777777" w:rsidR="00C50773" w:rsidRDefault="00C50773">
                    <w:pPr>
                      <w:pStyle w:val="WitregelW1"/>
                    </w:pPr>
                  </w:p>
                  <w:p w14:paraId="1010D4D9" w14:textId="34F8B11B" w:rsidR="00C50773" w:rsidRPr="00BD7DD1" w:rsidRDefault="00BD7DD1">
                    <w:pPr>
                      <w:pStyle w:val="Referentiegegevens"/>
                    </w:pPr>
                    <w:r w:rsidRPr="00BD7DD1">
                      <w:t>Rijnstraat 8</w:t>
                    </w:r>
                  </w:p>
                  <w:p w14:paraId="31EC4ADA" w14:textId="405EC30C" w:rsidR="00BD7DD1" w:rsidRPr="00BD7DD1" w:rsidRDefault="00BD7DD1" w:rsidP="00BD7DD1">
                    <w:pPr>
                      <w:rPr>
                        <w:sz w:val="13"/>
                        <w:szCs w:val="13"/>
                        <w:lang w:val="da-DK"/>
                      </w:rPr>
                    </w:pPr>
                    <w:r w:rsidRPr="00BD7DD1">
                      <w:rPr>
                        <w:sz w:val="13"/>
                        <w:szCs w:val="13"/>
                        <w:lang w:val="da-DK"/>
                      </w:rPr>
                      <w:t>2515XP Den Haag</w:t>
                    </w:r>
                  </w:p>
                  <w:p w14:paraId="17917469" w14:textId="7EC1EF94" w:rsidR="00BD7DD1" w:rsidRPr="00BD7DD1" w:rsidRDefault="00BD7DD1" w:rsidP="00BD7DD1">
                    <w:pPr>
                      <w:rPr>
                        <w:sz w:val="13"/>
                        <w:szCs w:val="13"/>
                        <w:lang w:val="da-DK"/>
                      </w:rPr>
                    </w:pPr>
                    <w:r w:rsidRPr="00BD7DD1">
                      <w:rPr>
                        <w:sz w:val="13"/>
                        <w:szCs w:val="13"/>
                        <w:lang w:val="da-DK"/>
                      </w:rPr>
                      <w:t>Postbus 20061</w:t>
                    </w:r>
                  </w:p>
                  <w:p w14:paraId="07D1B2E5" w14:textId="085C1B30" w:rsidR="00BD7DD1" w:rsidRPr="00BD7DD1" w:rsidRDefault="00BD7DD1" w:rsidP="00BD7DD1">
                    <w:pPr>
                      <w:rPr>
                        <w:sz w:val="13"/>
                        <w:szCs w:val="13"/>
                        <w:lang w:val="da-DK"/>
                      </w:rPr>
                    </w:pPr>
                    <w:r w:rsidRPr="00BD7DD1">
                      <w:rPr>
                        <w:sz w:val="13"/>
                        <w:szCs w:val="13"/>
                        <w:lang w:val="da-DK"/>
                      </w:rPr>
                      <w:t>Nederland</w:t>
                    </w:r>
                  </w:p>
                  <w:p w14:paraId="1010D4DA" w14:textId="77777777" w:rsidR="00C50773" w:rsidRPr="00BD7DD1" w:rsidRDefault="00FA16DE">
                    <w:pPr>
                      <w:pStyle w:val="Referentiegegevens"/>
                      <w:rPr>
                        <w:lang w:val="da-DK"/>
                      </w:rPr>
                    </w:pPr>
                    <w:r w:rsidRPr="00BD7DD1">
                      <w:rPr>
                        <w:lang w:val="da-DK"/>
                      </w:rPr>
                      <w:t>www.minbuza.nl</w:t>
                    </w:r>
                  </w:p>
                  <w:p w14:paraId="1010D4DB" w14:textId="77777777" w:rsidR="00C50773" w:rsidRPr="00BD7DD1" w:rsidRDefault="00C50773">
                    <w:pPr>
                      <w:pStyle w:val="WitregelW2"/>
                      <w:rPr>
                        <w:lang w:val="da-DK"/>
                      </w:rPr>
                    </w:pPr>
                  </w:p>
                  <w:p w14:paraId="1010D4DC" w14:textId="77777777" w:rsidR="00C50773" w:rsidRDefault="00FA16DE">
                    <w:pPr>
                      <w:pStyle w:val="Referentiegegevensbold"/>
                    </w:pPr>
                    <w:r>
                      <w:t>Onze referentie</w:t>
                    </w:r>
                  </w:p>
                  <w:p w14:paraId="1010D4DD" w14:textId="77777777" w:rsidR="00C50773" w:rsidRDefault="00FA16DE">
                    <w:pPr>
                      <w:pStyle w:val="Referentiegegevens"/>
                    </w:pPr>
                    <w:r>
                      <w:t>BZ2520130</w:t>
                    </w:r>
                  </w:p>
                  <w:p w14:paraId="1010D4DE" w14:textId="77777777" w:rsidR="00C50773" w:rsidRDefault="00C50773">
                    <w:pPr>
                      <w:pStyle w:val="WitregelW1"/>
                    </w:pPr>
                  </w:p>
                  <w:p w14:paraId="1010D4DF" w14:textId="77777777" w:rsidR="00C50773" w:rsidRDefault="00FA16DE">
                    <w:pPr>
                      <w:pStyle w:val="Referentiegegevensbold"/>
                    </w:pPr>
                    <w:r>
                      <w:t>Bijlage(n)</w:t>
                    </w:r>
                  </w:p>
                  <w:p w14:paraId="1010D4E0" w14:textId="5F656838" w:rsidR="00C50773" w:rsidRDefault="00BD7DD1">
                    <w:pPr>
                      <w:pStyle w:val="Referentiegegevens"/>
                    </w:pPr>
                    <w:r>
                      <w:t>1</w:t>
                    </w:r>
                    <w:r w:rsidR="00F66E22">
                      <w:t>1</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010D4C6" wp14:editId="6392E175">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10D4EE" w14:textId="77777777" w:rsidR="00FA16DE" w:rsidRDefault="00FA16DE"/>
                      </w:txbxContent>
                    </wps:txbx>
                    <wps:bodyPr vert="horz" wrap="square" lIns="0" tIns="0" rIns="0" bIns="0" anchor="t" anchorCtr="0"/>
                  </wps:wsp>
                </a:graphicData>
              </a:graphic>
            </wp:anchor>
          </w:drawing>
        </mc:Choice>
        <mc:Fallback>
          <w:pict>
            <v:shape w14:anchorId="1010D4C6" id="Text Box 9"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010D4EE" w14:textId="77777777" w:rsidR="00FA16DE" w:rsidRDefault="00FA16D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010D4C8" wp14:editId="1010D4C9">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10D4F0" w14:textId="77777777" w:rsidR="00FA16DE" w:rsidRDefault="00FA16DE"/>
                      </w:txbxContent>
                    </wps:txbx>
                    <wps:bodyPr vert="horz" wrap="square" lIns="0" tIns="0" rIns="0" bIns="0" anchor="t" anchorCtr="0"/>
                  </wps:wsp>
                </a:graphicData>
              </a:graphic>
            </wp:anchor>
          </w:drawing>
        </mc:Choice>
        <mc:Fallback>
          <w:pict>
            <v:shape w14:anchorId="1010D4C8" id="Text Box 10"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010D4F0" w14:textId="77777777" w:rsidR="00FA16DE" w:rsidRDefault="00FA16D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010D4CA" wp14:editId="1010D4CB">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10D4E2" w14:textId="77777777" w:rsidR="00C50773" w:rsidRDefault="00FA16DE">
                          <w:pPr>
                            <w:spacing w:line="240" w:lineRule="auto"/>
                          </w:pPr>
                          <w:r>
                            <w:rPr>
                              <w:noProof/>
                            </w:rPr>
                            <w:drawing>
                              <wp:inline distT="0" distB="0" distL="0" distR="0" wp14:anchorId="1010D4E8" wp14:editId="1010D4E9">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10D4CA" id="Text Box 11"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010D4E2" w14:textId="77777777" w:rsidR="00C50773" w:rsidRDefault="00FA16DE">
                    <w:pPr>
                      <w:spacing w:line="240" w:lineRule="auto"/>
                    </w:pPr>
                    <w:r>
                      <w:rPr>
                        <w:noProof/>
                      </w:rPr>
                      <w:drawing>
                        <wp:inline distT="0" distB="0" distL="0" distR="0" wp14:anchorId="1010D4E8" wp14:editId="1010D4E9">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3FCA3"/>
    <w:multiLevelType w:val="multilevel"/>
    <w:tmpl w:val="4D239C9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9B425DF"/>
    <w:multiLevelType w:val="multilevel"/>
    <w:tmpl w:val="76635E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765296B"/>
    <w:multiLevelType w:val="multilevel"/>
    <w:tmpl w:val="F0E58C2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E6D64AA"/>
    <w:multiLevelType w:val="hybridMultilevel"/>
    <w:tmpl w:val="31F26982"/>
    <w:lvl w:ilvl="0" w:tplc="3B2EBF7E">
      <w:start w:val="1"/>
      <w:numFmt w:val="lowerLetter"/>
      <w:lvlText w:val="%1."/>
      <w:lvlJc w:val="left"/>
      <w:pPr>
        <w:ind w:left="2160" w:hanging="360"/>
      </w:pPr>
    </w:lvl>
    <w:lvl w:ilvl="1" w:tplc="DD326D70">
      <w:start w:val="1"/>
      <w:numFmt w:val="lowerLetter"/>
      <w:lvlText w:val="%2."/>
      <w:lvlJc w:val="left"/>
      <w:pPr>
        <w:ind w:left="2160" w:hanging="360"/>
      </w:pPr>
    </w:lvl>
    <w:lvl w:ilvl="2" w:tplc="DFC64718">
      <w:start w:val="1"/>
      <w:numFmt w:val="lowerLetter"/>
      <w:lvlText w:val="%3."/>
      <w:lvlJc w:val="left"/>
      <w:pPr>
        <w:ind w:left="2160" w:hanging="360"/>
      </w:pPr>
    </w:lvl>
    <w:lvl w:ilvl="3" w:tplc="ED209AEE">
      <w:start w:val="1"/>
      <w:numFmt w:val="lowerLetter"/>
      <w:lvlText w:val="%4."/>
      <w:lvlJc w:val="left"/>
      <w:pPr>
        <w:ind w:left="2160" w:hanging="360"/>
      </w:pPr>
    </w:lvl>
    <w:lvl w:ilvl="4" w:tplc="1ABCFD2E">
      <w:start w:val="1"/>
      <w:numFmt w:val="lowerLetter"/>
      <w:lvlText w:val="%5."/>
      <w:lvlJc w:val="left"/>
      <w:pPr>
        <w:ind w:left="2160" w:hanging="360"/>
      </w:pPr>
    </w:lvl>
    <w:lvl w:ilvl="5" w:tplc="99748776">
      <w:start w:val="1"/>
      <w:numFmt w:val="lowerLetter"/>
      <w:lvlText w:val="%6."/>
      <w:lvlJc w:val="left"/>
      <w:pPr>
        <w:ind w:left="2160" w:hanging="360"/>
      </w:pPr>
    </w:lvl>
    <w:lvl w:ilvl="6" w:tplc="1F7A0E26">
      <w:start w:val="1"/>
      <w:numFmt w:val="lowerLetter"/>
      <w:lvlText w:val="%7."/>
      <w:lvlJc w:val="left"/>
      <w:pPr>
        <w:ind w:left="2160" w:hanging="360"/>
      </w:pPr>
    </w:lvl>
    <w:lvl w:ilvl="7" w:tplc="496AE3BE">
      <w:start w:val="1"/>
      <w:numFmt w:val="lowerLetter"/>
      <w:lvlText w:val="%8."/>
      <w:lvlJc w:val="left"/>
      <w:pPr>
        <w:ind w:left="2160" w:hanging="360"/>
      </w:pPr>
    </w:lvl>
    <w:lvl w:ilvl="8" w:tplc="6C5A16EE">
      <w:start w:val="1"/>
      <w:numFmt w:val="lowerLetter"/>
      <w:lvlText w:val="%9."/>
      <w:lvlJc w:val="left"/>
      <w:pPr>
        <w:ind w:left="2160" w:hanging="360"/>
      </w:pPr>
    </w:lvl>
  </w:abstractNum>
  <w:abstractNum w:abstractNumId="4" w15:restartNumberingAfterBreak="0">
    <w:nsid w:val="2AA122B0"/>
    <w:multiLevelType w:val="hybridMultilevel"/>
    <w:tmpl w:val="EC449844"/>
    <w:lvl w:ilvl="0" w:tplc="D0AE4E66">
      <w:start w:val="1"/>
      <w:numFmt w:val="lowerLetter"/>
      <w:lvlText w:val="%1."/>
      <w:lvlJc w:val="left"/>
      <w:pPr>
        <w:ind w:left="1440" w:hanging="360"/>
      </w:pPr>
    </w:lvl>
    <w:lvl w:ilvl="1" w:tplc="0CC2F0EC">
      <w:start w:val="1"/>
      <w:numFmt w:val="lowerLetter"/>
      <w:lvlText w:val="%2."/>
      <w:lvlJc w:val="left"/>
      <w:pPr>
        <w:ind w:left="1440" w:hanging="360"/>
      </w:pPr>
    </w:lvl>
    <w:lvl w:ilvl="2" w:tplc="22B61D5C">
      <w:start w:val="1"/>
      <w:numFmt w:val="lowerLetter"/>
      <w:lvlText w:val="%3."/>
      <w:lvlJc w:val="left"/>
      <w:pPr>
        <w:ind w:left="1440" w:hanging="360"/>
      </w:pPr>
    </w:lvl>
    <w:lvl w:ilvl="3" w:tplc="B0D8E7B6">
      <w:start w:val="1"/>
      <w:numFmt w:val="lowerLetter"/>
      <w:lvlText w:val="%4."/>
      <w:lvlJc w:val="left"/>
      <w:pPr>
        <w:ind w:left="1440" w:hanging="360"/>
      </w:pPr>
    </w:lvl>
    <w:lvl w:ilvl="4" w:tplc="E578BA50">
      <w:start w:val="1"/>
      <w:numFmt w:val="lowerLetter"/>
      <w:lvlText w:val="%5."/>
      <w:lvlJc w:val="left"/>
      <w:pPr>
        <w:ind w:left="1440" w:hanging="360"/>
      </w:pPr>
    </w:lvl>
    <w:lvl w:ilvl="5" w:tplc="330E2ADA">
      <w:start w:val="1"/>
      <w:numFmt w:val="lowerLetter"/>
      <w:lvlText w:val="%6."/>
      <w:lvlJc w:val="left"/>
      <w:pPr>
        <w:ind w:left="1440" w:hanging="360"/>
      </w:pPr>
    </w:lvl>
    <w:lvl w:ilvl="6" w:tplc="3EC68F0A">
      <w:start w:val="1"/>
      <w:numFmt w:val="lowerLetter"/>
      <w:lvlText w:val="%7."/>
      <w:lvlJc w:val="left"/>
      <w:pPr>
        <w:ind w:left="1440" w:hanging="360"/>
      </w:pPr>
    </w:lvl>
    <w:lvl w:ilvl="7" w:tplc="DB5864AA">
      <w:start w:val="1"/>
      <w:numFmt w:val="lowerLetter"/>
      <w:lvlText w:val="%8."/>
      <w:lvlJc w:val="left"/>
      <w:pPr>
        <w:ind w:left="1440" w:hanging="360"/>
      </w:pPr>
    </w:lvl>
    <w:lvl w:ilvl="8" w:tplc="589CEBF6">
      <w:start w:val="1"/>
      <w:numFmt w:val="lowerLetter"/>
      <w:lvlText w:val="%9."/>
      <w:lvlJc w:val="left"/>
      <w:pPr>
        <w:ind w:left="1440" w:hanging="360"/>
      </w:pPr>
    </w:lvl>
  </w:abstractNum>
  <w:abstractNum w:abstractNumId="5" w15:restartNumberingAfterBreak="0">
    <w:nsid w:val="2CE06B83"/>
    <w:multiLevelType w:val="multilevel"/>
    <w:tmpl w:val="2B4D195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E12BAA"/>
    <w:multiLevelType w:val="hybridMultilevel"/>
    <w:tmpl w:val="52CE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D4A9D"/>
    <w:multiLevelType w:val="multilevel"/>
    <w:tmpl w:val="9AF2DFF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8" w15:restartNumberingAfterBreak="0">
    <w:nsid w:val="78BC13ED"/>
    <w:multiLevelType w:val="hybridMultilevel"/>
    <w:tmpl w:val="BCC0A308"/>
    <w:lvl w:ilvl="0" w:tplc="EE6C488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5348732">
    <w:abstractNumId w:val="7"/>
  </w:num>
  <w:num w:numId="2" w16cid:durableId="139153023">
    <w:abstractNumId w:val="2"/>
  </w:num>
  <w:num w:numId="3" w16cid:durableId="812527709">
    <w:abstractNumId w:val="1"/>
  </w:num>
  <w:num w:numId="4" w16cid:durableId="174157187">
    <w:abstractNumId w:val="0"/>
  </w:num>
  <w:num w:numId="5" w16cid:durableId="1190143645">
    <w:abstractNumId w:val="5"/>
  </w:num>
  <w:num w:numId="6" w16cid:durableId="2012834220">
    <w:abstractNumId w:val="6"/>
  </w:num>
  <w:num w:numId="7" w16cid:durableId="49353338">
    <w:abstractNumId w:val="8"/>
  </w:num>
  <w:num w:numId="8" w16cid:durableId="1939753013">
    <w:abstractNumId w:val="3"/>
  </w:num>
  <w:num w:numId="9" w16cid:durableId="1873572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773"/>
    <w:rsid w:val="00003CE3"/>
    <w:rsid w:val="0001049A"/>
    <w:rsid w:val="0002094D"/>
    <w:rsid w:val="00030AAB"/>
    <w:rsid w:val="00047AE7"/>
    <w:rsid w:val="00054434"/>
    <w:rsid w:val="00057637"/>
    <w:rsid w:val="000915F5"/>
    <w:rsid w:val="00093DD6"/>
    <w:rsid w:val="000A011E"/>
    <w:rsid w:val="000C3CC6"/>
    <w:rsid w:val="000E6A35"/>
    <w:rsid w:val="000E7983"/>
    <w:rsid w:val="000F0861"/>
    <w:rsid w:val="000F2728"/>
    <w:rsid w:val="000F765A"/>
    <w:rsid w:val="00122235"/>
    <w:rsid w:val="00145C33"/>
    <w:rsid w:val="00173B16"/>
    <w:rsid w:val="001812D8"/>
    <w:rsid w:val="001830EE"/>
    <w:rsid w:val="00183690"/>
    <w:rsid w:val="00185D74"/>
    <w:rsid w:val="00192C91"/>
    <w:rsid w:val="00196C57"/>
    <w:rsid w:val="001970E7"/>
    <w:rsid w:val="001A059E"/>
    <w:rsid w:val="001A3BB6"/>
    <w:rsid w:val="001A416A"/>
    <w:rsid w:val="001A7296"/>
    <w:rsid w:val="001B09C1"/>
    <w:rsid w:val="001B3086"/>
    <w:rsid w:val="001B5E18"/>
    <w:rsid w:val="001C1090"/>
    <w:rsid w:val="001C39DA"/>
    <w:rsid w:val="001C7907"/>
    <w:rsid w:val="001E0D19"/>
    <w:rsid w:val="001E3A4B"/>
    <w:rsid w:val="00202487"/>
    <w:rsid w:val="00206849"/>
    <w:rsid w:val="00221000"/>
    <w:rsid w:val="00222B03"/>
    <w:rsid w:val="00222CD3"/>
    <w:rsid w:val="00223F77"/>
    <w:rsid w:val="00237C97"/>
    <w:rsid w:val="00244FD4"/>
    <w:rsid w:val="00254F4F"/>
    <w:rsid w:val="00255476"/>
    <w:rsid w:val="002617CE"/>
    <w:rsid w:val="0027132F"/>
    <w:rsid w:val="00274B7D"/>
    <w:rsid w:val="002768DC"/>
    <w:rsid w:val="00287434"/>
    <w:rsid w:val="0029731C"/>
    <w:rsid w:val="002A3A93"/>
    <w:rsid w:val="002A79C6"/>
    <w:rsid w:val="002B7149"/>
    <w:rsid w:val="002B772C"/>
    <w:rsid w:val="002D623F"/>
    <w:rsid w:val="002E0997"/>
    <w:rsid w:val="002E32F8"/>
    <w:rsid w:val="002E6481"/>
    <w:rsid w:val="002E719C"/>
    <w:rsid w:val="002F6BCC"/>
    <w:rsid w:val="003009F5"/>
    <w:rsid w:val="00311EC4"/>
    <w:rsid w:val="003166B4"/>
    <w:rsid w:val="00320510"/>
    <w:rsid w:val="00320D6A"/>
    <w:rsid w:val="00326EC4"/>
    <w:rsid w:val="003305EC"/>
    <w:rsid w:val="00334000"/>
    <w:rsid w:val="00337942"/>
    <w:rsid w:val="00364D7F"/>
    <w:rsid w:val="003771BF"/>
    <w:rsid w:val="00377592"/>
    <w:rsid w:val="00383139"/>
    <w:rsid w:val="00390796"/>
    <w:rsid w:val="00391A14"/>
    <w:rsid w:val="003A1979"/>
    <w:rsid w:val="003B169D"/>
    <w:rsid w:val="003D1EE7"/>
    <w:rsid w:val="003E43EF"/>
    <w:rsid w:val="003E4B45"/>
    <w:rsid w:val="003E552A"/>
    <w:rsid w:val="003E612B"/>
    <w:rsid w:val="003F00F7"/>
    <w:rsid w:val="0040563E"/>
    <w:rsid w:val="00407F46"/>
    <w:rsid w:val="00411CD6"/>
    <w:rsid w:val="00423ABF"/>
    <w:rsid w:val="004358B3"/>
    <w:rsid w:val="00440624"/>
    <w:rsid w:val="00441B6C"/>
    <w:rsid w:val="004556F6"/>
    <w:rsid w:val="004601E4"/>
    <w:rsid w:val="00463AE2"/>
    <w:rsid w:val="0046429D"/>
    <w:rsid w:val="00467C24"/>
    <w:rsid w:val="00471CFF"/>
    <w:rsid w:val="00474B67"/>
    <w:rsid w:val="00480C88"/>
    <w:rsid w:val="00482BB1"/>
    <w:rsid w:val="004832EE"/>
    <w:rsid w:val="00484B1D"/>
    <w:rsid w:val="00495E53"/>
    <w:rsid w:val="004A3D66"/>
    <w:rsid w:val="004B1421"/>
    <w:rsid w:val="004B48F2"/>
    <w:rsid w:val="004B7F67"/>
    <w:rsid w:val="004C2985"/>
    <w:rsid w:val="004D0386"/>
    <w:rsid w:val="004D72AC"/>
    <w:rsid w:val="004E5039"/>
    <w:rsid w:val="004E704E"/>
    <w:rsid w:val="004F48B2"/>
    <w:rsid w:val="0050243E"/>
    <w:rsid w:val="00502546"/>
    <w:rsid w:val="00504429"/>
    <w:rsid w:val="00504AB3"/>
    <w:rsid w:val="005063AC"/>
    <w:rsid w:val="0050791B"/>
    <w:rsid w:val="005119ED"/>
    <w:rsid w:val="00514140"/>
    <w:rsid w:val="005145A0"/>
    <w:rsid w:val="00516538"/>
    <w:rsid w:val="00516FC0"/>
    <w:rsid w:val="005229F0"/>
    <w:rsid w:val="00524770"/>
    <w:rsid w:val="0052514E"/>
    <w:rsid w:val="0052667E"/>
    <w:rsid w:val="0053374C"/>
    <w:rsid w:val="00535C34"/>
    <w:rsid w:val="00543079"/>
    <w:rsid w:val="00551C3F"/>
    <w:rsid w:val="00560703"/>
    <w:rsid w:val="00567A2D"/>
    <w:rsid w:val="00570B9D"/>
    <w:rsid w:val="00572AB5"/>
    <w:rsid w:val="0057430A"/>
    <w:rsid w:val="005758E9"/>
    <w:rsid w:val="00584054"/>
    <w:rsid w:val="005870B6"/>
    <w:rsid w:val="005960B8"/>
    <w:rsid w:val="00596953"/>
    <w:rsid w:val="005A092F"/>
    <w:rsid w:val="005A756E"/>
    <w:rsid w:val="005B0CA9"/>
    <w:rsid w:val="005B64B3"/>
    <w:rsid w:val="005B7B47"/>
    <w:rsid w:val="005D1079"/>
    <w:rsid w:val="005D167B"/>
    <w:rsid w:val="005F63A6"/>
    <w:rsid w:val="006121DE"/>
    <w:rsid w:val="00616A70"/>
    <w:rsid w:val="006203C3"/>
    <w:rsid w:val="00630D6A"/>
    <w:rsid w:val="00632330"/>
    <w:rsid w:val="006335C5"/>
    <w:rsid w:val="00633C08"/>
    <w:rsid w:val="00634CD8"/>
    <w:rsid w:val="00637BD7"/>
    <w:rsid w:val="006509C3"/>
    <w:rsid w:val="0065301F"/>
    <w:rsid w:val="00654BEE"/>
    <w:rsid w:val="00657EE4"/>
    <w:rsid w:val="00670E3E"/>
    <w:rsid w:val="00671A48"/>
    <w:rsid w:val="006842C4"/>
    <w:rsid w:val="00695CDB"/>
    <w:rsid w:val="006A3181"/>
    <w:rsid w:val="006A7219"/>
    <w:rsid w:val="006A775E"/>
    <w:rsid w:val="006B3460"/>
    <w:rsid w:val="006B434E"/>
    <w:rsid w:val="006C62C7"/>
    <w:rsid w:val="006C66E6"/>
    <w:rsid w:val="006D2798"/>
    <w:rsid w:val="006E36BF"/>
    <w:rsid w:val="006E5AB9"/>
    <w:rsid w:val="006E5AD7"/>
    <w:rsid w:val="006F406B"/>
    <w:rsid w:val="006F4962"/>
    <w:rsid w:val="00707154"/>
    <w:rsid w:val="007213D2"/>
    <w:rsid w:val="0072683A"/>
    <w:rsid w:val="00730703"/>
    <w:rsid w:val="00740D9B"/>
    <w:rsid w:val="007470DF"/>
    <w:rsid w:val="00756E7E"/>
    <w:rsid w:val="007618E0"/>
    <w:rsid w:val="0076209D"/>
    <w:rsid w:val="00762EB9"/>
    <w:rsid w:val="00763DEA"/>
    <w:rsid w:val="00764BD4"/>
    <w:rsid w:val="007657F2"/>
    <w:rsid w:val="00767FD8"/>
    <w:rsid w:val="00774606"/>
    <w:rsid w:val="00780B6A"/>
    <w:rsid w:val="00794DEC"/>
    <w:rsid w:val="007A1B72"/>
    <w:rsid w:val="007A1F8F"/>
    <w:rsid w:val="007A42F4"/>
    <w:rsid w:val="007A5701"/>
    <w:rsid w:val="007A5B01"/>
    <w:rsid w:val="007B4A10"/>
    <w:rsid w:val="007B5394"/>
    <w:rsid w:val="007B7BF1"/>
    <w:rsid w:val="007D1A7A"/>
    <w:rsid w:val="007D57BD"/>
    <w:rsid w:val="007D70B2"/>
    <w:rsid w:val="007E3C00"/>
    <w:rsid w:val="007E4CA9"/>
    <w:rsid w:val="007F30E4"/>
    <w:rsid w:val="007F35B6"/>
    <w:rsid w:val="007F52B8"/>
    <w:rsid w:val="008003C3"/>
    <w:rsid w:val="00804ED2"/>
    <w:rsid w:val="0081784B"/>
    <w:rsid w:val="00822662"/>
    <w:rsid w:val="00825687"/>
    <w:rsid w:val="0082611F"/>
    <w:rsid w:val="00835297"/>
    <w:rsid w:val="00836979"/>
    <w:rsid w:val="00845663"/>
    <w:rsid w:val="00863230"/>
    <w:rsid w:val="00870C2C"/>
    <w:rsid w:val="00874611"/>
    <w:rsid w:val="00874EE7"/>
    <w:rsid w:val="00886E43"/>
    <w:rsid w:val="008953C5"/>
    <w:rsid w:val="008A00AA"/>
    <w:rsid w:val="008A0E84"/>
    <w:rsid w:val="008A5C05"/>
    <w:rsid w:val="008A6BC7"/>
    <w:rsid w:val="008B0271"/>
    <w:rsid w:val="008B5870"/>
    <w:rsid w:val="008D79DE"/>
    <w:rsid w:val="008F030B"/>
    <w:rsid w:val="008F718E"/>
    <w:rsid w:val="0090269C"/>
    <w:rsid w:val="0090671A"/>
    <w:rsid w:val="00907D5D"/>
    <w:rsid w:val="0091005D"/>
    <w:rsid w:val="0091269B"/>
    <w:rsid w:val="00917C37"/>
    <w:rsid w:val="0092393D"/>
    <w:rsid w:val="00924DB0"/>
    <w:rsid w:val="00926E2F"/>
    <w:rsid w:val="00927ADB"/>
    <w:rsid w:val="00930E03"/>
    <w:rsid w:val="0093727B"/>
    <w:rsid w:val="0094724E"/>
    <w:rsid w:val="009505EF"/>
    <w:rsid w:val="00950F5F"/>
    <w:rsid w:val="00952522"/>
    <w:rsid w:val="00953BDC"/>
    <w:rsid w:val="00954F4C"/>
    <w:rsid w:val="00963E9D"/>
    <w:rsid w:val="00963FC8"/>
    <w:rsid w:val="00964B87"/>
    <w:rsid w:val="009775F2"/>
    <w:rsid w:val="009812D3"/>
    <w:rsid w:val="009866A7"/>
    <w:rsid w:val="009A1B44"/>
    <w:rsid w:val="009B517E"/>
    <w:rsid w:val="009C2C44"/>
    <w:rsid w:val="009D55B8"/>
    <w:rsid w:val="009E3691"/>
    <w:rsid w:val="009E4AF0"/>
    <w:rsid w:val="009E6CCF"/>
    <w:rsid w:val="009E6EB6"/>
    <w:rsid w:val="009E73DB"/>
    <w:rsid w:val="00A12036"/>
    <w:rsid w:val="00A16464"/>
    <w:rsid w:val="00A21AB1"/>
    <w:rsid w:val="00A30D4E"/>
    <w:rsid w:val="00A33895"/>
    <w:rsid w:val="00A352B8"/>
    <w:rsid w:val="00A36799"/>
    <w:rsid w:val="00A37A0E"/>
    <w:rsid w:val="00A40958"/>
    <w:rsid w:val="00A415D9"/>
    <w:rsid w:val="00A42720"/>
    <w:rsid w:val="00A42C29"/>
    <w:rsid w:val="00A50D5B"/>
    <w:rsid w:val="00A51316"/>
    <w:rsid w:val="00A53285"/>
    <w:rsid w:val="00A532C1"/>
    <w:rsid w:val="00A64567"/>
    <w:rsid w:val="00A65C46"/>
    <w:rsid w:val="00A67598"/>
    <w:rsid w:val="00A676F1"/>
    <w:rsid w:val="00A7251D"/>
    <w:rsid w:val="00A7282C"/>
    <w:rsid w:val="00A92E36"/>
    <w:rsid w:val="00AA145B"/>
    <w:rsid w:val="00AA4B5C"/>
    <w:rsid w:val="00AA64FD"/>
    <w:rsid w:val="00AB69FB"/>
    <w:rsid w:val="00AE0221"/>
    <w:rsid w:val="00AE0FDD"/>
    <w:rsid w:val="00AE77B7"/>
    <w:rsid w:val="00AF1C65"/>
    <w:rsid w:val="00AF45BF"/>
    <w:rsid w:val="00AF5CAE"/>
    <w:rsid w:val="00B078B0"/>
    <w:rsid w:val="00B11A05"/>
    <w:rsid w:val="00B1366F"/>
    <w:rsid w:val="00B165DF"/>
    <w:rsid w:val="00B1776E"/>
    <w:rsid w:val="00B2277C"/>
    <w:rsid w:val="00B22C3C"/>
    <w:rsid w:val="00B36714"/>
    <w:rsid w:val="00B432EA"/>
    <w:rsid w:val="00B43352"/>
    <w:rsid w:val="00B44DCF"/>
    <w:rsid w:val="00B50117"/>
    <w:rsid w:val="00B51181"/>
    <w:rsid w:val="00B52374"/>
    <w:rsid w:val="00B6117D"/>
    <w:rsid w:val="00B62209"/>
    <w:rsid w:val="00B644E0"/>
    <w:rsid w:val="00B72FD8"/>
    <w:rsid w:val="00B80085"/>
    <w:rsid w:val="00B90159"/>
    <w:rsid w:val="00B91C9C"/>
    <w:rsid w:val="00BA0992"/>
    <w:rsid w:val="00BA2495"/>
    <w:rsid w:val="00BA4F64"/>
    <w:rsid w:val="00BB4707"/>
    <w:rsid w:val="00BC7ECE"/>
    <w:rsid w:val="00BD59A1"/>
    <w:rsid w:val="00BD689D"/>
    <w:rsid w:val="00BD6B50"/>
    <w:rsid w:val="00BD7DD1"/>
    <w:rsid w:val="00BE6A87"/>
    <w:rsid w:val="00BE717C"/>
    <w:rsid w:val="00BF2CDE"/>
    <w:rsid w:val="00C000B8"/>
    <w:rsid w:val="00C00732"/>
    <w:rsid w:val="00C027EB"/>
    <w:rsid w:val="00C12C06"/>
    <w:rsid w:val="00C16ED9"/>
    <w:rsid w:val="00C4435A"/>
    <w:rsid w:val="00C44607"/>
    <w:rsid w:val="00C50773"/>
    <w:rsid w:val="00C6172F"/>
    <w:rsid w:val="00C61B00"/>
    <w:rsid w:val="00C62C36"/>
    <w:rsid w:val="00C63E57"/>
    <w:rsid w:val="00C73996"/>
    <w:rsid w:val="00C741EA"/>
    <w:rsid w:val="00C8179C"/>
    <w:rsid w:val="00C8354C"/>
    <w:rsid w:val="00C839E4"/>
    <w:rsid w:val="00C92B5D"/>
    <w:rsid w:val="00C974AC"/>
    <w:rsid w:val="00CA3071"/>
    <w:rsid w:val="00CA45F9"/>
    <w:rsid w:val="00CA5771"/>
    <w:rsid w:val="00CB2E99"/>
    <w:rsid w:val="00CB4D42"/>
    <w:rsid w:val="00CB4FC9"/>
    <w:rsid w:val="00CC12B0"/>
    <w:rsid w:val="00CC50C8"/>
    <w:rsid w:val="00CC66F0"/>
    <w:rsid w:val="00CD778F"/>
    <w:rsid w:val="00CE3726"/>
    <w:rsid w:val="00CE6C45"/>
    <w:rsid w:val="00D1454B"/>
    <w:rsid w:val="00D15D52"/>
    <w:rsid w:val="00D31EB3"/>
    <w:rsid w:val="00D35241"/>
    <w:rsid w:val="00D3645A"/>
    <w:rsid w:val="00D366D6"/>
    <w:rsid w:val="00D4149A"/>
    <w:rsid w:val="00D426F9"/>
    <w:rsid w:val="00D47052"/>
    <w:rsid w:val="00D47D27"/>
    <w:rsid w:val="00D50B5C"/>
    <w:rsid w:val="00D55A4E"/>
    <w:rsid w:val="00D55D32"/>
    <w:rsid w:val="00D56E9B"/>
    <w:rsid w:val="00D65A12"/>
    <w:rsid w:val="00D907E8"/>
    <w:rsid w:val="00D96B5C"/>
    <w:rsid w:val="00D96F86"/>
    <w:rsid w:val="00DA06E1"/>
    <w:rsid w:val="00DA4A06"/>
    <w:rsid w:val="00DA7F35"/>
    <w:rsid w:val="00DB39E8"/>
    <w:rsid w:val="00DB4C49"/>
    <w:rsid w:val="00DC0A91"/>
    <w:rsid w:val="00DC1923"/>
    <w:rsid w:val="00DC6D2B"/>
    <w:rsid w:val="00DE21A8"/>
    <w:rsid w:val="00DF188A"/>
    <w:rsid w:val="00DF263A"/>
    <w:rsid w:val="00E0037C"/>
    <w:rsid w:val="00E10EE4"/>
    <w:rsid w:val="00E14B3F"/>
    <w:rsid w:val="00E17F58"/>
    <w:rsid w:val="00E2375B"/>
    <w:rsid w:val="00E32C67"/>
    <w:rsid w:val="00E5219B"/>
    <w:rsid w:val="00E539CB"/>
    <w:rsid w:val="00E5610C"/>
    <w:rsid w:val="00E62A58"/>
    <w:rsid w:val="00E62B81"/>
    <w:rsid w:val="00E66BD9"/>
    <w:rsid w:val="00E6775C"/>
    <w:rsid w:val="00E677BF"/>
    <w:rsid w:val="00E727E1"/>
    <w:rsid w:val="00E76559"/>
    <w:rsid w:val="00E82F6F"/>
    <w:rsid w:val="00E902F5"/>
    <w:rsid w:val="00E91F1F"/>
    <w:rsid w:val="00EA1B4C"/>
    <w:rsid w:val="00EA3792"/>
    <w:rsid w:val="00EA4046"/>
    <w:rsid w:val="00EB7676"/>
    <w:rsid w:val="00ED087E"/>
    <w:rsid w:val="00ED498C"/>
    <w:rsid w:val="00EE449F"/>
    <w:rsid w:val="00EF028B"/>
    <w:rsid w:val="00EF1098"/>
    <w:rsid w:val="00EF2D44"/>
    <w:rsid w:val="00EF5518"/>
    <w:rsid w:val="00F03510"/>
    <w:rsid w:val="00F03F22"/>
    <w:rsid w:val="00F32829"/>
    <w:rsid w:val="00F375B3"/>
    <w:rsid w:val="00F55F05"/>
    <w:rsid w:val="00F64886"/>
    <w:rsid w:val="00F65BB3"/>
    <w:rsid w:val="00F66E22"/>
    <w:rsid w:val="00F736E0"/>
    <w:rsid w:val="00F8296C"/>
    <w:rsid w:val="00F8528C"/>
    <w:rsid w:val="00F8627A"/>
    <w:rsid w:val="00F919C2"/>
    <w:rsid w:val="00F938B6"/>
    <w:rsid w:val="00FA16DE"/>
    <w:rsid w:val="00FB0185"/>
    <w:rsid w:val="00FB4EC4"/>
    <w:rsid w:val="00FB560C"/>
    <w:rsid w:val="00FB5CFE"/>
    <w:rsid w:val="00FD1921"/>
    <w:rsid w:val="00FD68C9"/>
    <w:rsid w:val="00FD7F91"/>
    <w:rsid w:val="00FF0C5E"/>
    <w:rsid w:val="00FF57B8"/>
    <w:rsid w:val="00FF57E8"/>
    <w:rsid w:val="00FF7601"/>
    <w:rsid w:val="0D711068"/>
    <w:rsid w:val="29511230"/>
    <w:rsid w:val="3AB271D0"/>
    <w:rsid w:val="488B10BF"/>
    <w:rsid w:val="5D1A6A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1010D4A9"/>
  <w15:docId w15:val="{686A1FC4-B695-44A1-B44B-1CF79340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US" w:eastAsia="en-US"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table" w:styleId="TableGrid">
    <w:name w:val="Table Grid"/>
    <w:basedOn w:val="TableNormal"/>
    <w:uiPriority w:val="39"/>
    <w:rsid w:val="009812D3"/>
    <w:pPr>
      <w:autoSpaceDN/>
      <w:textAlignment w:val="auto"/>
    </w:pPr>
    <w:rPr>
      <w:rFonts w:eastAsia="MS Mincho"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9812D3"/>
    <w:pPr>
      <w:autoSpaceDN/>
      <w:spacing w:line="240" w:lineRule="auto"/>
      <w:ind w:left="720"/>
      <w:contextualSpacing/>
      <w:textAlignment w:val="auto"/>
    </w:pPr>
    <w:rPr>
      <w:rFonts w:ascii="Times New Roman" w:eastAsia="MS Mincho" w:hAnsi="Times New Roman" w:cs="Times New Roman"/>
      <w:color w:val="auto"/>
      <w:sz w:val="24"/>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9812D3"/>
    <w:rPr>
      <w:rFonts w:eastAsia="MS Mincho" w:cs="Times New Roman"/>
      <w:sz w:val="24"/>
      <w:szCs w:val="24"/>
      <w:lang w:val="nl-NL" w:eastAsia="nl-NL"/>
    </w:rPr>
  </w:style>
  <w:style w:type="paragraph" w:styleId="Header">
    <w:name w:val="header"/>
    <w:basedOn w:val="Normal"/>
    <w:link w:val="HeaderChar"/>
    <w:uiPriority w:val="99"/>
    <w:unhideWhenUsed/>
    <w:rsid w:val="00F03F22"/>
    <w:pPr>
      <w:tabs>
        <w:tab w:val="center" w:pos="4513"/>
        <w:tab w:val="right" w:pos="9026"/>
      </w:tabs>
      <w:spacing w:line="240" w:lineRule="auto"/>
    </w:pPr>
  </w:style>
  <w:style w:type="character" w:customStyle="1" w:styleId="HeaderChar">
    <w:name w:val="Header Char"/>
    <w:basedOn w:val="DefaultParagraphFont"/>
    <w:link w:val="Header"/>
    <w:uiPriority w:val="99"/>
    <w:rsid w:val="00F03F22"/>
    <w:rPr>
      <w:rFonts w:ascii="Verdana" w:hAnsi="Verdana"/>
      <w:color w:val="000000"/>
      <w:sz w:val="18"/>
      <w:szCs w:val="18"/>
      <w:lang w:val="nl-NL"/>
    </w:rPr>
  </w:style>
  <w:style w:type="paragraph" w:styleId="Footer">
    <w:name w:val="footer"/>
    <w:basedOn w:val="Normal"/>
    <w:link w:val="FooterChar"/>
    <w:uiPriority w:val="99"/>
    <w:unhideWhenUsed/>
    <w:rsid w:val="00F03F22"/>
    <w:pPr>
      <w:tabs>
        <w:tab w:val="center" w:pos="4513"/>
        <w:tab w:val="right" w:pos="9026"/>
      </w:tabs>
      <w:spacing w:line="240" w:lineRule="auto"/>
    </w:pPr>
  </w:style>
  <w:style w:type="character" w:customStyle="1" w:styleId="FooterChar">
    <w:name w:val="Footer Char"/>
    <w:basedOn w:val="DefaultParagraphFont"/>
    <w:link w:val="Footer"/>
    <w:uiPriority w:val="99"/>
    <w:rsid w:val="00F03F22"/>
    <w:rPr>
      <w:rFonts w:ascii="Verdana" w:hAnsi="Verdana"/>
      <w:color w:val="000000"/>
      <w:sz w:val="18"/>
      <w:szCs w:val="18"/>
      <w:lang w:val="nl-NL"/>
    </w:rPr>
  </w:style>
  <w:style w:type="character" w:styleId="CommentReference">
    <w:name w:val="annotation reference"/>
    <w:basedOn w:val="DefaultParagraphFont"/>
    <w:uiPriority w:val="99"/>
    <w:semiHidden/>
    <w:unhideWhenUsed/>
    <w:rsid w:val="00954F4C"/>
    <w:rPr>
      <w:sz w:val="16"/>
      <w:szCs w:val="16"/>
    </w:rPr>
  </w:style>
  <w:style w:type="paragraph" w:styleId="CommentText">
    <w:name w:val="annotation text"/>
    <w:basedOn w:val="Normal"/>
    <w:link w:val="CommentTextChar"/>
    <w:uiPriority w:val="99"/>
    <w:unhideWhenUsed/>
    <w:rsid w:val="00954F4C"/>
    <w:pPr>
      <w:spacing w:line="240" w:lineRule="auto"/>
    </w:pPr>
    <w:rPr>
      <w:sz w:val="20"/>
      <w:szCs w:val="20"/>
    </w:rPr>
  </w:style>
  <w:style w:type="character" w:customStyle="1" w:styleId="CommentTextChar">
    <w:name w:val="Comment Text Char"/>
    <w:basedOn w:val="DefaultParagraphFont"/>
    <w:link w:val="CommentText"/>
    <w:uiPriority w:val="99"/>
    <w:rsid w:val="00954F4C"/>
    <w:rPr>
      <w:rFonts w:ascii="Verdana" w:hAnsi="Verdana"/>
      <w:color w:val="000000"/>
      <w:lang w:val="nl-NL"/>
    </w:rPr>
  </w:style>
  <w:style w:type="paragraph" w:styleId="CommentSubject">
    <w:name w:val="annotation subject"/>
    <w:basedOn w:val="CommentText"/>
    <w:next w:val="CommentText"/>
    <w:link w:val="CommentSubjectChar"/>
    <w:uiPriority w:val="99"/>
    <w:semiHidden/>
    <w:unhideWhenUsed/>
    <w:rsid w:val="00954F4C"/>
    <w:rPr>
      <w:b/>
      <w:bCs/>
    </w:rPr>
  </w:style>
  <w:style w:type="character" w:customStyle="1" w:styleId="CommentSubjectChar">
    <w:name w:val="Comment Subject Char"/>
    <w:basedOn w:val="CommentTextChar"/>
    <w:link w:val="CommentSubject"/>
    <w:uiPriority w:val="99"/>
    <w:semiHidden/>
    <w:rsid w:val="00954F4C"/>
    <w:rPr>
      <w:rFonts w:ascii="Verdana" w:hAnsi="Verdana"/>
      <w:b/>
      <w:bCs/>
      <w:color w:val="000000"/>
      <w:lang w:val="nl-NL"/>
    </w:rPr>
  </w:style>
  <w:style w:type="paragraph" w:styleId="Revision">
    <w:name w:val="Revision"/>
    <w:hidden/>
    <w:uiPriority w:val="99"/>
    <w:semiHidden/>
    <w:rsid w:val="007B7BF1"/>
    <w:pPr>
      <w:autoSpaceDN/>
      <w:textAlignment w:val="auto"/>
    </w:pPr>
    <w:rPr>
      <w:rFonts w:ascii="Verdana" w:hAnsi="Verdana"/>
      <w:color w:val="000000"/>
      <w:sz w:val="18"/>
      <w:szCs w:val="18"/>
      <w:lang w:val="nl-NL"/>
    </w:rPr>
  </w:style>
  <w:style w:type="paragraph" w:customStyle="1" w:styleId="Citaat1">
    <w:name w:val="Citaat1"/>
    <w:basedOn w:val="Normal"/>
    <w:next w:val="Normal"/>
    <w:uiPriority w:val="98"/>
    <w:qFormat/>
    <w:rsid w:val="00E32C67"/>
    <w:pPr>
      <w:spacing w:before="200" w:after="160"/>
      <w:ind w:left="861"/>
      <w:jc w:val="center"/>
    </w:pPr>
    <w:rPr>
      <w:i/>
      <w:color w:val="404040"/>
    </w:rPr>
  </w:style>
  <w:style w:type="paragraph" w:customStyle="1" w:styleId="Geenafstand1">
    <w:name w:val="Geen afstand1"/>
    <w:basedOn w:val="Normal"/>
    <w:next w:val="Normal"/>
    <w:uiPriority w:val="98"/>
    <w:qFormat/>
    <w:rsid w:val="00E32C67"/>
    <w:pPr>
      <w:spacing w:line="180" w:lineRule="exact"/>
    </w:pPr>
  </w:style>
  <w:style w:type="paragraph" w:customStyle="1" w:styleId="Intensievebenadrukking1">
    <w:name w:val="Intensieve benadrukking1"/>
    <w:basedOn w:val="Normal"/>
    <w:next w:val="Normal"/>
    <w:uiPriority w:val="98"/>
    <w:qFormat/>
    <w:rsid w:val="00E32C67"/>
    <w:rPr>
      <w:i/>
      <w:color w:val="4F81BD"/>
    </w:rPr>
  </w:style>
  <w:style w:type="paragraph" w:customStyle="1" w:styleId="Intensieveverwijzing1">
    <w:name w:val="Intensieve verwijzing1"/>
    <w:basedOn w:val="Normal"/>
    <w:next w:val="Normal"/>
    <w:uiPriority w:val="98"/>
    <w:qFormat/>
    <w:rsid w:val="00E32C67"/>
    <w:rPr>
      <w:b/>
      <w:smallCaps/>
      <w:color w:val="4F81BD"/>
      <w:spacing w:val="5"/>
    </w:rPr>
  </w:style>
  <w:style w:type="paragraph" w:customStyle="1" w:styleId="Kop11">
    <w:name w:val="Kop 11"/>
    <w:basedOn w:val="Normal"/>
    <w:next w:val="Normal"/>
    <w:qFormat/>
    <w:rsid w:val="00E32C67"/>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E32C67"/>
    <w:pPr>
      <w:tabs>
        <w:tab w:val="left" w:pos="0"/>
      </w:tabs>
      <w:spacing w:before="240"/>
    </w:pPr>
    <w:rPr>
      <w:i/>
    </w:rPr>
  </w:style>
  <w:style w:type="paragraph" w:customStyle="1" w:styleId="Kop31">
    <w:name w:val="Kop 31"/>
    <w:basedOn w:val="Normal"/>
    <w:next w:val="Normal"/>
    <w:uiPriority w:val="2"/>
    <w:qFormat/>
    <w:rsid w:val="00E32C67"/>
    <w:pPr>
      <w:tabs>
        <w:tab w:val="left" w:pos="0"/>
      </w:tabs>
      <w:spacing w:before="240"/>
      <w:ind w:left="-1120"/>
    </w:pPr>
  </w:style>
  <w:style w:type="paragraph" w:customStyle="1" w:styleId="Kop41">
    <w:name w:val="Kop 41"/>
    <w:basedOn w:val="Normal"/>
    <w:next w:val="Normal"/>
    <w:uiPriority w:val="3"/>
    <w:qFormat/>
    <w:rsid w:val="00E32C67"/>
    <w:pPr>
      <w:tabs>
        <w:tab w:val="left" w:pos="0"/>
      </w:tabs>
      <w:spacing w:before="240"/>
      <w:ind w:left="-1120"/>
    </w:pPr>
  </w:style>
  <w:style w:type="paragraph" w:customStyle="1" w:styleId="Kop51">
    <w:name w:val="Kop 51"/>
    <w:basedOn w:val="Normal"/>
    <w:next w:val="Normal"/>
    <w:rsid w:val="00E32C67"/>
    <w:pPr>
      <w:spacing w:line="320" w:lineRule="exact"/>
    </w:pPr>
    <w:rPr>
      <w:sz w:val="24"/>
      <w:szCs w:val="24"/>
    </w:rPr>
  </w:style>
  <w:style w:type="paragraph" w:customStyle="1" w:styleId="Ondertitel1">
    <w:name w:val="Ondertitel1"/>
    <w:basedOn w:val="Normal"/>
    <w:next w:val="Normal"/>
    <w:uiPriority w:val="8"/>
    <w:qFormat/>
    <w:rsid w:val="00E32C67"/>
    <w:pPr>
      <w:spacing w:line="320" w:lineRule="atLeast"/>
    </w:pPr>
    <w:rPr>
      <w:sz w:val="24"/>
      <w:szCs w:val="24"/>
    </w:rPr>
  </w:style>
  <w:style w:type="paragraph" w:customStyle="1" w:styleId="Subtielebenadrukking1">
    <w:name w:val="Subtiele benadrukking1"/>
    <w:basedOn w:val="Normal"/>
    <w:next w:val="Normal"/>
    <w:uiPriority w:val="98"/>
    <w:qFormat/>
    <w:rsid w:val="00E32C67"/>
    <w:rPr>
      <w:i/>
      <w:color w:val="404040"/>
    </w:rPr>
  </w:style>
  <w:style w:type="paragraph" w:customStyle="1" w:styleId="Subtieleverwijzing1">
    <w:name w:val="Subtiele verwijzing1"/>
    <w:basedOn w:val="Normal"/>
    <w:next w:val="Normal"/>
    <w:uiPriority w:val="98"/>
    <w:qFormat/>
    <w:rsid w:val="00E32C67"/>
    <w:rPr>
      <w:smallCaps/>
      <w:color w:val="404040"/>
    </w:rPr>
  </w:style>
  <w:style w:type="table" w:customStyle="1" w:styleId="Tabelraster1">
    <w:name w:val="Tabelraster1"/>
    <w:rsid w:val="00E32C67"/>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E32C67"/>
    <w:pPr>
      <w:spacing w:line="320" w:lineRule="atLeast"/>
    </w:pPr>
    <w:rPr>
      <w:b/>
      <w:sz w:val="24"/>
      <w:szCs w:val="24"/>
    </w:rPr>
  </w:style>
  <w:style w:type="paragraph" w:customStyle="1" w:styleId="Titelvanboek1">
    <w:name w:val="Titel van boek1"/>
    <w:basedOn w:val="Normal"/>
    <w:next w:val="Normal"/>
    <w:uiPriority w:val="98"/>
    <w:qFormat/>
    <w:rsid w:val="00E32C67"/>
    <w:rPr>
      <w:b/>
      <w:i/>
      <w:spacing w:val="5"/>
    </w:rPr>
  </w:style>
  <w:style w:type="paragraph" w:styleId="NormalWeb">
    <w:name w:val="Normal (Web)"/>
    <w:basedOn w:val="Normal"/>
    <w:uiPriority w:val="99"/>
    <w:semiHidden/>
    <w:unhideWhenUsed/>
    <w:rsid w:val="00DF188A"/>
    <w:pPr>
      <w:autoSpaceDN/>
      <w:spacing w:before="100" w:beforeAutospacing="1" w:after="100" w:afterAutospacing="1" w:line="240" w:lineRule="auto"/>
      <w:textAlignment w:val="auto"/>
    </w:pPr>
    <w:rPr>
      <w:rFonts w:ascii="Calibri" w:eastAsiaTheme="minorHAnsi" w:hAnsi="Calibri" w:cs="Calibri"/>
      <w:color w:val="auto"/>
      <w:sz w:val="22"/>
      <w:szCs w:val="22"/>
      <w:lang w:eastAsia="nl-NL"/>
    </w:rPr>
  </w:style>
  <w:style w:type="paragraph" w:styleId="FootnoteText">
    <w:name w:val="footnote text"/>
    <w:basedOn w:val="Normal"/>
    <w:link w:val="FootnoteTextChar"/>
    <w:uiPriority w:val="99"/>
    <w:semiHidden/>
    <w:unhideWhenUsed/>
    <w:rsid w:val="00C44607"/>
    <w:pPr>
      <w:spacing w:line="240" w:lineRule="auto"/>
    </w:pPr>
    <w:rPr>
      <w:sz w:val="20"/>
      <w:szCs w:val="20"/>
    </w:rPr>
  </w:style>
  <w:style w:type="character" w:customStyle="1" w:styleId="FootnoteTextChar">
    <w:name w:val="Footnote Text Char"/>
    <w:basedOn w:val="DefaultParagraphFont"/>
    <w:link w:val="FootnoteText"/>
    <w:uiPriority w:val="99"/>
    <w:semiHidden/>
    <w:rsid w:val="00C44607"/>
    <w:rPr>
      <w:rFonts w:ascii="Verdana" w:hAnsi="Verdana"/>
      <w:color w:val="000000"/>
      <w:lang w:val="nl-NL"/>
    </w:rPr>
  </w:style>
  <w:style w:type="character" w:styleId="FootnoteReference">
    <w:name w:val="footnote reference"/>
    <w:basedOn w:val="DefaultParagraphFont"/>
    <w:uiPriority w:val="99"/>
    <w:semiHidden/>
    <w:unhideWhenUsed/>
    <w:rsid w:val="00C44607"/>
    <w:rPr>
      <w:vertAlign w:val="superscript"/>
    </w:rPr>
  </w:style>
  <w:style w:type="character" w:styleId="UnresolvedMention">
    <w:name w:val="Unresolved Mention"/>
    <w:basedOn w:val="DefaultParagraphFont"/>
    <w:uiPriority w:val="99"/>
    <w:semiHidden/>
    <w:unhideWhenUsed/>
    <w:rsid w:val="00C44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628612">
      <w:bodyDiv w:val="1"/>
      <w:marLeft w:val="0"/>
      <w:marRight w:val="0"/>
      <w:marTop w:val="0"/>
      <w:marBottom w:val="0"/>
      <w:divBdr>
        <w:top w:val="none" w:sz="0" w:space="0" w:color="auto"/>
        <w:left w:val="none" w:sz="0" w:space="0" w:color="auto"/>
        <w:bottom w:val="none" w:sz="0" w:space="0" w:color="auto"/>
        <w:right w:val="none" w:sz="0" w:space="0" w:color="auto"/>
      </w:divBdr>
    </w:div>
    <w:div w:id="1385983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06188&amp;did=2025D1429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2190</ap:Words>
  <ap:Characters>12051</ap:Characters>
  <ap:DocSecurity>0</ap:DocSecurity>
  <ap:Lines>100</ap:Lines>
  <ap:Paragraphs>28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Steunpakket Oekraine 2026 CW 3.1 formulieren oplegbrief</vt:lpstr>
      <vt:lpstr>Steunpakket Oekraine 2026 CW 3.1 formulieren oplegbrief</vt:lpstr>
    </vt:vector>
  </ap:TitlesOfParts>
  <ap:LinksUpToDate>false</ap:LinksUpToDate>
  <ap:CharactersWithSpaces>14213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2025-10-03T08:15:00.0000000Z</lastPrinted>
  <dcterms:created xsi:type="dcterms:W3CDTF">2025-10-03T11:58:00.0000000Z</dcterms:created>
  <dcterms:modified xsi:type="dcterms:W3CDTF">2025-10-03T11:58:00.0000000Z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68139939-4450-40b9-9d7d-212ce1672ff5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