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F26" w:rsidR="00456125" w:rsidP="00456125" w:rsidRDefault="00456125" w14:paraId="04508102" w14:textId="77777777">
      <w:pPr>
        <w:pStyle w:val="NoSpacing"/>
        <w:rPr>
          <w:rFonts w:ascii="Verdana" w:hAnsi="Verdana"/>
          <w:b/>
          <w:bCs/>
          <w:sz w:val="20"/>
          <w:szCs w:val="20"/>
          <w:lang w:val="en-US"/>
        </w:rPr>
      </w:pPr>
    </w:p>
    <w:tbl>
      <w:tblPr>
        <w:tblW w:w="4387" w:type="pct"/>
        <w:tblLayout w:type="fixed"/>
        <w:tblCellMar>
          <w:left w:w="0" w:type="dxa"/>
          <w:right w:w="0" w:type="dxa"/>
        </w:tblCellMar>
        <w:tblLook w:val="04A0" w:firstRow="1" w:lastRow="0" w:firstColumn="1" w:lastColumn="0" w:noHBand="0" w:noVBand="1"/>
      </w:tblPr>
      <w:tblGrid>
        <w:gridCol w:w="1766"/>
        <w:gridCol w:w="6153"/>
      </w:tblGrid>
      <w:tr w:rsidRPr="00457E34" w:rsidR="00456125" w:rsidTr="00A32BD6" w14:paraId="51A9968F" w14:textId="77777777">
        <w:trPr>
          <w:trHeight w:val="507"/>
        </w:trPr>
        <w:tc>
          <w:tcPr>
            <w:tcW w:w="5000" w:type="pct"/>
            <w:gridSpan w:val="2"/>
            <w:shd w:val="clear" w:color="auto" w:fill="39870C"/>
            <w:hideMark/>
          </w:tcPr>
          <w:p w:rsidR="00456125" w:rsidP="00A32BD6" w:rsidRDefault="00456125" w14:paraId="1F71DBEE" w14:textId="77777777">
            <w:pPr>
              <w:pStyle w:val="TableParagraph"/>
              <w:spacing w:before="57" w:line="252" w:lineRule="auto"/>
              <w:ind w:left="0"/>
              <w:rPr>
                <w:b/>
                <w:bCs/>
                <w:color w:val="FFFFFF" w:themeColor="background1"/>
                <w:sz w:val="18"/>
                <w:szCs w:val="18"/>
                <w:lang w:val="nl-NL"/>
              </w:rPr>
            </w:pPr>
            <w:r>
              <w:rPr>
                <w:b/>
                <w:bCs/>
                <w:color w:val="FFFFFF" w:themeColor="background1"/>
                <w:sz w:val="18"/>
                <w:szCs w:val="18"/>
                <w:lang w:val="nl-NL"/>
              </w:rPr>
              <w:t xml:space="preserve">  </w:t>
            </w:r>
            <w:r w:rsidRPr="2A5D6959">
              <w:rPr>
                <w:b/>
                <w:bCs/>
                <w:color w:val="FFFFFF" w:themeColor="background1"/>
                <w:sz w:val="18"/>
                <w:szCs w:val="18"/>
                <w:lang w:val="nl-NL"/>
              </w:rPr>
              <w:t>Bestedingsvoorstel  Accountability voor Oekraïne</w:t>
            </w:r>
          </w:p>
          <w:p w:rsidRPr="00C649E6" w:rsidR="00456125" w:rsidP="00A32BD6" w:rsidRDefault="00456125" w14:paraId="6E0F07C2" w14:textId="77777777">
            <w:pPr>
              <w:pStyle w:val="TableParagraph"/>
              <w:spacing w:before="57" w:line="252" w:lineRule="auto"/>
              <w:ind w:left="89"/>
              <w:rPr>
                <w:b/>
                <w:bCs/>
                <w:sz w:val="18"/>
                <w:szCs w:val="18"/>
                <w:lang w:val="nl-NL"/>
              </w:rPr>
            </w:pPr>
            <w:r w:rsidRPr="2A5D6959">
              <w:rPr>
                <w:b/>
                <w:bCs/>
                <w:color w:val="FFFFFF" w:themeColor="background1"/>
                <w:sz w:val="18"/>
                <w:szCs w:val="18"/>
                <w:lang w:val="nl-NL"/>
              </w:rPr>
              <w:t>Onderbouwing doeltreffendheid, doelmatigheid en evaluatie (CW 3.1) </w:t>
            </w:r>
          </w:p>
        </w:tc>
      </w:tr>
      <w:tr w:rsidRPr="00457E34" w:rsidR="00456125" w:rsidTr="00A32BD6" w14:paraId="4A333666" w14:textId="77777777">
        <w:trPr>
          <w:trHeight w:val="564"/>
        </w:trPr>
        <w:tc>
          <w:tcPr>
            <w:tcW w:w="1115" w:type="pct"/>
            <w:tcBorders>
              <w:top w:val="nil"/>
              <w:left w:val="nil"/>
              <w:bottom w:val="single" w:color="017BC7" w:sz="8" w:space="0"/>
              <w:right w:val="nil"/>
            </w:tcBorders>
            <w:shd w:val="clear" w:color="auto" w:fill="D6EFF9"/>
            <w:hideMark/>
          </w:tcPr>
          <w:p w:rsidRPr="00F838E4" w:rsidR="00456125" w:rsidP="00A32BD6" w:rsidRDefault="00456125" w14:paraId="7201DA2A" w14:textId="77777777">
            <w:pPr>
              <w:pStyle w:val="TableParagraph"/>
              <w:spacing w:before="57" w:line="252" w:lineRule="auto"/>
              <w:ind w:left="89"/>
              <w:rPr>
                <w:b/>
                <w:bCs/>
                <w:sz w:val="18"/>
                <w:szCs w:val="18"/>
              </w:rPr>
            </w:pPr>
            <w:r w:rsidRPr="2D58BF0C">
              <w:rPr>
                <w:b/>
                <w:bCs/>
                <w:sz w:val="18"/>
                <w:szCs w:val="18"/>
              </w:rPr>
              <w:t>1. Doel(en)</w:t>
            </w:r>
          </w:p>
        </w:tc>
        <w:tc>
          <w:tcPr>
            <w:tcW w:w="3885" w:type="pct"/>
            <w:tcBorders>
              <w:top w:val="nil"/>
              <w:left w:val="nil"/>
              <w:bottom w:val="single" w:color="017BC7" w:sz="8" w:space="0"/>
              <w:right w:val="nil"/>
            </w:tcBorders>
            <w:hideMark/>
          </w:tcPr>
          <w:p w:rsidRPr="00887442" w:rsidR="00456125" w:rsidP="00A32BD6" w:rsidRDefault="00456125" w14:paraId="4C1B84E1" w14:textId="77777777">
            <w:pPr>
              <w:pStyle w:val="TableParagraph"/>
              <w:spacing w:before="8" w:line="252" w:lineRule="auto"/>
              <w:rPr>
                <w:b/>
                <w:bCs/>
                <w:sz w:val="18"/>
                <w:szCs w:val="18"/>
                <w:lang w:val="nl-NL"/>
              </w:rPr>
            </w:pPr>
            <w:r w:rsidRPr="2A5D6959">
              <w:rPr>
                <w:b/>
                <w:bCs/>
                <w:sz w:val="18"/>
                <w:szCs w:val="18"/>
                <w:lang w:val="nl-NL"/>
              </w:rPr>
              <w:t>Welke doelen worden nagestreefd met het voorstel in termen van beoogde prestaties en effecten? </w:t>
            </w:r>
          </w:p>
          <w:p w:rsidR="00456125" w:rsidP="00A32BD6" w:rsidRDefault="00456125" w14:paraId="56C57CE2" w14:textId="77777777">
            <w:pPr>
              <w:pStyle w:val="TableParagraph"/>
              <w:spacing w:before="8" w:line="252" w:lineRule="auto"/>
              <w:rPr>
                <w:sz w:val="18"/>
                <w:szCs w:val="18"/>
                <w:lang w:val="nl-NL"/>
              </w:rPr>
            </w:pPr>
          </w:p>
          <w:p w:rsidRPr="001F49FF" w:rsidR="00456125" w:rsidP="00A32BD6" w:rsidRDefault="00456125" w14:paraId="7154DF70" w14:textId="77777777">
            <w:pPr>
              <w:pStyle w:val="TableParagraph"/>
              <w:spacing w:before="8" w:line="252" w:lineRule="auto"/>
              <w:rPr>
                <w:sz w:val="18"/>
                <w:szCs w:val="18"/>
                <w:lang w:val="nl-NL"/>
              </w:rPr>
            </w:pPr>
            <w:r w:rsidRPr="2A5D6959">
              <w:rPr>
                <w:sz w:val="18"/>
                <w:szCs w:val="18"/>
                <w:lang w:val="nl-NL"/>
              </w:rPr>
              <w:t xml:space="preserve">In het </w:t>
            </w:r>
            <w:r w:rsidRPr="2A5D6959">
              <w:rPr>
                <w:sz w:val="18"/>
                <w:szCs w:val="18"/>
                <w:u w:val="single"/>
                <w:lang w:val="nl-NL"/>
              </w:rPr>
              <w:t>regeerprogramma</w:t>
            </w:r>
            <w:r w:rsidRPr="2A5D6959">
              <w:rPr>
                <w:sz w:val="18"/>
                <w:szCs w:val="18"/>
                <w:lang w:val="nl-NL"/>
              </w:rPr>
              <w:t xml:space="preserve"> van 13 september 2024 staat ‘Nederland blijft Oekraïne politiek, militair, financieel en moreel actief en onverminderd steunen in tijd van oorlog, herstel en wederopbouw, zo lang als dat nodig is. Dit is onlosmakelijk verbonden met de afschrikking van verdere Russische agressie’.</w:t>
            </w:r>
          </w:p>
          <w:p w:rsidRPr="001F49FF" w:rsidR="00456125" w:rsidP="00A32BD6" w:rsidRDefault="00456125" w14:paraId="600CB6C2" w14:textId="77777777">
            <w:pPr>
              <w:pStyle w:val="TableParagraph"/>
              <w:spacing w:before="8" w:line="252" w:lineRule="auto"/>
              <w:rPr>
                <w:sz w:val="18"/>
                <w:szCs w:val="18"/>
                <w:lang w:val="nl-NL"/>
              </w:rPr>
            </w:pPr>
            <w:r>
              <w:rPr>
                <w:sz w:val="18"/>
                <w:szCs w:val="18"/>
                <w:lang w:val="nl-NL"/>
              </w:rPr>
              <w:t xml:space="preserve">Met de </w:t>
            </w:r>
            <w:r w:rsidRPr="2D58BF0C">
              <w:rPr>
                <w:sz w:val="18"/>
                <w:szCs w:val="18"/>
                <w:u w:val="single"/>
                <w:lang w:val="nl-NL"/>
              </w:rPr>
              <w:t>motie Yesilgöz en Omtzigt van 18 maart 2025</w:t>
            </w:r>
            <w:r>
              <w:rPr>
                <w:sz w:val="18"/>
                <w:szCs w:val="18"/>
                <w:u w:val="single"/>
                <w:lang w:val="nl-NL"/>
              </w:rPr>
              <w:t xml:space="preserve">, heeft de </w:t>
            </w:r>
            <w:r w:rsidRPr="2D58BF0C">
              <w:rPr>
                <w:sz w:val="18"/>
                <w:szCs w:val="18"/>
                <w:lang w:val="nl-NL"/>
              </w:rPr>
              <w:t xml:space="preserve">Tweede Kamer de regering opgeroepen tot het zetten van extra stappen op gerechtigheid in de strijd tegen de Russische agressie tegen Oekraïne. </w:t>
            </w:r>
            <w:r>
              <w:rPr>
                <w:sz w:val="18"/>
                <w:szCs w:val="18"/>
                <w:lang w:val="nl-NL"/>
              </w:rPr>
              <w:t xml:space="preserve">Verder nam de Kamer op 18 september jl. de motie Paternotte cs aan waarin </w:t>
            </w:r>
            <w:r w:rsidRPr="00732CAF">
              <w:rPr>
                <w:sz w:val="18"/>
                <w:szCs w:val="18"/>
                <w:lang w:val="nl-NL"/>
              </w:rPr>
              <w:t>het kabinet w</w:t>
            </w:r>
            <w:r>
              <w:rPr>
                <w:sz w:val="18"/>
                <w:szCs w:val="18"/>
                <w:lang w:val="nl-NL"/>
              </w:rPr>
              <w:t>o</w:t>
            </w:r>
            <w:r w:rsidRPr="00732CAF">
              <w:rPr>
                <w:sz w:val="18"/>
                <w:szCs w:val="18"/>
                <w:lang w:val="nl-NL"/>
              </w:rPr>
              <w:t>rd</w:t>
            </w:r>
            <w:r>
              <w:rPr>
                <w:sz w:val="18"/>
                <w:szCs w:val="18"/>
                <w:lang w:val="nl-NL"/>
              </w:rPr>
              <w:t>t</w:t>
            </w:r>
            <w:r w:rsidRPr="00732CAF">
              <w:rPr>
                <w:sz w:val="18"/>
                <w:szCs w:val="18"/>
                <w:lang w:val="nl-NL"/>
              </w:rPr>
              <w:t xml:space="preserve"> verzocht ‘positief te besluiten over de vestiging van het agressietribunaal in Den Haag</w:t>
            </w:r>
            <w:r>
              <w:rPr>
                <w:sz w:val="18"/>
                <w:szCs w:val="18"/>
                <w:lang w:val="nl-NL"/>
              </w:rPr>
              <w:t xml:space="preserve">… ‘. </w:t>
            </w:r>
          </w:p>
          <w:p w:rsidRPr="001F49FF" w:rsidR="00456125" w:rsidP="00A32BD6" w:rsidRDefault="00456125" w14:paraId="62CC200B" w14:textId="77777777">
            <w:pPr>
              <w:pStyle w:val="TableParagraph"/>
              <w:spacing w:before="8" w:line="252" w:lineRule="auto"/>
              <w:rPr>
                <w:sz w:val="18"/>
                <w:szCs w:val="18"/>
                <w:lang w:val="nl-NL"/>
              </w:rPr>
            </w:pPr>
          </w:p>
          <w:p w:rsidRPr="001F49FF" w:rsidR="00456125" w:rsidP="00A32BD6" w:rsidRDefault="00456125" w14:paraId="4BF63198" w14:textId="77777777">
            <w:pPr>
              <w:pStyle w:val="TableParagraph"/>
              <w:spacing w:before="8" w:line="252" w:lineRule="auto"/>
              <w:rPr>
                <w:sz w:val="18"/>
                <w:szCs w:val="18"/>
                <w:lang w:val="nl-NL"/>
              </w:rPr>
            </w:pPr>
            <w:r w:rsidRPr="2D58BF0C">
              <w:rPr>
                <w:sz w:val="18"/>
                <w:szCs w:val="18"/>
                <w:lang w:val="nl-NL"/>
              </w:rPr>
              <w:t>Nederland is op verzoek van Oekraïne, voortrekker op ‘</w:t>
            </w:r>
            <w:r w:rsidRPr="2B6552EA">
              <w:rPr>
                <w:i/>
                <w:iCs/>
                <w:sz w:val="18"/>
                <w:szCs w:val="18"/>
                <w:u w:val="single"/>
                <w:lang w:val="nl-NL"/>
              </w:rPr>
              <w:t>Restoring Justice for Ukraine</w:t>
            </w:r>
            <w:r w:rsidRPr="2D58BF0C">
              <w:rPr>
                <w:sz w:val="18"/>
                <w:szCs w:val="18"/>
                <w:lang w:val="nl-NL"/>
              </w:rPr>
              <w:t xml:space="preserve">’ punt 7 van Zelensky’s Vredesplan van december 2022. Binnen deze agenda worden de volgende vier sporen onderscheiden: </w:t>
            </w:r>
          </w:p>
          <w:p w:rsidRPr="001F49FF" w:rsidR="00456125" w:rsidP="00A32BD6" w:rsidRDefault="00456125" w14:paraId="3ED967C4" w14:textId="77777777">
            <w:pPr>
              <w:pStyle w:val="TableParagraph"/>
              <w:spacing w:before="8" w:line="252" w:lineRule="auto"/>
              <w:rPr>
                <w:sz w:val="18"/>
                <w:szCs w:val="18"/>
                <w:lang w:val="nl-NL"/>
              </w:rPr>
            </w:pPr>
            <w:r w:rsidRPr="2A5D6959">
              <w:rPr>
                <w:sz w:val="18"/>
                <w:szCs w:val="18"/>
                <w:lang w:val="nl-NL"/>
              </w:rPr>
              <w:t xml:space="preserve">1) ondersteunen nationale opsporing, vervolging en berechting van internationale misdrijven door Oekraïne, Nederland draagt bij aan capaciteitsversterking; </w:t>
            </w:r>
          </w:p>
          <w:p w:rsidRPr="001F49FF" w:rsidR="00456125" w:rsidP="00A32BD6" w:rsidRDefault="00456125" w14:paraId="356E91FC" w14:textId="77777777">
            <w:pPr>
              <w:pStyle w:val="TableParagraph"/>
              <w:spacing w:before="8" w:line="252" w:lineRule="auto"/>
              <w:rPr>
                <w:sz w:val="18"/>
                <w:szCs w:val="18"/>
                <w:lang w:val="nl-NL"/>
              </w:rPr>
            </w:pPr>
            <w:r w:rsidRPr="2A5D6959">
              <w:rPr>
                <w:sz w:val="18"/>
                <w:szCs w:val="18"/>
                <w:lang w:val="nl-NL"/>
              </w:rPr>
              <w:t xml:space="preserve">2) ondersteunen van internationale hoven en tribunalen voor berechting internationale misdrijven (betreft het ISH, IGH, ICPA en een toekomstig agressietribunaal); </w:t>
            </w:r>
          </w:p>
          <w:p w:rsidRPr="001F49FF" w:rsidR="00456125" w:rsidP="00A32BD6" w:rsidRDefault="00456125" w14:paraId="6DE34AD5" w14:textId="77777777">
            <w:pPr>
              <w:pStyle w:val="TableParagraph"/>
              <w:spacing w:before="8" w:line="252" w:lineRule="auto"/>
              <w:rPr>
                <w:sz w:val="18"/>
                <w:szCs w:val="18"/>
                <w:lang w:val="nl-NL"/>
              </w:rPr>
            </w:pPr>
            <w:r w:rsidRPr="2D58BF0C">
              <w:rPr>
                <w:sz w:val="18"/>
                <w:szCs w:val="18"/>
                <w:lang w:val="nl-NL"/>
              </w:rPr>
              <w:t xml:space="preserve">3) compensatie voor geleden schade (schaderegister is al operationeel in NL, internationale onderhandelingen over claimscommissie resulteren in een diplomatieke verdragsconferentie eind 2025, schadefonds oprichten als laatste stap in de totstandkoming van een volwaardig compensatiemechanisme); </w:t>
            </w:r>
          </w:p>
          <w:p w:rsidRPr="000E7FFA" w:rsidR="00456125" w:rsidP="00A32BD6" w:rsidRDefault="00456125" w14:paraId="43BAC8DC" w14:textId="77777777">
            <w:pPr>
              <w:pStyle w:val="TableParagraph"/>
              <w:spacing w:before="8" w:line="252" w:lineRule="auto"/>
              <w:rPr>
                <w:sz w:val="18"/>
                <w:szCs w:val="18"/>
                <w:lang w:val="nl-NL"/>
              </w:rPr>
            </w:pPr>
            <w:r w:rsidRPr="2D58BF0C">
              <w:rPr>
                <w:sz w:val="18"/>
                <w:szCs w:val="18"/>
                <w:lang w:val="nl-NL"/>
              </w:rPr>
              <w:t>4) de internationale coördinatie van accountability-initiatieven in de Dialogue Group.</w:t>
            </w:r>
          </w:p>
          <w:p w:rsidRPr="00515E32" w:rsidR="00456125" w:rsidP="00A32BD6" w:rsidRDefault="00456125" w14:paraId="6FB886F2" w14:textId="77777777">
            <w:pPr>
              <w:pStyle w:val="TableParagraph"/>
              <w:spacing w:before="8" w:line="252" w:lineRule="auto"/>
              <w:rPr>
                <w:sz w:val="18"/>
                <w:szCs w:val="18"/>
                <w:lang w:val="nl-NL"/>
              </w:rPr>
            </w:pPr>
            <w:r w:rsidRPr="00515E32">
              <w:rPr>
                <w:sz w:val="18"/>
                <w:szCs w:val="18"/>
                <w:lang w:val="nl-NL"/>
              </w:rPr>
              <w:t xml:space="preserve">Oekraïne en Nederland blijven zich onverminderd inzetten op deze agenda, omdat zonder gerechtigheid er geen sprake kan zijn van een duurzame vrede. </w:t>
            </w:r>
          </w:p>
          <w:p w:rsidR="00456125" w:rsidP="00A32BD6" w:rsidRDefault="00456125" w14:paraId="151DE8C1" w14:textId="77777777">
            <w:pPr>
              <w:pStyle w:val="TableParagraph"/>
              <w:spacing w:before="8" w:line="252" w:lineRule="auto"/>
              <w:rPr>
                <w:sz w:val="18"/>
                <w:szCs w:val="18"/>
                <w:lang w:val="nl-NL"/>
              </w:rPr>
            </w:pPr>
          </w:p>
          <w:p w:rsidRPr="001F49FF" w:rsidR="00456125" w:rsidP="00A32BD6" w:rsidRDefault="00456125" w14:paraId="3776EAE3" w14:textId="77777777">
            <w:pPr>
              <w:pStyle w:val="TableParagraph"/>
              <w:spacing w:before="8" w:line="252" w:lineRule="auto"/>
              <w:rPr>
                <w:sz w:val="18"/>
                <w:szCs w:val="18"/>
                <w:lang w:val="nl-NL"/>
              </w:rPr>
            </w:pPr>
            <w:r w:rsidRPr="2A5D6959">
              <w:rPr>
                <w:sz w:val="18"/>
                <w:szCs w:val="18"/>
                <w:lang w:val="nl-NL"/>
              </w:rPr>
              <w:t xml:space="preserve">Het wegvallen van VS-financiering (waaronder voor externe advisering) ten behoeve van de versterking van deze nationale inspanningen op accountability in Oekraïne, heeft een grote impact op spoor 1. Daarom zijn deze extra middelen bedoeld voor de eenmalige versterking van de Nederlandse inzet op dit spoor, gericht op de ondersteuning van de Oekraïense opsporing, vervolging en berechting.  </w:t>
            </w:r>
          </w:p>
          <w:p w:rsidRPr="001F49FF" w:rsidR="00456125" w:rsidP="00A32BD6" w:rsidRDefault="00456125" w14:paraId="681DD7D6" w14:textId="77777777">
            <w:pPr>
              <w:pStyle w:val="TableParagraph"/>
              <w:spacing w:before="8" w:line="252" w:lineRule="auto"/>
              <w:rPr>
                <w:sz w:val="18"/>
                <w:szCs w:val="18"/>
                <w:lang w:val="nl-NL"/>
              </w:rPr>
            </w:pPr>
          </w:p>
          <w:p w:rsidR="00456125" w:rsidP="00A32BD6" w:rsidRDefault="00456125" w14:paraId="5BEE109F" w14:textId="77777777">
            <w:pPr>
              <w:pStyle w:val="TableParagraph"/>
              <w:spacing w:before="8" w:line="252" w:lineRule="auto"/>
              <w:rPr>
                <w:sz w:val="18"/>
                <w:szCs w:val="18"/>
                <w:lang w:val="nl-NL"/>
              </w:rPr>
            </w:pPr>
            <w:r w:rsidRPr="2D58BF0C">
              <w:rPr>
                <w:sz w:val="18"/>
                <w:szCs w:val="18"/>
                <w:lang w:val="nl-NL"/>
              </w:rPr>
              <w:t>In de Ministerial </w:t>
            </w:r>
            <w:r w:rsidRPr="13D5602C">
              <w:rPr>
                <w:i/>
                <w:iCs/>
                <w:sz w:val="18"/>
                <w:szCs w:val="18"/>
                <w:lang w:val="nl-NL"/>
              </w:rPr>
              <w:t>Dialogue Group/United for Justice</w:t>
            </w:r>
            <w:r w:rsidRPr="2D58BF0C">
              <w:rPr>
                <w:sz w:val="18"/>
                <w:szCs w:val="18"/>
                <w:lang w:val="nl-NL"/>
              </w:rPr>
              <w:t xml:space="preserve">-conferentie van 7 </w:t>
            </w:r>
            <w:r>
              <w:rPr>
                <w:sz w:val="18"/>
                <w:szCs w:val="18"/>
                <w:lang w:val="nl-NL"/>
              </w:rPr>
              <w:t>mei</w:t>
            </w:r>
            <w:r w:rsidRPr="2D58BF0C">
              <w:rPr>
                <w:sz w:val="18"/>
                <w:szCs w:val="18"/>
                <w:lang w:val="nl-NL"/>
              </w:rPr>
              <w:t xml:space="preserve"> jl. heeft Nederland met Oekraïne de impact van het wegvallen van omvangrijke VS-financiering en advisering voor de Oekraïense opsporing, vervolging en berechting geagendeerd. In die conferentie heeft de minister van BZ in een videoboodschap nieuwe Nederlandse bilaterale steun aangekondigd, voor experts via </w:t>
            </w:r>
            <w:r w:rsidRPr="13D5602C">
              <w:rPr>
                <w:i/>
                <w:iCs/>
                <w:sz w:val="18"/>
                <w:szCs w:val="18"/>
                <w:lang w:val="nl-NL"/>
              </w:rPr>
              <w:t>Justice Rapid Response</w:t>
            </w:r>
            <w:r w:rsidRPr="2D58BF0C">
              <w:rPr>
                <w:sz w:val="18"/>
                <w:szCs w:val="18"/>
                <w:lang w:val="nl-NL"/>
              </w:rPr>
              <w:t>, de continuering van het secretariaat Dialogue Group en de intentie uitgesproken een nieuw tweejarig programma van het IDLO-consortium te willen ondersteunen gericht op capaciteitsversterking. Ook andere landen zijn in genoemde conferentie opgeroepen om (een deel van) de gekorte VS-middelen op te vangen. De totale omvang daarvan is dusdanig, dat dit nooit volledig kan worden gecompenseerd door andere landen. Nederland als voortrekker op ‘</w:t>
            </w:r>
            <w:r w:rsidRPr="13D5602C">
              <w:rPr>
                <w:i/>
                <w:iCs/>
                <w:sz w:val="18"/>
                <w:szCs w:val="18"/>
                <w:lang w:val="nl-NL"/>
              </w:rPr>
              <w:t>Restoring Justice</w:t>
            </w:r>
            <w:r w:rsidRPr="2D58BF0C">
              <w:rPr>
                <w:sz w:val="18"/>
                <w:szCs w:val="18"/>
                <w:lang w:val="nl-NL"/>
              </w:rPr>
              <w:t xml:space="preserve">’ zal wel een voorbeeld moeten geven. </w:t>
            </w:r>
          </w:p>
          <w:p w:rsidR="00456125" w:rsidP="00A32BD6" w:rsidRDefault="00456125" w14:paraId="57008278" w14:textId="77777777">
            <w:pPr>
              <w:pStyle w:val="TableParagraph"/>
              <w:spacing w:before="8" w:line="252" w:lineRule="auto"/>
              <w:rPr>
                <w:sz w:val="18"/>
                <w:szCs w:val="18"/>
                <w:lang w:val="nl-NL"/>
              </w:rPr>
            </w:pPr>
          </w:p>
          <w:p w:rsidR="00456125" w:rsidP="00A32BD6" w:rsidRDefault="00456125" w14:paraId="499A2636" w14:textId="77777777">
            <w:pPr>
              <w:pStyle w:val="TableParagraph"/>
              <w:spacing w:before="8" w:line="252" w:lineRule="auto"/>
              <w:rPr>
                <w:sz w:val="18"/>
                <w:szCs w:val="18"/>
                <w:lang w:val="nl-NL"/>
              </w:rPr>
            </w:pPr>
            <w:r w:rsidRPr="2A5D6959">
              <w:rPr>
                <w:sz w:val="18"/>
                <w:szCs w:val="18"/>
                <w:lang w:val="nl-NL"/>
              </w:rPr>
              <w:t xml:space="preserve">De extra middelen voor 2026 maken het mogelijk dat Nederland eenmalig een extra impuls geeft aan deze inzet, en maakt het mogelijk om: </w:t>
            </w:r>
          </w:p>
          <w:p w:rsidR="00456125" w:rsidP="00A32BD6" w:rsidRDefault="00456125" w14:paraId="39B8BFAF" w14:textId="77777777">
            <w:pPr>
              <w:pStyle w:val="TableParagraph"/>
              <w:spacing w:before="8" w:line="252" w:lineRule="auto"/>
              <w:rPr>
                <w:sz w:val="18"/>
                <w:szCs w:val="18"/>
                <w:lang w:val="nl-NL"/>
              </w:rPr>
            </w:pPr>
            <w:r w:rsidRPr="2A5D6959">
              <w:rPr>
                <w:sz w:val="18"/>
                <w:szCs w:val="18"/>
                <w:lang w:val="nl-NL"/>
              </w:rPr>
              <w:t xml:space="preserve">a) Een (beperkt) deel van de impact van het weggevallen van omvangrijke VS-financiering voor accountability voor Oekraïne op te vangen; </w:t>
            </w:r>
          </w:p>
          <w:p w:rsidR="00456125" w:rsidP="00A32BD6" w:rsidRDefault="00456125" w14:paraId="7F9E5CC9" w14:textId="77777777">
            <w:pPr>
              <w:pStyle w:val="TableParagraph"/>
              <w:spacing w:before="8" w:line="252" w:lineRule="auto"/>
              <w:rPr>
                <w:sz w:val="18"/>
                <w:szCs w:val="18"/>
                <w:lang w:val="nl-NL"/>
              </w:rPr>
            </w:pPr>
            <w:r w:rsidRPr="2A5D6959">
              <w:rPr>
                <w:sz w:val="18"/>
                <w:szCs w:val="18"/>
                <w:lang w:val="nl-NL"/>
              </w:rPr>
              <w:t xml:space="preserve">b) De capaciteitsversterking en hervorming van de Oekraïense justitiële keten uit te breiden van opsporing en vervolging naar opsporing, vervolging en </w:t>
            </w:r>
            <w:r w:rsidRPr="2A5D6959">
              <w:rPr>
                <w:sz w:val="18"/>
                <w:szCs w:val="18"/>
                <w:u w:val="single"/>
                <w:lang w:val="nl-NL"/>
              </w:rPr>
              <w:t>berechting</w:t>
            </w:r>
            <w:r w:rsidRPr="2A5D6959">
              <w:rPr>
                <w:sz w:val="18"/>
                <w:szCs w:val="18"/>
                <w:lang w:val="nl-NL"/>
              </w:rPr>
              <w:t xml:space="preserve"> </w:t>
            </w:r>
            <w:r w:rsidRPr="2A5D6959">
              <w:rPr>
                <w:sz w:val="18"/>
                <w:szCs w:val="18"/>
                <w:lang w:val="nl-NL"/>
              </w:rPr>
              <w:lastRenderedPageBreak/>
              <w:t xml:space="preserve">van internationale misdrijven. Dit is temeer mogelijk omdat de inzet van USAID zich vooral richtte op de capaciteitsversterking en hervorming van de rechtbanken en opleidingsinstanties. </w:t>
            </w:r>
          </w:p>
          <w:p w:rsidR="00456125" w:rsidP="00A32BD6" w:rsidRDefault="00456125" w14:paraId="795A7E68" w14:textId="77777777">
            <w:pPr>
              <w:pStyle w:val="TableParagraph"/>
              <w:spacing w:before="8" w:line="252" w:lineRule="auto"/>
              <w:rPr>
                <w:sz w:val="18"/>
                <w:szCs w:val="18"/>
                <w:lang w:val="nl-NL"/>
              </w:rPr>
            </w:pPr>
            <w:r w:rsidRPr="2A5D6959">
              <w:rPr>
                <w:sz w:val="18"/>
                <w:szCs w:val="18"/>
                <w:lang w:val="nl-NL"/>
              </w:rPr>
              <w:t>c) Enkele met VS-steun reeds ingezette verbetertrajecten in Oekraïne kunnen worden gecontinueerd en/ of goed afgerond, waardoor resultaten worden gewaarborgd en verankerd.</w:t>
            </w:r>
          </w:p>
          <w:p w:rsidRPr="00C649E6" w:rsidR="00456125" w:rsidP="00A32BD6" w:rsidRDefault="00456125" w14:paraId="1FB0517F" w14:textId="77777777">
            <w:pPr>
              <w:pStyle w:val="TableParagraph"/>
              <w:spacing w:before="8" w:line="252" w:lineRule="auto"/>
              <w:rPr>
                <w:sz w:val="18"/>
                <w:szCs w:val="18"/>
                <w:lang w:val="nl-NL"/>
              </w:rPr>
            </w:pPr>
          </w:p>
        </w:tc>
      </w:tr>
      <w:tr w:rsidRPr="00457E34" w:rsidR="00456125" w:rsidTr="00A32BD6" w14:paraId="23F1913E" w14:textId="77777777">
        <w:trPr>
          <w:trHeight w:val="559"/>
        </w:trPr>
        <w:tc>
          <w:tcPr>
            <w:tcW w:w="1115" w:type="pct"/>
            <w:tcBorders>
              <w:top w:val="nil"/>
              <w:left w:val="nil"/>
              <w:bottom w:val="single" w:color="017BC7" w:sz="8" w:space="0"/>
              <w:right w:val="nil"/>
            </w:tcBorders>
            <w:shd w:val="clear" w:color="auto" w:fill="D6EFF9"/>
            <w:hideMark/>
          </w:tcPr>
          <w:p w:rsidRPr="00F838E4" w:rsidR="00456125" w:rsidP="00A32BD6" w:rsidRDefault="00456125" w14:paraId="29BAC8EA" w14:textId="77777777">
            <w:pPr>
              <w:pStyle w:val="TableParagraph"/>
              <w:spacing w:before="57" w:line="252" w:lineRule="auto"/>
              <w:ind w:left="89"/>
              <w:rPr>
                <w:b/>
                <w:bCs/>
                <w:sz w:val="18"/>
                <w:szCs w:val="18"/>
              </w:rPr>
            </w:pPr>
            <w:r w:rsidRPr="2D58BF0C">
              <w:rPr>
                <w:b/>
                <w:bCs/>
                <w:sz w:val="18"/>
                <w:szCs w:val="18"/>
              </w:rPr>
              <w:lastRenderedPageBreak/>
              <w:t>2. Beleidsinstrument(en)</w:t>
            </w:r>
          </w:p>
        </w:tc>
        <w:tc>
          <w:tcPr>
            <w:tcW w:w="3885" w:type="pct"/>
            <w:tcBorders>
              <w:top w:val="nil"/>
              <w:left w:val="nil"/>
              <w:bottom w:val="single" w:color="017BC7" w:sz="8" w:space="0"/>
              <w:right w:val="nil"/>
            </w:tcBorders>
          </w:tcPr>
          <w:p w:rsidRPr="00F26083" w:rsidR="00456125" w:rsidP="00A32BD6" w:rsidRDefault="00456125" w14:paraId="7DBA7506" w14:textId="77777777">
            <w:pPr>
              <w:pStyle w:val="TableParagraph"/>
              <w:spacing w:before="8" w:line="252" w:lineRule="auto"/>
              <w:ind w:left="0"/>
              <w:rPr>
                <w:b/>
                <w:bCs/>
                <w:sz w:val="18"/>
                <w:szCs w:val="18"/>
                <w:lang w:val="nl-NL"/>
              </w:rPr>
            </w:pPr>
            <w:r w:rsidRPr="2A5D6959">
              <w:rPr>
                <w:b/>
                <w:bCs/>
                <w:sz w:val="18"/>
                <w:szCs w:val="18"/>
                <w:lang w:val="nl-NL"/>
              </w:rPr>
              <w:t>Welke beleidsinstrumenten worden ingezet om deze doelen te realiseren?</w:t>
            </w:r>
          </w:p>
          <w:p w:rsidR="00456125" w:rsidP="00A32BD6" w:rsidRDefault="00456125" w14:paraId="752853F9" w14:textId="77777777">
            <w:pPr>
              <w:pStyle w:val="TableParagraph"/>
              <w:spacing w:before="8" w:line="252" w:lineRule="auto"/>
              <w:rPr>
                <w:sz w:val="18"/>
                <w:szCs w:val="18"/>
                <w:lang w:val="nl-NL"/>
              </w:rPr>
            </w:pPr>
          </w:p>
          <w:p w:rsidR="00456125" w:rsidP="00A32BD6" w:rsidRDefault="00456125" w14:paraId="272A6DC5" w14:textId="77777777">
            <w:pPr>
              <w:spacing w:after="160" w:line="259" w:lineRule="auto"/>
              <w:rPr>
                <w:sz w:val="18"/>
                <w:szCs w:val="18"/>
                <w:lang w:val="nl-NL"/>
              </w:rPr>
            </w:pPr>
            <w:r w:rsidRPr="2A5D6959">
              <w:rPr>
                <w:sz w:val="18"/>
                <w:szCs w:val="18"/>
                <w:lang w:val="nl-NL"/>
              </w:rPr>
              <w:t>De</w:t>
            </w:r>
            <w:r>
              <w:rPr>
                <w:sz w:val="18"/>
                <w:szCs w:val="18"/>
                <w:lang w:val="nl-NL"/>
              </w:rPr>
              <w:t xml:space="preserve"> middelen worden ingezet</w:t>
            </w:r>
            <w:r w:rsidRPr="2A5D6959">
              <w:rPr>
                <w:sz w:val="18"/>
                <w:szCs w:val="18"/>
                <w:lang w:val="nl-NL"/>
              </w:rPr>
              <w:t xml:space="preserve"> voor de ondersteuning van de Oekraïense capaciteit voor de opsporing, vervolging en berechting</w:t>
            </w:r>
            <w:r>
              <w:rPr>
                <w:sz w:val="18"/>
                <w:szCs w:val="18"/>
                <w:lang w:val="nl-NL"/>
              </w:rPr>
              <w:t xml:space="preserve"> van internationale misdrijven.</w:t>
            </w:r>
            <w:r w:rsidRPr="2A5D6959">
              <w:rPr>
                <w:sz w:val="18"/>
                <w:szCs w:val="18"/>
                <w:lang w:val="nl-NL"/>
              </w:rPr>
              <w:t xml:space="preserve"> </w:t>
            </w:r>
            <w:r w:rsidRPr="2D58BF0C">
              <w:rPr>
                <w:sz w:val="18"/>
                <w:szCs w:val="18"/>
                <w:lang w:val="nl-NL"/>
              </w:rPr>
              <w:t>Deze extra middelen stellen Nederland in staat, om de inzet gericht op spoor 1 van de ‘</w:t>
            </w:r>
            <w:r w:rsidRPr="3546AEE3">
              <w:rPr>
                <w:i/>
                <w:iCs/>
                <w:sz w:val="18"/>
                <w:szCs w:val="18"/>
                <w:lang w:val="nl-NL"/>
              </w:rPr>
              <w:t>Restoring Justice for Ukraine</w:t>
            </w:r>
            <w:r w:rsidRPr="2D58BF0C">
              <w:rPr>
                <w:sz w:val="18"/>
                <w:szCs w:val="18"/>
                <w:lang w:val="nl-NL"/>
              </w:rPr>
              <w:t xml:space="preserve">’-agenda, ‘ondersteuning nationale opsporing, vervolging en berechting in Oekraïne’, in 2026 eenmalig te intensiveren met de extra middelen ad Eur 5 mln. </w:t>
            </w:r>
          </w:p>
          <w:p w:rsidR="00456125" w:rsidP="00A32BD6" w:rsidRDefault="00456125" w14:paraId="21C1F137" w14:textId="77777777">
            <w:pPr>
              <w:spacing w:after="160" w:line="259" w:lineRule="auto"/>
              <w:rPr>
                <w:sz w:val="18"/>
                <w:szCs w:val="18"/>
                <w:lang w:val="nl-NL"/>
              </w:rPr>
            </w:pPr>
          </w:p>
          <w:p w:rsidRPr="00EE3616" w:rsidR="00456125" w:rsidP="00A32BD6" w:rsidRDefault="00456125" w14:paraId="284F8BDF" w14:textId="77777777">
            <w:pPr>
              <w:spacing w:after="160" w:line="259" w:lineRule="auto"/>
              <w:rPr>
                <w:sz w:val="18"/>
                <w:szCs w:val="18"/>
                <w:lang w:val="nl-NL"/>
              </w:rPr>
            </w:pPr>
            <w:r w:rsidRPr="2A5D6959">
              <w:rPr>
                <w:sz w:val="18"/>
                <w:szCs w:val="18"/>
                <w:lang w:val="nl-NL"/>
              </w:rPr>
              <w:t>De Tweede Kamer is met Kamerbrief d.d. 17 november 2023 door de ministers van Defensie, Buitenlandse Zaken en Buitenlandse Handel en Ontwikkelingssamenwerking, geïnformeerd over de aanwending van de middelen voor Oekraïne in 2024, waaronder de reservering van structurele middelen voor accountability. Van deze middelen is structureel EUR 11,5 mln. per jaar gereserveerd voor bilaterale steun voor capaciteitsversterking voor de nationale opsporing en vervolging van internationale misdrijven in 2025 en verdere jaren.</w:t>
            </w:r>
          </w:p>
          <w:p w:rsidR="00456125" w:rsidP="00A32BD6" w:rsidRDefault="00456125" w14:paraId="0EB5A908" w14:textId="77777777">
            <w:pPr>
              <w:spacing w:after="160" w:line="259" w:lineRule="auto"/>
              <w:rPr>
                <w:sz w:val="18"/>
                <w:szCs w:val="18"/>
                <w:lang w:val="nl-NL"/>
              </w:rPr>
            </w:pPr>
          </w:p>
          <w:p w:rsidR="00456125" w:rsidP="00A32BD6" w:rsidRDefault="00456125" w14:paraId="6A22422A" w14:textId="77777777">
            <w:pPr>
              <w:spacing w:after="160" w:line="259" w:lineRule="auto"/>
              <w:rPr>
                <w:sz w:val="18"/>
                <w:szCs w:val="18"/>
                <w:lang w:val="nl-NL"/>
              </w:rPr>
            </w:pPr>
            <w:r w:rsidRPr="2A5D6959">
              <w:rPr>
                <w:sz w:val="18"/>
                <w:szCs w:val="18"/>
                <w:lang w:val="nl-NL"/>
              </w:rPr>
              <w:t xml:space="preserve">De inzet van deze extra middelen is om de volgende redenen van groot belang: </w:t>
            </w:r>
          </w:p>
          <w:p w:rsidRPr="0006535B" w:rsidR="00456125" w:rsidP="00A32BD6" w:rsidRDefault="00456125" w14:paraId="3F51302E" w14:textId="77777777">
            <w:pPr>
              <w:pStyle w:val="ListParagraph"/>
              <w:numPr>
                <w:ilvl w:val="0"/>
                <w:numId w:val="40"/>
              </w:numPr>
              <w:spacing w:after="160" w:line="259" w:lineRule="auto"/>
              <w:rPr>
                <w:lang w:val="nl-NL"/>
              </w:rPr>
            </w:pPr>
            <w:r w:rsidRPr="3546AEE3">
              <w:rPr>
                <w:rFonts w:ascii="Calibri" w:hAnsi="Calibri" w:cs="Calibri" w:eastAsiaTheme="minorEastAsia"/>
                <w:lang w:val="nl-NL" w:eastAsia="en-US"/>
              </w:rPr>
              <w:t xml:space="preserve">De verwachting is dat meer dan 95 procent van de opsporing, vervolging en berechting van internationale misdrijven die het gevolg zijn van Russische agressie tegen Oekraïne, door de Oekraïense nationale instanties ter hand moet worden genomen. </w:t>
            </w:r>
          </w:p>
          <w:p w:rsidRPr="0006535B" w:rsidR="00456125" w:rsidP="00A32BD6" w:rsidRDefault="00456125" w14:paraId="28B23645" w14:textId="77777777">
            <w:pPr>
              <w:pStyle w:val="ListParagraph"/>
              <w:numPr>
                <w:ilvl w:val="0"/>
                <w:numId w:val="40"/>
              </w:numPr>
              <w:spacing w:after="160" w:line="259" w:lineRule="auto"/>
              <w:rPr>
                <w:lang w:val="nl-NL"/>
              </w:rPr>
            </w:pPr>
            <w:r w:rsidRPr="3546AEE3">
              <w:rPr>
                <w:rFonts w:ascii="Calibri" w:hAnsi="Calibri" w:cs="Calibri" w:eastAsiaTheme="minorEastAsia"/>
                <w:lang w:val="nl-NL" w:eastAsia="en-US"/>
              </w:rPr>
              <w:t>Inmiddels zijn er meer dan 1</w:t>
            </w:r>
            <w:r>
              <w:rPr>
                <w:rFonts w:ascii="Calibri" w:hAnsi="Calibri" w:cs="Calibri" w:eastAsiaTheme="minorEastAsia"/>
                <w:lang w:val="nl-NL" w:eastAsia="en-US"/>
              </w:rPr>
              <w:t>6</w:t>
            </w:r>
            <w:r w:rsidRPr="3546AEE3">
              <w:rPr>
                <w:rFonts w:ascii="Calibri" w:hAnsi="Calibri" w:cs="Calibri" w:eastAsiaTheme="minorEastAsia"/>
                <w:lang w:val="nl-NL" w:eastAsia="en-US"/>
              </w:rPr>
              <w:t>0.000 individuele zaken geregistreerd door Oekraïne. Voor een strategische en systematische aanpak daarvan is de capaciteitsversterking van de nationale actoren in Oekraïne essentieel.</w:t>
            </w:r>
          </w:p>
          <w:p w:rsidRPr="0006535B" w:rsidR="00456125" w:rsidP="00A32BD6" w:rsidRDefault="00456125" w14:paraId="57D8BB93" w14:textId="77777777">
            <w:pPr>
              <w:pStyle w:val="ListParagraph"/>
              <w:numPr>
                <w:ilvl w:val="0"/>
                <w:numId w:val="40"/>
              </w:numPr>
              <w:spacing w:after="160" w:line="259" w:lineRule="auto"/>
              <w:rPr>
                <w:lang w:val="nl-NL"/>
              </w:rPr>
            </w:pPr>
            <w:r w:rsidRPr="3546AEE3">
              <w:rPr>
                <w:rFonts w:ascii="Calibri" w:hAnsi="Calibri" w:cs="Calibri" w:eastAsiaTheme="minorEastAsia"/>
                <w:lang w:val="nl-NL" w:eastAsia="en-US"/>
              </w:rPr>
              <w:t xml:space="preserve">Verder geldt dat deze bewijslast noodzakelijk is als bron voor onderzoek door internationale hoven en tribunalen naar de Russische agressie tegen </w:t>
            </w:r>
            <w:r w:rsidRPr="00515E32">
              <w:rPr>
                <w:rFonts w:ascii="Calibri" w:hAnsi="Calibri" w:cs="Calibri" w:eastAsiaTheme="minorEastAsia"/>
                <w:lang w:val="nl-NL" w:eastAsia="en-US"/>
              </w:rPr>
              <w:t xml:space="preserve">Oekraïne. </w:t>
            </w:r>
          </w:p>
          <w:p w:rsidRPr="00EE3616" w:rsidR="00456125" w:rsidP="00A32BD6" w:rsidRDefault="00456125" w14:paraId="30A0CD52" w14:textId="77777777">
            <w:pPr>
              <w:pStyle w:val="TableParagraph"/>
              <w:spacing w:before="8" w:line="252" w:lineRule="auto"/>
              <w:rPr>
                <w:sz w:val="18"/>
                <w:szCs w:val="18"/>
                <w:lang w:val="nl-NL"/>
              </w:rPr>
            </w:pPr>
          </w:p>
        </w:tc>
      </w:tr>
      <w:tr w:rsidRPr="00676F04" w:rsidR="00456125" w:rsidTr="00A32BD6" w14:paraId="78F68049" w14:textId="77777777">
        <w:trPr>
          <w:trHeight w:val="559"/>
        </w:trPr>
        <w:tc>
          <w:tcPr>
            <w:tcW w:w="1115" w:type="pct"/>
            <w:tcBorders>
              <w:top w:val="nil"/>
              <w:left w:val="nil"/>
              <w:bottom w:val="single" w:color="017BC7" w:sz="8" w:space="0"/>
              <w:right w:val="nil"/>
            </w:tcBorders>
            <w:shd w:val="clear" w:color="auto" w:fill="D6EFF9"/>
            <w:hideMark/>
          </w:tcPr>
          <w:p w:rsidRPr="00C649E6" w:rsidR="00456125" w:rsidP="00A32BD6" w:rsidRDefault="00456125" w14:paraId="055DB1D2" w14:textId="77777777">
            <w:pPr>
              <w:pStyle w:val="TableParagraph"/>
              <w:spacing w:before="52" w:line="252" w:lineRule="auto"/>
              <w:ind w:left="89"/>
              <w:rPr>
                <w:b/>
                <w:bCs/>
                <w:sz w:val="18"/>
                <w:szCs w:val="18"/>
                <w:lang w:val="nl-NL"/>
              </w:rPr>
            </w:pPr>
            <w:r w:rsidRPr="2A5D6959">
              <w:rPr>
                <w:b/>
                <w:bCs/>
                <w:sz w:val="18"/>
                <w:szCs w:val="18"/>
                <w:lang w:val="nl-NL"/>
              </w:rPr>
              <w:t xml:space="preserve">3. Samenhang eerdere steuninitiatieven </w:t>
            </w:r>
          </w:p>
        </w:tc>
        <w:tc>
          <w:tcPr>
            <w:tcW w:w="3885" w:type="pct"/>
            <w:tcBorders>
              <w:top w:val="nil"/>
              <w:left w:val="nil"/>
              <w:bottom w:val="single" w:color="017BC7" w:sz="8" w:space="0"/>
              <w:right w:val="nil"/>
            </w:tcBorders>
            <w:hideMark/>
          </w:tcPr>
          <w:p w:rsidRPr="004C5E8C" w:rsidR="00456125" w:rsidP="00A32BD6" w:rsidRDefault="00456125" w14:paraId="767B84E6" w14:textId="77777777">
            <w:pPr>
              <w:spacing w:before="52"/>
              <w:ind w:left="89"/>
              <w:rPr>
                <w:b/>
                <w:bCs/>
                <w:sz w:val="18"/>
                <w:szCs w:val="18"/>
                <w:lang w:val="nl-NL"/>
              </w:rPr>
            </w:pPr>
            <w:r w:rsidRPr="2A5D6959">
              <w:rPr>
                <w:b/>
                <w:bCs/>
                <w:sz w:val="18"/>
                <w:szCs w:val="18"/>
                <w:lang w:val="nl-NL"/>
              </w:rPr>
              <w:t xml:space="preserve">Hoe verhoudt het steunvoorstel zich tot eerdere steuninitiatieven op het betreffende thema? Wat zijn de resultaten tot dusver geweest en de geleerde lessen? </w:t>
            </w:r>
          </w:p>
          <w:p w:rsidR="00456125" w:rsidP="00A32BD6" w:rsidRDefault="00456125" w14:paraId="7BA673EC" w14:textId="77777777">
            <w:pPr>
              <w:spacing w:before="52"/>
              <w:ind w:left="89"/>
              <w:rPr>
                <w:sz w:val="18"/>
                <w:szCs w:val="18"/>
                <w:lang w:val="nl-NL"/>
              </w:rPr>
            </w:pPr>
            <w:r w:rsidRPr="2D58BF0C">
              <w:rPr>
                <w:sz w:val="18"/>
                <w:szCs w:val="18"/>
                <w:lang w:val="nl-NL"/>
              </w:rPr>
              <w:t xml:space="preserve">Vanaf 2023 zijn er middelen beschikbaar voor accountability voor OEK, als aangekondigd in de Kamerbrief van 13 november 2022. Daarbij worden de volgende onderdelen onderscheiden: a) ondersteuning Oekraïense opsporing en vervolging, b) agressietribunaal, c) gastlandkosten schaderegister/ claimscommissie, d) secretariaat Dialogue Group. </w:t>
            </w:r>
          </w:p>
          <w:p w:rsidR="00456125" w:rsidP="00A32BD6" w:rsidRDefault="00456125" w14:paraId="3BBA150D" w14:textId="77777777">
            <w:pPr>
              <w:spacing w:before="52"/>
              <w:ind w:left="89"/>
              <w:rPr>
                <w:sz w:val="18"/>
                <w:szCs w:val="18"/>
                <w:lang w:val="nl-NL"/>
              </w:rPr>
            </w:pPr>
            <w:r w:rsidRPr="2A5D6959">
              <w:rPr>
                <w:sz w:val="18"/>
                <w:szCs w:val="18"/>
                <w:lang w:val="nl-NL"/>
              </w:rPr>
              <w:t xml:space="preserve">Inzet van dit voorstel is om de structureel gereserveerde middelen ten behoeve van accountability voor Oekraïne, waarvan Eur 11,5 mln. is bestemd voor ondersteuning van de Oekraïense capaciteit, in 2026 eenmalig met Eur 5 mln. te verhogen. </w:t>
            </w:r>
          </w:p>
          <w:p w:rsidRPr="004C5E8C" w:rsidR="00456125" w:rsidP="00A32BD6" w:rsidRDefault="00456125" w14:paraId="6CC67859" w14:textId="77777777">
            <w:pPr>
              <w:spacing w:before="52"/>
              <w:ind w:left="89"/>
              <w:rPr>
                <w:sz w:val="18"/>
                <w:szCs w:val="18"/>
                <w:lang w:val="nl-NL"/>
              </w:rPr>
            </w:pPr>
            <w:r w:rsidRPr="2A5D6959">
              <w:rPr>
                <w:sz w:val="18"/>
                <w:szCs w:val="18"/>
                <w:lang w:val="nl-NL"/>
              </w:rPr>
              <w:t xml:space="preserve">Uit de middelen bestemd voor de ondersteuning van de Oekraïense opsporing en vervolging, zijn tot op heden de volgende (omvangrijke) projecten gerealiseerd: </w:t>
            </w:r>
          </w:p>
          <w:p w:rsidRPr="000E7FFA" w:rsidR="00456125" w:rsidP="00A32BD6" w:rsidRDefault="00456125" w14:paraId="1503EC5D" w14:textId="77777777">
            <w:pPr>
              <w:pStyle w:val="ListParagraph"/>
              <w:numPr>
                <w:ilvl w:val="0"/>
                <w:numId w:val="32"/>
              </w:numPr>
              <w:spacing w:before="52"/>
              <w:rPr>
                <w:rFonts w:ascii="Calibri" w:hAnsi="Calibri" w:cs="Calibri" w:eastAsiaTheme="minorEastAsia"/>
                <w:lang w:val="en-US" w:eastAsia="en-US"/>
              </w:rPr>
            </w:pPr>
            <w:r w:rsidRPr="3546AEE3">
              <w:rPr>
                <w:rFonts w:ascii="Calibri" w:hAnsi="Calibri" w:cs="Calibri" w:eastAsiaTheme="minorEastAsia"/>
                <w:lang w:val="en-US" w:eastAsia="en-US"/>
              </w:rPr>
              <w:t xml:space="preserve">Eur 9 mln. International Development Law Organization (IDLO)-consortium ’Restoring Dignity for Ukraine’ (1 nov 2023 - 1 juli 2025). </w:t>
            </w:r>
          </w:p>
          <w:p w:rsidRPr="000E7FFA" w:rsidR="00456125" w:rsidP="00A32BD6" w:rsidRDefault="00456125" w14:paraId="528F7357" w14:textId="77777777">
            <w:pPr>
              <w:pStyle w:val="ListParagraph"/>
              <w:numPr>
                <w:ilvl w:val="0"/>
                <w:numId w:val="32"/>
              </w:numPr>
              <w:spacing w:before="52"/>
              <w:rPr>
                <w:rFonts w:ascii="Calibri" w:hAnsi="Calibri" w:cs="Calibri" w:eastAsiaTheme="minorEastAsia"/>
                <w:lang w:val="en-US" w:eastAsia="en-US"/>
              </w:rPr>
            </w:pPr>
            <w:r w:rsidRPr="3546AEE3">
              <w:rPr>
                <w:rFonts w:ascii="Calibri" w:hAnsi="Calibri" w:cs="Calibri" w:eastAsiaTheme="minorEastAsia"/>
                <w:lang w:val="en-US" w:eastAsia="en-US"/>
              </w:rPr>
              <w:t>Eur 2 mln. International Commission on Missing Persons (ICMP), ondersteuning Oekraïens forensisch onderzoek en data-analyse (1 aug. 2023 – 31 dec. 2025)</w:t>
            </w:r>
          </w:p>
          <w:p w:rsidRPr="00515E32" w:rsidR="00456125" w:rsidP="00A32BD6" w:rsidRDefault="00456125" w14:paraId="6448BC5A" w14:textId="77777777">
            <w:pPr>
              <w:pStyle w:val="ListParagraph"/>
              <w:numPr>
                <w:ilvl w:val="0"/>
                <w:numId w:val="32"/>
              </w:numPr>
              <w:spacing w:before="52"/>
              <w:rPr>
                <w:rFonts w:ascii="Calibri" w:hAnsi="Calibri" w:cs="Calibri" w:eastAsiaTheme="minorEastAsia"/>
                <w:lang w:val="nl-NL" w:eastAsia="en-US"/>
              </w:rPr>
            </w:pPr>
            <w:r w:rsidRPr="3546AEE3">
              <w:rPr>
                <w:rFonts w:ascii="Calibri" w:hAnsi="Calibri" w:cs="Calibri" w:eastAsiaTheme="minorEastAsia"/>
                <w:lang w:val="nl-NL" w:eastAsia="en-US"/>
              </w:rPr>
              <w:lastRenderedPageBreak/>
              <w:t>Eur 8 mln Human Rights Monitoring Mission Ukraine (HRMMU) 2025-2026, waarheidsvinding mensenrechtenschendingen in Oekraïne</w:t>
            </w:r>
          </w:p>
          <w:p w:rsidR="00456125" w:rsidP="00A32BD6" w:rsidRDefault="00456125" w14:paraId="556EAA2D" w14:textId="77777777">
            <w:pPr>
              <w:pStyle w:val="ListParagraph"/>
              <w:numPr>
                <w:ilvl w:val="0"/>
                <w:numId w:val="32"/>
              </w:numPr>
              <w:spacing w:before="52"/>
              <w:rPr>
                <w:rFonts w:ascii="Calibri" w:hAnsi="Calibri" w:cs="Calibri" w:eastAsiaTheme="minorEastAsia"/>
                <w:lang w:val="en-US" w:eastAsia="en-US"/>
              </w:rPr>
            </w:pPr>
            <w:r w:rsidRPr="3546AEE3">
              <w:rPr>
                <w:rFonts w:ascii="Calibri" w:hAnsi="Calibri" w:cs="Calibri" w:eastAsiaTheme="minorEastAsia"/>
                <w:lang w:val="fr-FR" w:eastAsia="en-US"/>
              </w:rPr>
              <w:t xml:space="preserve">Eur 2,45 mln. </w:t>
            </w:r>
            <w:r w:rsidRPr="3546AEE3">
              <w:rPr>
                <w:rFonts w:ascii="Calibri" w:hAnsi="Calibri" w:cs="Calibri" w:eastAsiaTheme="minorEastAsia"/>
                <w:lang w:val="en-US" w:eastAsia="en-US"/>
              </w:rPr>
              <w:t>Justice Rapid Response, (looptijd 1 nov 2024 – 31 okt 2026).</w:t>
            </w:r>
          </w:p>
          <w:p w:rsidRPr="00DE7F26" w:rsidR="00456125" w:rsidP="00A32BD6" w:rsidRDefault="00456125" w14:paraId="11836641" w14:textId="77777777">
            <w:pPr>
              <w:spacing w:before="52"/>
              <w:rPr>
                <w:sz w:val="18"/>
                <w:szCs w:val="18"/>
                <w:lang w:val="nl-NL"/>
              </w:rPr>
            </w:pPr>
          </w:p>
        </w:tc>
      </w:tr>
      <w:tr w:rsidRPr="00457E34" w:rsidR="00456125" w:rsidTr="00A32BD6" w14:paraId="68A85AAD" w14:textId="77777777">
        <w:trPr>
          <w:trHeight w:val="559"/>
        </w:trPr>
        <w:tc>
          <w:tcPr>
            <w:tcW w:w="1115" w:type="pct"/>
            <w:tcBorders>
              <w:top w:val="nil"/>
              <w:left w:val="nil"/>
              <w:bottom w:val="single" w:color="017BC7" w:sz="8" w:space="0"/>
              <w:right w:val="nil"/>
            </w:tcBorders>
            <w:shd w:val="clear" w:color="auto" w:fill="D6EFF9"/>
            <w:hideMark/>
          </w:tcPr>
          <w:p w:rsidRPr="00C649E6" w:rsidR="00456125" w:rsidP="00A32BD6" w:rsidRDefault="00456125" w14:paraId="23A464F6" w14:textId="77777777">
            <w:pPr>
              <w:pStyle w:val="TableParagraph"/>
              <w:spacing w:before="52"/>
              <w:rPr>
                <w:b/>
                <w:bCs/>
                <w:sz w:val="18"/>
                <w:szCs w:val="18"/>
                <w:lang w:val="nl-NL"/>
              </w:rPr>
            </w:pPr>
            <w:r w:rsidRPr="2A5D6959">
              <w:rPr>
                <w:b/>
                <w:bCs/>
                <w:sz w:val="18"/>
                <w:szCs w:val="18"/>
                <w:lang w:val="nl-NL"/>
              </w:rPr>
              <w:lastRenderedPageBreak/>
              <w:t>4. Internationale context</w:t>
            </w:r>
          </w:p>
        </w:tc>
        <w:tc>
          <w:tcPr>
            <w:tcW w:w="3885" w:type="pct"/>
            <w:tcBorders>
              <w:top w:val="nil"/>
              <w:left w:val="nil"/>
              <w:bottom w:val="single" w:color="017BC7" w:sz="8" w:space="0"/>
              <w:right w:val="nil"/>
            </w:tcBorders>
            <w:hideMark/>
          </w:tcPr>
          <w:p w:rsidR="00456125" w:rsidP="00A32BD6" w:rsidRDefault="00456125" w14:paraId="74C1EF54" w14:textId="77777777">
            <w:pPr>
              <w:spacing w:before="52"/>
              <w:ind w:left="89"/>
              <w:jc w:val="both"/>
              <w:rPr>
                <w:b/>
                <w:bCs/>
                <w:sz w:val="18"/>
                <w:szCs w:val="18"/>
                <w:lang w:val="nl-NL"/>
              </w:rPr>
            </w:pPr>
            <w:r w:rsidRPr="2D58BF0C">
              <w:rPr>
                <w:b/>
                <w:bCs/>
                <w:sz w:val="18"/>
                <w:szCs w:val="18"/>
                <w:lang w:val="nl-NL"/>
              </w:rPr>
              <w:t>Hoe verhoudt het voorstel zich tot internationale en EU-steuninitiatieven? Wat is de additionaliteit? Waarom dient Nederland dit voorstel te financieren? </w:t>
            </w:r>
          </w:p>
          <w:p w:rsidR="00456125" w:rsidP="00A32BD6" w:rsidRDefault="00456125" w14:paraId="4F077209" w14:textId="77777777">
            <w:pPr>
              <w:spacing w:before="52"/>
              <w:ind w:left="89"/>
              <w:jc w:val="both"/>
              <w:rPr>
                <w:sz w:val="18"/>
                <w:szCs w:val="18"/>
                <w:lang w:val="nl-NL"/>
              </w:rPr>
            </w:pPr>
            <w:r w:rsidRPr="2D58BF0C">
              <w:rPr>
                <w:sz w:val="18"/>
                <w:szCs w:val="18"/>
                <w:lang w:val="nl-NL"/>
              </w:rPr>
              <w:t xml:space="preserve">Al snel na de Russische invasie in februari 2022 werd een groot aantal initiatieven genomen door diverse actoren gericht op gerechtigheid voor </w:t>
            </w:r>
            <w:r w:rsidRPr="34957B1F">
              <w:rPr>
                <w:sz w:val="18"/>
                <w:szCs w:val="18"/>
                <w:lang w:val="nl-NL"/>
              </w:rPr>
              <w:t>Oekraïne.</w:t>
            </w:r>
            <w:r w:rsidRPr="2D58BF0C">
              <w:rPr>
                <w:sz w:val="18"/>
                <w:szCs w:val="18"/>
                <w:lang w:val="nl-NL"/>
              </w:rPr>
              <w:t xml:space="preserve"> Om de synergie en complementariteit tussen die initiatieven te kunnen waarborgen, is de Dialogue Group on accountability for Ukraine opgericht, een informeel platform waar informatie wordt gedeeld tussen diverse actoren, internationale en regionale actoren, landen en maatschappelijke organisaties over hun initiatieven op accountability voor </w:t>
            </w:r>
            <w:r w:rsidRPr="34957B1F">
              <w:rPr>
                <w:sz w:val="18"/>
                <w:szCs w:val="18"/>
                <w:lang w:val="nl-NL"/>
              </w:rPr>
              <w:t xml:space="preserve">Oekraïne. </w:t>
            </w:r>
          </w:p>
          <w:p w:rsidR="00456125" w:rsidP="00A32BD6" w:rsidRDefault="00456125" w14:paraId="6BAE9B4F" w14:textId="77777777">
            <w:pPr>
              <w:spacing w:before="52"/>
              <w:ind w:left="89"/>
              <w:jc w:val="both"/>
              <w:rPr>
                <w:sz w:val="18"/>
                <w:szCs w:val="18"/>
                <w:lang w:val="nl-NL"/>
              </w:rPr>
            </w:pPr>
            <w:r w:rsidRPr="2D58BF0C">
              <w:rPr>
                <w:sz w:val="18"/>
                <w:szCs w:val="18"/>
                <w:lang w:val="nl-NL"/>
              </w:rPr>
              <w:t xml:space="preserve">Na het wegvallen van de VS-steun begin 2025, hebben zowel het kantoor van de openbaar aanklager als Oekraïense maatschappelijke organisaties de Dialogue Group (en daarmee potentiële donoren) geïnformeerd over de belangrijkste noden, veroorzaakt door het wegvallen van VS-middelen. </w:t>
            </w:r>
          </w:p>
          <w:p w:rsidR="00456125" w:rsidP="00A32BD6" w:rsidRDefault="00456125" w14:paraId="24890FF3" w14:textId="77777777">
            <w:pPr>
              <w:spacing w:before="52"/>
              <w:ind w:left="89"/>
              <w:jc w:val="both"/>
              <w:rPr>
                <w:sz w:val="18"/>
                <w:szCs w:val="18"/>
                <w:lang w:val="nl-NL"/>
              </w:rPr>
            </w:pPr>
            <w:r w:rsidRPr="2D58BF0C">
              <w:rPr>
                <w:sz w:val="18"/>
                <w:szCs w:val="18"/>
                <w:lang w:val="nl-NL"/>
              </w:rPr>
              <w:t xml:space="preserve">Het kantoor van de Openbaar Aanklager (OPG) voor de Dialogue Group gaf de volgende inzage in de effecten van de stopzetting van VS-financiering voor het OPG. Het betreft veelal reeds gestarte meerjarige projecten, die per direct zijn stopgezet. </w:t>
            </w:r>
          </w:p>
          <w:p w:rsidRPr="00396557" w:rsidR="00456125" w:rsidP="00A32BD6" w:rsidRDefault="00456125" w14:paraId="3935A6A2" w14:textId="77777777">
            <w:pPr>
              <w:spacing w:before="52"/>
              <w:ind w:left="89"/>
              <w:jc w:val="both"/>
              <w:rPr>
                <w:rFonts w:eastAsiaTheme="minorEastAsia"/>
                <w:lang w:val="nl-NL"/>
              </w:rPr>
            </w:pPr>
          </w:p>
          <w:p w:rsidR="00456125" w:rsidP="00A32BD6" w:rsidRDefault="00456125" w14:paraId="5A466805" w14:textId="77777777">
            <w:pPr>
              <w:jc w:val="both"/>
              <w:rPr>
                <w:sz w:val="18"/>
                <w:szCs w:val="18"/>
                <w:lang w:val="nl-NL"/>
              </w:rPr>
            </w:pPr>
            <w:r w:rsidRPr="2D58BF0C">
              <w:rPr>
                <w:sz w:val="18"/>
                <w:szCs w:val="18"/>
                <w:lang w:val="nl-NL"/>
              </w:rPr>
              <w:t xml:space="preserve">In een analyse van de EUDEL in Kyiv van februari 2025 naar de effecten van de bevriezing van VS-middelen op accountability voor OEK en de steun voor OEK maatschappelijke organisaties is geconstateerd dat korte termijn noden ontstonden door het wegvallen van internationale waarnemers in benoemingscommissies (inmiddels opgelost, met Deense, VK en NL-financiering). Op middellange termijn, zal aldus de EUDEL het wegvallen van de VS-middelen effect hebben op de ondersteuning van onderzoek naar oorlogsmisdrijven via de </w:t>
            </w:r>
            <w:r w:rsidRPr="3546AEE3">
              <w:rPr>
                <w:i/>
                <w:iCs/>
                <w:sz w:val="18"/>
                <w:szCs w:val="18"/>
                <w:lang w:val="nl-NL"/>
              </w:rPr>
              <w:t xml:space="preserve">Atrocity Crimes Advisory Group </w:t>
            </w:r>
            <w:r w:rsidRPr="2D58BF0C">
              <w:rPr>
                <w:sz w:val="18"/>
                <w:szCs w:val="18"/>
                <w:lang w:val="nl-NL"/>
              </w:rPr>
              <w:t xml:space="preserve">en op bredere juridische hervormingsprocessen. </w:t>
            </w:r>
          </w:p>
          <w:p w:rsidR="00456125" w:rsidP="00A32BD6" w:rsidRDefault="00456125" w14:paraId="5A11797B" w14:textId="77777777">
            <w:pPr>
              <w:jc w:val="both"/>
              <w:rPr>
                <w:sz w:val="18"/>
                <w:szCs w:val="18"/>
                <w:lang w:val="nl-NL"/>
              </w:rPr>
            </w:pPr>
          </w:p>
          <w:p w:rsidR="00456125" w:rsidP="00A32BD6" w:rsidRDefault="00456125" w14:paraId="6B6E5293" w14:textId="77777777">
            <w:pPr>
              <w:jc w:val="both"/>
              <w:rPr>
                <w:sz w:val="18"/>
                <w:szCs w:val="18"/>
                <w:lang w:val="nl-NL"/>
              </w:rPr>
            </w:pPr>
            <w:r w:rsidRPr="2A5D6959">
              <w:rPr>
                <w:sz w:val="18"/>
                <w:szCs w:val="18"/>
                <w:lang w:val="nl-NL"/>
              </w:rPr>
              <w:t>Zoals blijkt uit de omvang van de geraakte VS-programma’s, zal de Nederlandse financiering slechts een beperkt deel van het ontstane tekort op kunnen vangen.</w:t>
            </w:r>
          </w:p>
          <w:p w:rsidR="00456125" w:rsidP="00A32BD6" w:rsidRDefault="00456125" w14:paraId="0262CB04" w14:textId="77777777">
            <w:pPr>
              <w:jc w:val="both"/>
              <w:rPr>
                <w:sz w:val="18"/>
                <w:szCs w:val="18"/>
                <w:lang w:val="nl-NL"/>
              </w:rPr>
            </w:pPr>
            <w:r w:rsidRPr="2D58BF0C">
              <w:rPr>
                <w:sz w:val="18"/>
                <w:szCs w:val="18"/>
                <w:lang w:val="nl-NL"/>
              </w:rPr>
              <w:t xml:space="preserve">Bekend is dat zowel de Europese Commissie, als het VK, Sweden, Switzerland en Denemarken hun steun voor accountability in Oekraine hebben geïntensiveerd in reactie op het wegvallen van VS-middelen. </w:t>
            </w:r>
            <w:r>
              <w:rPr>
                <w:sz w:val="18"/>
                <w:szCs w:val="18"/>
                <w:lang w:val="nl-NL"/>
              </w:rPr>
              <w:t xml:space="preserve">Exacte bedragen van deze landen zijn niet bekend en lang niet toereikend om de weggevallen VS-middelen geheel op te vangen. </w:t>
            </w:r>
          </w:p>
          <w:p w:rsidR="00456125" w:rsidP="00A32BD6" w:rsidRDefault="00456125" w14:paraId="23130470" w14:textId="77777777">
            <w:pPr>
              <w:jc w:val="both"/>
              <w:rPr>
                <w:sz w:val="18"/>
                <w:szCs w:val="18"/>
                <w:lang w:val="nl-NL"/>
              </w:rPr>
            </w:pPr>
            <w:r w:rsidRPr="2D58BF0C">
              <w:rPr>
                <w:sz w:val="18"/>
                <w:szCs w:val="18"/>
                <w:lang w:val="nl-NL"/>
              </w:rPr>
              <w:t xml:space="preserve">In de ministeriële </w:t>
            </w:r>
            <w:r w:rsidRPr="010471F4">
              <w:rPr>
                <w:i/>
                <w:iCs/>
                <w:sz w:val="18"/>
                <w:szCs w:val="18"/>
                <w:lang w:val="nl-NL"/>
              </w:rPr>
              <w:t>Dialogue Group/ United for Justice</w:t>
            </w:r>
            <w:r w:rsidRPr="2D58BF0C">
              <w:rPr>
                <w:sz w:val="18"/>
                <w:szCs w:val="18"/>
                <w:lang w:val="nl-NL"/>
              </w:rPr>
              <w:t xml:space="preserve"> conferentie begin mei 2025, hebben zowel M (in een videoboodschap) als minister van Weel als deelnemer aan de conferentie als trekker van de ‘</w:t>
            </w:r>
            <w:r w:rsidRPr="010471F4">
              <w:rPr>
                <w:i/>
                <w:iCs/>
                <w:sz w:val="18"/>
                <w:szCs w:val="18"/>
                <w:lang w:val="nl-NL"/>
              </w:rPr>
              <w:t>Restoring Justice for Ukraine</w:t>
            </w:r>
            <w:r w:rsidRPr="2D58BF0C">
              <w:rPr>
                <w:sz w:val="18"/>
                <w:szCs w:val="18"/>
                <w:lang w:val="nl-NL"/>
              </w:rPr>
              <w:t>’ onderstreept dat Nederland Oekraïne blijft steunen op deze agenda, en zijn door M nieuwe Nederlandse bijdragen aan Justice Rapid Response, voor het Secretariaat van de Dialogue Group aangekondigd en heeft M de intentie uitgesproken, om een tweede fase van het ‘</w:t>
            </w:r>
            <w:r w:rsidRPr="010471F4">
              <w:rPr>
                <w:i/>
                <w:iCs/>
                <w:sz w:val="18"/>
                <w:szCs w:val="18"/>
                <w:lang w:val="nl-NL"/>
              </w:rPr>
              <w:t>Restoring Dignity for Ukraine</w:t>
            </w:r>
            <w:r w:rsidRPr="2D58BF0C">
              <w:rPr>
                <w:sz w:val="18"/>
                <w:szCs w:val="18"/>
                <w:lang w:val="nl-NL"/>
              </w:rPr>
              <w:t xml:space="preserve">’ </w:t>
            </w:r>
            <w:r>
              <w:rPr>
                <w:sz w:val="18"/>
                <w:szCs w:val="18"/>
                <w:lang w:val="nl-NL"/>
              </w:rPr>
              <w:t xml:space="preserve">van het consortium IDLO </w:t>
            </w:r>
            <w:r w:rsidRPr="2D58BF0C">
              <w:rPr>
                <w:sz w:val="18"/>
                <w:szCs w:val="18"/>
                <w:lang w:val="nl-NL"/>
              </w:rPr>
              <w:t>te willen steunen. Verder werd in de Ministerial Dialogue Group de oproep gedaan aan andere partners om extra middelen beschikbaar te stellen om de Oekraiense capaciteit te blijven ondersteunen.</w:t>
            </w:r>
            <w:r>
              <w:rPr>
                <w:sz w:val="18"/>
                <w:szCs w:val="18"/>
                <w:lang w:val="nl-NL"/>
              </w:rPr>
              <w:t xml:space="preserve"> Het leveren van deze steun en de eenmailige verhoging van deze accountability middelen zijn bovendien een expliciete wens van M.</w:t>
            </w:r>
          </w:p>
          <w:p w:rsidRPr="0067282C" w:rsidR="00456125" w:rsidP="00A32BD6" w:rsidRDefault="00456125" w14:paraId="2B9E0812" w14:textId="77777777">
            <w:pPr>
              <w:jc w:val="both"/>
              <w:rPr>
                <w:b/>
                <w:bCs/>
                <w:szCs w:val="18"/>
                <w:lang w:val="nl-NL"/>
              </w:rPr>
            </w:pPr>
          </w:p>
        </w:tc>
      </w:tr>
      <w:tr w:rsidRPr="00457E34" w:rsidR="00456125" w:rsidTr="00A32BD6" w14:paraId="3DC7F46B" w14:textId="77777777">
        <w:trPr>
          <w:trHeight w:val="559"/>
        </w:trPr>
        <w:tc>
          <w:tcPr>
            <w:tcW w:w="1115" w:type="pct"/>
            <w:tcBorders>
              <w:top w:val="nil"/>
              <w:left w:val="nil"/>
              <w:bottom w:val="single" w:color="017BC7" w:sz="8" w:space="0"/>
              <w:right w:val="nil"/>
            </w:tcBorders>
            <w:shd w:val="clear" w:color="auto" w:fill="D6EFF9"/>
          </w:tcPr>
          <w:p w:rsidR="00456125" w:rsidP="00A32BD6" w:rsidRDefault="00456125" w14:paraId="1DAB8B45" w14:textId="77777777">
            <w:pPr>
              <w:pStyle w:val="TableParagraph"/>
              <w:spacing w:before="52"/>
              <w:rPr>
                <w:b/>
                <w:bCs/>
                <w:sz w:val="18"/>
                <w:szCs w:val="18"/>
                <w:lang w:val="nl-NL"/>
              </w:rPr>
            </w:pPr>
            <w:r w:rsidRPr="2A5D6959">
              <w:rPr>
                <w:b/>
                <w:bCs/>
                <w:sz w:val="18"/>
                <w:szCs w:val="18"/>
                <w:lang w:val="nl-NL"/>
              </w:rPr>
              <w:t>5. A. Financiële gevolgen voor het Rijk</w:t>
            </w:r>
          </w:p>
        </w:tc>
        <w:tc>
          <w:tcPr>
            <w:tcW w:w="3885" w:type="pct"/>
            <w:tcBorders>
              <w:top w:val="nil"/>
              <w:left w:val="nil"/>
              <w:bottom w:val="single" w:color="017BC7" w:sz="8" w:space="0"/>
              <w:right w:val="nil"/>
            </w:tcBorders>
          </w:tcPr>
          <w:p w:rsidRPr="00846776" w:rsidR="00456125" w:rsidP="00A32BD6" w:rsidRDefault="00456125" w14:paraId="590AA989" w14:textId="77777777">
            <w:pPr>
              <w:spacing w:before="52"/>
              <w:ind w:left="89"/>
              <w:rPr>
                <w:sz w:val="18"/>
                <w:szCs w:val="18"/>
                <w:lang w:val="nl-NL"/>
              </w:rPr>
            </w:pPr>
            <w:r w:rsidRPr="2A5D6959">
              <w:rPr>
                <w:b/>
                <w:bCs/>
                <w:sz w:val="18"/>
                <w:szCs w:val="18"/>
                <w:lang w:val="nl-NL"/>
              </w:rPr>
              <w:t>Korte onderbouwing van het gewenste budget zoals is aangevraagd onder punt 3A.</w:t>
            </w:r>
            <w:r w:rsidRPr="2A5D6959">
              <w:rPr>
                <w:sz w:val="18"/>
                <w:szCs w:val="18"/>
                <w:lang w:val="nl-NL"/>
              </w:rPr>
              <w:t xml:space="preserve"> </w:t>
            </w:r>
          </w:p>
          <w:p w:rsidR="00456125" w:rsidP="00A32BD6" w:rsidRDefault="00456125" w14:paraId="0916D3F3" w14:textId="75F5CE99">
            <w:pPr>
              <w:spacing w:before="52"/>
              <w:ind w:left="89"/>
              <w:rPr>
                <w:sz w:val="18"/>
                <w:szCs w:val="18"/>
                <w:lang w:val="nl-NL"/>
              </w:rPr>
            </w:pPr>
            <w:r w:rsidRPr="2D58BF0C">
              <w:rPr>
                <w:sz w:val="18"/>
                <w:szCs w:val="18"/>
                <w:lang w:val="nl-NL"/>
              </w:rPr>
              <w:t>Op jaarlijkse basis is</w:t>
            </w:r>
            <w:r>
              <w:rPr>
                <w:sz w:val="18"/>
                <w:szCs w:val="18"/>
                <w:lang w:val="nl-NL"/>
              </w:rPr>
              <w:t xml:space="preserve"> structureel </w:t>
            </w:r>
            <w:r w:rsidRPr="2D58BF0C">
              <w:rPr>
                <w:sz w:val="18"/>
                <w:szCs w:val="18"/>
                <w:lang w:val="nl-NL"/>
              </w:rPr>
              <w:t xml:space="preserve"> </w:t>
            </w:r>
            <w:r>
              <w:rPr>
                <w:sz w:val="18"/>
                <w:szCs w:val="18"/>
                <w:lang w:val="nl-NL"/>
              </w:rPr>
              <w:t>EUR</w:t>
            </w:r>
            <w:r w:rsidRPr="2D58BF0C">
              <w:rPr>
                <w:sz w:val="18"/>
                <w:szCs w:val="18"/>
                <w:lang w:val="nl-NL"/>
              </w:rPr>
              <w:t xml:space="preserve"> 11,5 mln. beschikbaar voor de ondersteuning van de Oekraïense opsporing, vervolging en berechting van internationale misdrijven in Oekraïne (spoor 1) van de ‘Restoring </w:t>
            </w:r>
            <w:r w:rsidRPr="34957B1F">
              <w:rPr>
                <w:sz w:val="18"/>
                <w:szCs w:val="18"/>
                <w:lang w:val="nl-NL"/>
              </w:rPr>
              <w:t>Justi</w:t>
            </w:r>
            <w:r>
              <w:rPr>
                <w:sz w:val="18"/>
                <w:szCs w:val="18"/>
                <w:lang w:val="nl-NL"/>
              </w:rPr>
              <w:t>c</w:t>
            </w:r>
            <w:r w:rsidRPr="34957B1F">
              <w:rPr>
                <w:sz w:val="18"/>
                <w:szCs w:val="18"/>
                <w:lang w:val="nl-NL"/>
              </w:rPr>
              <w:t>e</w:t>
            </w:r>
            <w:r w:rsidRPr="2D58BF0C">
              <w:rPr>
                <w:sz w:val="18"/>
                <w:szCs w:val="18"/>
                <w:lang w:val="nl-NL"/>
              </w:rPr>
              <w:t xml:space="preserve"> for Ukraine’ agenda. Het wegvallen van VS-middelen voor accountability internationale misdrijven in Oekraïne, waaronder voor de hervormingen op Rule of Law is omvangrijk. </w:t>
            </w:r>
          </w:p>
          <w:p w:rsidR="00456125" w:rsidP="00A32BD6" w:rsidRDefault="00456125" w14:paraId="4BCDC953" w14:textId="77777777">
            <w:pPr>
              <w:spacing w:before="52"/>
              <w:ind w:left="89"/>
              <w:rPr>
                <w:sz w:val="18"/>
                <w:szCs w:val="18"/>
                <w:lang w:val="nl-NL"/>
              </w:rPr>
            </w:pPr>
            <w:r w:rsidRPr="2D58BF0C">
              <w:rPr>
                <w:sz w:val="18"/>
                <w:szCs w:val="18"/>
                <w:lang w:val="nl-NL"/>
              </w:rPr>
              <w:t xml:space="preserve">Inzet van Nederland betreft een eenmalige intensivering met </w:t>
            </w:r>
            <w:r>
              <w:rPr>
                <w:sz w:val="18"/>
                <w:szCs w:val="18"/>
                <w:lang w:val="nl-NL"/>
              </w:rPr>
              <w:t>EUR</w:t>
            </w:r>
            <w:r w:rsidRPr="2D58BF0C">
              <w:rPr>
                <w:sz w:val="18"/>
                <w:szCs w:val="18"/>
                <w:lang w:val="nl-NL"/>
              </w:rPr>
              <w:t xml:space="preserve"> 5 mln. gericht op de ondersteuning van de opsporing, vervolging en berechting in Oekraïne zelf, in het bijzonder op die onderdelen waar het wegvallen van VS-middelen resulteert in minder financiële middelen en externe adviseurs voor Oekraïne. </w:t>
            </w:r>
            <w:r>
              <w:rPr>
                <w:sz w:val="18"/>
                <w:szCs w:val="18"/>
                <w:lang w:val="nl-NL"/>
              </w:rPr>
              <w:t xml:space="preserve">Dit budget wordt in 2026 beschikbaar gemaakt binnen het steunpakket van in totaal EUR 252 miljoen ten behoeve van de steun in 2026. </w:t>
            </w:r>
          </w:p>
          <w:p w:rsidRPr="00F176DB" w:rsidR="00456125" w:rsidP="00A32BD6" w:rsidRDefault="00456125" w14:paraId="30B149E6" w14:textId="77777777">
            <w:pPr>
              <w:spacing w:before="52"/>
              <w:ind w:left="89"/>
              <w:rPr>
                <w:sz w:val="18"/>
                <w:szCs w:val="18"/>
                <w:lang w:val="nl-NL"/>
              </w:rPr>
            </w:pPr>
            <w:r>
              <w:rPr>
                <w:sz w:val="18"/>
                <w:szCs w:val="18"/>
                <w:lang w:val="nl-NL"/>
              </w:rPr>
              <w:lastRenderedPageBreak/>
              <w:t>Inzet ziet bijvoorbeeld op</w:t>
            </w:r>
            <w:r w:rsidRPr="2A5D6959">
              <w:rPr>
                <w:sz w:val="18"/>
                <w:szCs w:val="18"/>
                <w:lang w:val="nl-NL"/>
              </w:rPr>
              <w:t xml:space="preserve">: </w:t>
            </w:r>
          </w:p>
          <w:p w:rsidRPr="000E7FFA" w:rsidR="00456125" w:rsidP="00A32BD6" w:rsidRDefault="00456125" w14:paraId="1C6CC0BE" w14:textId="77777777">
            <w:pPr>
              <w:pStyle w:val="ListParagraph"/>
              <w:numPr>
                <w:ilvl w:val="0"/>
                <w:numId w:val="32"/>
              </w:numPr>
              <w:spacing w:before="52"/>
              <w:rPr>
                <w:rFonts w:ascii="Calibri" w:hAnsi="Calibri" w:cs="Calibri" w:eastAsiaTheme="minorEastAsia"/>
                <w:lang w:val="nl-NL" w:eastAsia="en-US"/>
              </w:rPr>
            </w:pPr>
            <w:r w:rsidRPr="3546AEE3">
              <w:rPr>
                <w:rFonts w:ascii="Calibri" w:hAnsi="Calibri" w:cs="Calibri" w:eastAsiaTheme="minorEastAsia"/>
                <w:lang w:val="nl-NL" w:eastAsia="en-US"/>
              </w:rPr>
              <w:t>Uitbreiding middelen voor de capaciteitsversterking door het IDLO-consortium (met Asser, CILC, NHC) voor ‘Restoring Justice for Ukraine’ phase 2, voor weggevallen VS-middelen.</w:t>
            </w:r>
          </w:p>
          <w:p w:rsidRPr="003F6C1E" w:rsidR="00456125" w:rsidP="00A32BD6" w:rsidRDefault="00456125" w14:paraId="132AF7BE" w14:textId="77777777">
            <w:pPr>
              <w:pStyle w:val="ListParagraph"/>
              <w:numPr>
                <w:ilvl w:val="0"/>
                <w:numId w:val="32"/>
              </w:numPr>
              <w:spacing w:before="52"/>
              <w:rPr>
                <w:rFonts w:ascii="Calibri" w:hAnsi="Calibri" w:cs="Calibri" w:eastAsiaTheme="minorEastAsia"/>
                <w:lang w:val="nl-NL" w:eastAsia="en-US"/>
              </w:rPr>
            </w:pPr>
            <w:r w:rsidRPr="3546AEE3">
              <w:rPr>
                <w:rFonts w:ascii="Calibri" w:hAnsi="Calibri" w:cs="Calibri" w:eastAsiaTheme="minorEastAsia"/>
                <w:lang w:val="nl-NL" w:eastAsia="en-US"/>
              </w:rPr>
              <w:t>Uitbreiding van de ondersteuning voor nationale opsporing en vervolging met berechting van internationale misdrijven, gericht op de consolidatie en het waarborgen van de resultaten en continuïteit van voor NL relevante componenten van een voormalige USAID-programma.</w:t>
            </w:r>
          </w:p>
          <w:p w:rsidRPr="000E7FFA" w:rsidR="00456125" w:rsidP="00A32BD6" w:rsidRDefault="00456125" w14:paraId="726EE8C5" w14:textId="77777777">
            <w:pPr>
              <w:pStyle w:val="ListParagraph"/>
              <w:numPr>
                <w:ilvl w:val="0"/>
                <w:numId w:val="32"/>
              </w:numPr>
              <w:spacing w:before="52"/>
              <w:rPr>
                <w:rFonts w:ascii="Calibri" w:hAnsi="Calibri" w:cs="Calibri" w:eastAsiaTheme="minorEastAsia"/>
                <w:lang w:val="nl-NL" w:eastAsia="en-US"/>
              </w:rPr>
            </w:pPr>
            <w:r w:rsidRPr="000E7FFA">
              <w:rPr>
                <w:rFonts w:ascii="Calibri" w:hAnsi="Calibri" w:cs="Calibri" w:eastAsiaTheme="minorEastAsia"/>
                <w:lang w:val="nl-NL" w:eastAsia="en-US"/>
              </w:rPr>
              <w:t xml:space="preserve">Opvang van andere componenten van VS-steun voor accountability voor Oekraïne, daar waar deze relevant zijn voor het waarborgen van de voortgang op de opsporing, vervolging en berechting internationale misdrijven. </w:t>
            </w:r>
          </w:p>
          <w:p w:rsidRPr="000E7FFA" w:rsidR="00456125" w:rsidP="00A32BD6" w:rsidRDefault="00456125" w14:paraId="23E4C8FA" w14:textId="77777777">
            <w:pPr>
              <w:spacing w:before="52"/>
              <w:rPr>
                <w:rFonts w:eastAsiaTheme="minorEastAsia"/>
                <w:sz w:val="18"/>
                <w:szCs w:val="18"/>
                <w:lang w:val="nl-NL"/>
              </w:rPr>
            </w:pPr>
            <w:r w:rsidRPr="3546AEE3">
              <w:rPr>
                <w:rFonts w:eastAsiaTheme="minorEastAsia"/>
                <w:sz w:val="18"/>
                <w:szCs w:val="18"/>
                <w:lang w:val="nl-NL"/>
              </w:rPr>
              <w:t xml:space="preserve">Aan mogelijke partners is gevraagd een projectvoorstel te ontwikkelen dat aansluit bij deze prioriteiten. Voor exacte oormerking is het nu nog te vroeg, die kan pas na beoordeling van deze voorstellen worden gemaakt. </w:t>
            </w:r>
          </w:p>
          <w:p w:rsidRPr="00846776" w:rsidR="00456125" w:rsidP="00A32BD6" w:rsidRDefault="00456125" w14:paraId="1AFED898" w14:textId="77777777">
            <w:pPr>
              <w:spacing w:before="52"/>
              <w:ind w:left="89"/>
              <w:rPr>
                <w:sz w:val="18"/>
                <w:szCs w:val="18"/>
                <w:lang w:val="nl-NL"/>
              </w:rPr>
            </w:pPr>
          </w:p>
        </w:tc>
      </w:tr>
      <w:tr w:rsidRPr="00457E34" w:rsidR="00456125" w:rsidTr="00A32BD6" w14:paraId="2A3A2734" w14:textId="77777777">
        <w:trPr>
          <w:trHeight w:val="559"/>
        </w:trPr>
        <w:tc>
          <w:tcPr>
            <w:tcW w:w="1115" w:type="pct"/>
            <w:tcBorders>
              <w:top w:val="nil"/>
              <w:left w:val="nil"/>
              <w:bottom w:val="single" w:color="017BC7" w:sz="8" w:space="0"/>
              <w:right w:val="nil"/>
            </w:tcBorders>
            <w:shd w:val="clear" w:color="auto" w:fill="D6EFF9"/>
          </w:tcPr>
          <w:p w:rsidR="00456125" w:rsidP="00A32BD6" w:rsidRDefault="00456125" w14:paraId="3AF8855D" w14:textId="77777777">
            <w:pPr>
              <w:pStyle w:val="TableParagraph"/>
              <w:spacing w:before="52"/>
              <w:rPr>
                <w:b/>
                <w:bCs/>
                <w:sz w:val="18"/>
                <w:szCs w:val="18"/>
                <w:lang w:val="nl-NL"/>
              </w:rPr>
            </w:pPr>
            <w:r w:rsidRPr="2A5D6959">
              <w:rPr>
                <w:b/>
                <w:bCs/>
                <w:sz w:val="18"/>
                <w:szCs w:val="18"/>
                <w:lang w:val="nl-NL"/>
              </w:rPr>
              <w:lastRenderedPageBreak/>
              <w:t xml:space="preserve">5. B. Financiële gevolgen voor maatschappelijke sectoren </w:t>
            </w:r>
          </w:p>
        </w:tc>
        <w:tc>
          <w:tcPr>
            <w:tcW w:w="3885" w:type="pct"/>
            <w:tcBorders>
              <w:top w:val="nil"/>
              <w:left w:val="nil"/>
              <w:bottom w:val="single" w:color="017BC7" w:sz="8" w:space="0"/>
              <w:right w:val="nil"/>
            </w:tcBorders>
          </w:tcPr>
          <w:p w:rsidRPr="002077B7" w:rsidR="00456125" w:rsidP="00A32BD6" w:rsidRDefault="00456125" w14:paraId="6B21081D" w14:textId="77777777">
            <w:pPr>
              <w:spacing w:before="52"/>
              <w:ind w:left="89"/>
              <w:rPr>
                <w:sz w:val="18"/>
                <w:szCs w:val="18"/>
                <w:lang w:val="nl-NL"/>
              </w:rPr>
            </w:pPr>
            <w:r w:rsidRPr="2A5D6959">
              <w:rPr>
                <w:b/>
                <w:bCs/>
                <w:sz w:val="18"/>
                <w:szCs w:val="18"/>
                <w:lang w:val="nl-NL"/>
              </w:rPr>
              <w:t xml:space="preserve">Welke financiële gevolgen heeft het voorstel voor maatschappelijke sectoren (als van toepassing)? </w:t>
            </w:r>
          </w:p>
          <w:p w:rsidR="00456125" w:rsidP="00A32BD6" w:rsidRDefault="00456125" w14:paraId="6D413DBD" w14:textId="77777777">
            <w:pPr>
              <w:spacing w:before="52"/>
              <w:ind w:left="89"/>
              <w:rPr>
                <w:sz w:val="18"/>
                <w:szCs w:val="18"/>
                <w:lang w:val="nl-NL"/>
              </w:rPr>
            </w:pPr>
            <w:r w:rsidRPr="2A5D6959">
              <w:rPr>
                <w:sz w:val="18"/>
                <w:szCs w:val="18"/>
                <w:lang w:val="nl-NL"/>
              </w:rPr>
              <w:t xml:space="preserve">Oekraïense maatschappelijke organisaties zijn belangrijke partners van onder meer het kantoor van de Openbaar Aanklager van OEK voor de realisatie van de accountability doelen, bijvoorbeeld ten aanzien van ondersteunen van de slachtoffers en nabestaanden van internationale misdrijven, bij het documenteren van bewijs en het waarborgen van hun rechten. </w:t>
            </w:r>
          </w:p>
          <w:p w:rsidR="00456125" w:rsidP="00A32BD6" w:rsidRDefault="00456125" w14:paraId="7AEA6994" w14:textId="77777777">
            <w:pPr>
              <w:spacing w:before="52"/>
              <w:ind w:left="89"/>
              <w:rPr>
                <w:sz w:val="18"/>
                <w:szCs w:val="18"/>
                <w:lang w:val="nl-NL"/>
              </w:rPr>
            </w:pPr>
            <w:r w:rsidRPr="2A5D6959">
              <w:rPr>
                <w:sz w:val="18"/>
                <w:szCs w:val="18"/>
                <w:lang w:val="nl-NL"/>
              </w:rPr>
              <w:t xml:space="preserve">Voor de realisatie van de doelstellingen van de projecten met het IDLO-consortium en bijvoorbeeld ICMP is de samenwerking door deze instanties met Oekraïense maatschappelijke organisaties essentieel, daar waar het bijvoorbeeld de bescherming en waarborging van de rechten van slachtoffers, nabestaanden en kinderen betreft bij de verzameling en documentatie van de bewijslast, bijvoorbeeld door het risico op herleving trauma’s en mentale schade zoveel mogelijk te verminderen. </w:t>
            </w:r>
          </w:p>
          <w:p w:rsidRPr="00EE5686" w:rsidR="00456125" w:rsidP="00A32BD6" w:rsidRDefault="00456125" w14:paraId="0DE13E97" w14:textId="77777777">
            <w:pPr>
              <w:spacing w:before="52"/>
              <w:ind w:left="89"/>
              <w:rPr>
                <w:sz w:val="18"/>
                <w:szCs w:val="18"/>
                <w:lang w:val="nl-NL"/>
              </w:rPr>
            </w:pPr>
            <w:r w:rsidRPr="2A5D6959">
              <w:rPr>
                <w:sz w:val="18"/>
                <w:szCs w:val="18"/>
                <w:lang w:val="nl-NL"/>
              </w:rPr>
              <w:t xml:space="preserve">Het Nederlandse maatschappelijk middenveld heeft veel kennis en expertise te bieden op gerechtigheid internationale misdrijven, daarom maken Asser, CILC en NHC deel uit van het IDLO-consortium. </w:t>
            </w:r>
          </w:p>
          <w:p w:rsidR="00456125" w:rsidP="00A32BD6" w:rsidRDefault="00456125" w14:paraId="152AE905" w14:textId="77777777">
            <w:pPr>
              <w:spacing w:before="52"/>
              <w:ind w:left="89"/>
              <w:rPr>
                <w:b/>
                <w:bCs/>
                <w:sz w:val="18"/>
                <w:szCs w:val="18"/>
                <w:lang w:val="nl-NL"/>
              </w:rPr>
            </w:pPr>
          </w:p>
        </w:tc>
      </w:tr>
      <w:tr w:rsidRPr="00457E34" w:rsidR="00456125" w:rsidTr="00A32BD6" w14:paraId="5982FA36" w14:textId="77777777">
        <w:trPr>
          <w:trHeight w:val="559"/>
        </w:trPr>
        <w:tc>
          <w:tcPr>
            <w:tcW w:w="1115" w:type="pct"/>
            <w:tcBorders>
              <w:top w:val="nil"/>
              <w:left w:val="nil"/>
              <w:bottom w:val="single" w:color="017BC7" w:sz="8" w:space="0"/>
              <w:right w:val="nil"/>
            </w:tcBorders>
            <w:shd w:val="clear" w:color="auto" w:fill="D6EFF9"/>
          </w:tcPr>
          <w:p w:rsidR="00456125" w:rsidP="00A32BD6" w:rsidRDefault="00456125" w14:paraId="13FECD2F" w14:textId="77777777">
            <w:pPr>
              <w:pStyle w:val="TableParagraph"/>
              <w:spacing w:before="52"/>
              <w:rPr>
                <w:b/>
                <w:bCs/>
                <w:sz w:val="18"/>
                <w:szCs w:val="18"/>
                <w:lang w:val="nl-NL"/>
              </w:rPr>
            </w:pPr>
            <w:r w:rsidRPr="2A5D6959">
              <w:rPr>
                <w:b/>
                <w:bCs/>
                <w:sz w:val="18"/>
                <w:szCs w:val="18"/>
                <w:lang w:val="nl-NL"/>
              </w:rPr>
              <w:t>6. Nagestreefde doeltreffendheid</w:t>
            </w:r>
          </w:p>
        </w:tc>
        <w:tc>
          <w:tcPr>
            <w:tcW w:w="3885" w:type="pct"/>
            <w:tcBorders>
              <w:top w:val="nil"/>
              <w:left w:val="nil"/>
              <w:bottom w:val="single" w:color="017BC7" w:sz="8" w:space="0"/>
              <w:right w:val="nil"/>
            </w:tcBorders>
          </w:tcPr>
          <w:p w:rsidRPr="00855B95" w:rsidR="00456125" w:rsidP="00A32BD6" w:rsidRDefault="00456125" w14:paraId="31124F01" w14:textId="77777777">
            <w:pPr>
              <w:pStyle w:val="TableParagraph"/>
              <w:spacing w:before="4" w:line="252" w:lineRule="auto"/>
              <w:rPr>
                <w:b/>
                <w:bCs/>
                <w:sz w:val="18"/>
                <w:szCs w:val="18"/>
                <w:lang w:val="nl-NL"/>
              </w:rPr>
            </w:pPr>
            <w:r w:rsidRPr="2A5D6959">
              <w:rPr>
                <w:b/>
                <w:bCs/>
                <w:sz w:val="18"/>
                <w:szCs w:val="18"/>
                <w:lang w:val="nl-NL"/>
              </w:rPr>
              <w:t xml:space="preserve">Op welke wijze en in welke mate wordt verwacht dat het beleidsinstrumentarium gaat bijdragen aan de beoogde prestaties en effecten? </w:t>
            </w:r>
          </w:p>
          <w:p w:rsidR="00456125" w:rsidP="00A32BD6" w:rsidRDefault="00456125" w14:paraId="266DA56B" w14:textId="77777777">
            <w:pPr>
              <w:pStyle w:val="TableParagraph"/>
              <w:spacing w:before="4" w:line="252" w:lineRule="auto"/>
              <w:rPr>
                <w:sz w:val="18"/>
                <w:szCs w:val="18"/>
                <w:lang w:val="nl-NL"/>
              </w:rPr>
            </w:pPr>
          </w:p>
          <w:p w:rsidR="00456125" w:rsidP="00A32BD6" w:rsidRDefault="00456125" w14:paraId="576FBB5B" w14:textId="77777777">
            <w:pPr>
              <w:pStyle w:val="TableParagraph"/>
              <w:spacing w:before="4" w:line="252" w:lineRule="auto"/>
              <w:rPr>
                <w:sz w:val="18"/>
                <w:szCs w:val="18"/>
                <w:lang w:val="nl-NL"/>
              </w:rPr>
            </w:pPr>
            <w:r w:rsidRPr="2A5D6959">
              <w:rPr>
                <w:sz w:val="18"/>
                <w:szCs w:val="18"/>
                <w:lang w:val="nl-NL"/>
              </w:rPr>
              <w:t xml:space="preserve">Voor de aanwending van de extra middelen gericht op accountability voor Oekraïne, wordt de ervaring met reeds bestaande partners benut, en worden waar mogelijk aan nieuwe projecten elementen toegevoegd, die voortvloeien de weggevallen VS-middelen ten dele compenseren. </w:t>
            </w:r>
          </w:p>
          <w:p w:rsidR="00456125" w:rsidP="00A32BD6" w:rsidRDefault="00456125" w14:paraId="747388D1" w14:textId="77777777">
            <w:pPr>
              <w:pStyle w:val="TableParagraph"/>
              <w:spacing w:before="4" w:line="252" w:lineRule="auto"/>
              <w:rPr>
                <w:sz w:val="18"/>
                <w:szCs w:val="18"/>
                <w:lang w:val="nl-NL"/>
              </w:rPr>
            </w:pPr>
          </w:p>
          <w:p w:rsidRPr="0097533B" w:rsidR="00456125" w:rsidP="00A32BD6" w:rsidRDefault="00456125" w14:paraId="0F54B64F" w14:textId="77777777">
            <w:pPr>
              <w:pStyle w:val="TableParagraph"/>
              <w:spacing w:before="4" w:line="252" w:lineRule="auto"/>
              <w:rPr>
                <w:sz w:val="18"/>
                <w:szCs w:val="18"/>
                <w:lang w:val="nl-NL"/>
              </w:rPr>
            </w:pPr>
            <w:r w:rsidRPr="2D58BF0C">
              <w:rPr>
                <w:sz w:val="18"/>
                <w:szCs w:val="18"/>
                <w:lang w:val="nl-NL"/>
              </w:rPr>
              <w:t>Het grootste project ‘</w:t>
            </w:r>
            <w:r w:rsidRPr="3546AEE3">
              <w:rPr>
                <w:i/>
                <w:iCs/>
                <w:sz w:val="18"/>
                <w:szCs w:val="18"/>
                <w:lang w:val="nl-NL"/>
              </w:rPr>
              <w:t>Restoring Dignity for Ukraine</w:t>
            </w:r>
            <w:r w:rsidRPr="2D58BF0C">
              <w:rPr>
                <w:sz w:val="18"/>
                <w:szCs w:val="18"/>
                <w:lang w:val="nl-NL"/>
              </w:rPr>
              <w:t>’ is gericht op capaciteitsversterking van de gehele Oekraïense keten van nationale opsporing, vervolging, berechting en reclassering uitgevoerd door het IDLO-consortium met partners Asser, CILC en NHC (Euro 9 mln. looptijd november 2023 - 1 juli 2025) en is extern geëvalueerd.</w:t>
            </w:r>
          </w:p>
          <w:p w:rsidRPr="0097533B" w:rsidR="00456125" w:rsidP="00A32BD6" w:rsidRDefault="00456125" w14:paraId="3FE2BC42" w14:textId="77777777">
            <w:pPr>
              <w:pStyle w:val="TableParagraph"/>
              <w:spacing w:before="4" w:line="252" w:lineRule="auto"/>
              <w:rPr>
                <w:sz w:val="18"/>
                <w:szCs w:val="18"/>
                <w:lang w:val="nl-NL"/>
              </w:rPr>
            </w:pPr>
          </w:p>
          <w:p w:rsidRPr="0097533B" w:rsidR="00456125" w:rsidP="00A32BD6" w:rsidRDefault="00456125" w14:paraId="785CF55B" w14:textId="77777777">
            <w:pPr>
              <w:pStyle w:val="TableParagraph"/>
              <w:spacing w:before="4" w:line="252" w:lineRule="auto"/>
              <w:rPr>
                <w:sz w:val="18"/>
                <w:szCs w:val="18"/>
                <w:lang w:val="nl-NL"/>
              </w:rPr>
            </w:pPr>
            <w:r w:rsidRPr="2A5D6959">
              <w:rPr>
                <w:sz w:val="18"/>
                <w:szCs w:val="18"/>
                <w:lang w:val="nl-NL"/>
              </w:rPr>
              <w:t xml:space="preserve">Als voorbeeld voor de doeltreffende aanwending van de accountability middelen, wordt hier gerefereerd naar deze bevindingen. </w:t>
            </w:r>
          </w:p>
          <w:p w:rsidRPr="0097533B" w:rsidR="00456125" w:rsidP="00A32BD6" w:rsidRDefault="00456125" w14:paraId="213DABE8" w14:textId="77777777">
            <w:pPr>
              <w:pStyle w:val="TableParagraph"/>
              <w:spacing w:before="4" w:line="252" w:lineRule="auto"/>
              <w:rPr>
                <w:sz w:val="18"/>
                <w:szCs w:val="18"/>
                <w:lang w:val="nl-NL"/>
              </w:rPr>
            </w:pPr>
            <w:r w:rsidRPr="2D58BF0C">
              <w:rPr>
                <w:sz w:val="18"/>
                <w:szCs w:val="18"/>
                <w:lang w:val="nl-NL"/>
              </w:rPr>
              <w:t>De evaluatoren spreken zich positief uit over de relevantie van het ‘</w:t>
            </w:r>
            <w:r w:rsidRPr="3546AEE3">
              <w:rPr>
                <w:i/>
                <w:iCs/>
                <w:sz w:val="18"/>
                <w:szCs w:val="18"/>
                <w:lang w:val="nl-NL"/>
              </w:rPr>
              <w:t>Restoring Dignity for Ukraine</w:t>
            </w:r>
            <w:r w:rsidRPr="2D58BF0C">
              <w:rPr>
                <w:sz w:val="18"/>
                <w:szCs w:val="18"/>
                <w:lang w:val="nl-NL"/>
              </w:rPr>
              <w:t xml:space="preserve">’ programma. Dit heeft bijgedragen aan het besluit om een vervolgfase in te gaan met dit consortium, met inachtneming van de aanbevelingen uit de externe evaluatie. </w:t>
            </w:r>
          </w:p>
          <w:p w:rsidRPr="0097533B" w:rsidR="00456125" w:rsidP="00A32BD6" w:rsidRDefault="00456125" w14:paraId="55F8A2E5" w14:textId="77777777">
            <w:pPr>
              <w:pStyle w:val="TableParagraph"/>
              <w:spacing w:before="4" w:line="252" w:lineRule="auto"/>
              <w:rPr>
                <w:sz w:val="18"/>
                <w:szCs w:val="18"/>
                <w:lang w:val="nl-NL"/>
              </w:rPr>
            </w:pPr>
            <w:r w:rsidRPr="2A5D6959">
              <w:rPr>
                <w:sz w:val="18"/>
                <w:szCs w:val="18"/>
                <w:lang w:val="nl-NL"/>
              </w:rPr>
              <w:t xml:space="preserve">De evaluatie heeft in een relatief vroeg stadium van de projectuitvoering plaatsgevonden, om het consortium in staat te stellen de aanbevelingen te verwerken in de resulterende fase van het project. </w:t>
            </w:r>
          </w:p>
          <w:p w:rsidRPr="0097533B" w:rsidR="00456125" w:rsidP="00A32BD6" w:rsidRDefault="00456125" w14:paraId="3E8E0D33" w14:textId="77777777">
            <w:pPr>
              <w:pStyle w:val="TableParagraph"/>
              <w:spacing w:before="4" w:line="252" w:lineRule="auto"/>
              <w:rPr>
                <w:sz w:val="18"/>
                <w:szCs w:val="18"/>
                <w:lang w:val="nl-NL"/>
              </w:rPr>
            </w:pPr>
            <w:r w:rsidRPr="2A5D6959">
              <w:rPr>
                <w:sz w:val="18"/>
                <w:szCs w:val="18"/>
                <w:lang w:val="nl-NL"/>
              </w:rPr>
              <w:lastRenderedPageBreak/>
              <w:t xml:space="preserve">Over de doeltreffendheid van het programma, concludeert de evaluatie het volgende:  </w:t>
            </w:r>
          </w:p>
          <w:p w:rsidRPr="0097533B" w:rsidR="00456125" w:rsidP="00A32BD6" w:rsidRDefault="00456125" w14:paraId="6A9D277B" w14:textId="77777777">
            <w:pPr>
              <w:pStyle w:val="TableParagraph"/>
              <w:numPr>
                <w:ilvl w:val="0"/>
                <w:numId w:val="39"/>
              </w:numPr>
              <w:spacing w:before="4" w:line="252" w:lineRule="auto"/>
              <w:rPr>
                <w:sz w:val="18"/>
                <w:szCs w:val="18"/>
                <w:lang w:val="nl-NL"/>
              </w:rPr>
            </w:pPr>
            <w:r w:rsidRPr="2A5D6959">
              <w:rPr>
                <w:sz w:val="18"/>
                <w:szCs w:val="18"/>
                <w:lang w:val="nl-NL"/>
              </w:rPr>
              <w:t xml:space="preserve">Het programma blijft relevant voor de toekomst van Oekraïne, en het heeft het potentieel een blijvende impact te maken op het wettelijke en institutionele kader in Oekraïne, en op de versterking van de weerbaarheid en antwoorden op uitdagingen waarvoor Oekraïne staat. Het programma wordt gezien als een waardevol en noodzakelijk initiatief dat gecontinueerd en verder ontwikkeld moet worden. </w:t>
            </w:r>
          </w:p>
          <w:p w:rsidR="00456125" w:rsidP="00A32BD6" w:rsidRDefault="00456125" w14:paraId="2A007E3D" w14:textId="77777777">
            <w:pPr>
              <w:pStyle w:val="TableParagraph"/>
              <w:numPr>
                <w:ilvl w:val="0"/>
                <w:numId w:val="39"/>
              </w:numPr>
              <w:spacing w:before="4" w:line="252" w:lineRule="auto"/>
              <w:rPr>
                <w:sz w:val="18"/>
                <w:szCs w:val="18"/>
                <w:lang w:val="nl-NL"/>
              </w:rPr>
            </w:pPr>
            <w:r w:rsidRPr="2A5D6959">
              <w:rPr>
                <w:sz w:val="18"/>
                <w:szCs w:val="18"/>
                <w:lang w:val="nl-NL"/>
              </w:rPr>
              <w:t>De activiteiten gericht op capaciteitsversterking hebben geresulteerd in de versterkte capaciteit van de ontvangers van de trainingen. Desondanks is de impact ervan nog beperkt, door beperkingen waarvoor professionals in OEK zich gesteld zien ten aanzien van een tekort aan digitalisering, en het ontbreken van een casemanagementsysteem. Continuering van dit programma is daarom van belang om een blijvende impact te verkrijgen.</w:t>
            </w:r>
          </w:p>
          <w:p w:rsidR="00456125" w:rsidP="00A32BD6" w:rsidRDefault="00456125" w14:paraId="6FF7BADB" w14:textId="77777777">
            <w:pPr>
              <w:pStyle w:val="TableParagraph"/>
              <w:numPr>
                <w:ilvl w:val="0"/>
                <w:numId w:val="39"/>
              </w:numPr>
              <w:spacing w:before="4" w:line="252" w:lineRule="auto"/>
              <w:rPr>
                <w:sz w:val="18"/>
                <w:szCs w:val="18"/>
                <w:lang w:val="nl-NL"/>
              </w:rPr>
            </w:pPr>
            <w:r w:rsidRPr="2D58BF0C">
              <w:rPr>
                <w:sz w:val="18"/>
                <w:szCs w:val="18"/>
                <w:lang w:val="nl-NL"/>
              </w:rPr>
              <w:t xml:space="preserve">Dit </w:t>
            </w:r>
            <w:r w:rsidRPr="34957B1F">
              <w:rPr>
                <w:sz w:val="18"/>
                <w:szCs w:val="18"/>
                <w:lang w:val="nl-NL"/>
              </w:rPr>
              <w:t>progra</w:t>
            </w:r>
            <w:r>
              <w:rPr>
                <w:sz w:val="18"/>
                <w:szCs w:val="18"/>
                <w:lang w:val="nl-NL"/>
              </w:rPr>
              <w:t>m</w:t>
            </w:r>
            <w:r w:rsidRPr="34957B1F">
              <w:rPr>
                <w:sz w:val="18"/>
                <w:szCs w:val="18"/>
                <w:lang w:val="nl-NL"/>
              </w:rPr>
              <w:t>ma</w:t>
            </w:r>
            <w:r w:rsidRPr="2D58BF0C">
              <w:rPr>
                <w:sz w:val="18"/>
                <w:szCs w:val="18"/>
                <w:lang w:val="nl-NL"/>
              </w:rPr>
              <w:t xml:space="preserve"> vindt plaats terwijl de Russische agressie tegen OEK voortduurt, inclusief aanvallen op civiele doelen die een impact hebben om het programma. Desalniettemin zijn belangrijke resultaten geboekt in het versterken van de capaciteit van de OEK deelnemers.</w:t>
            </w:r>
          </w:p>
          <w:p w:rsidRPr="00D76758" w:rsidR="00456125" w:rsidP="00A32BD6" w:rsidRDefault="00456125" w14:paraId="0DC85574" w14:textId="77777777">
            <w:pPr>
              <w:pStyle w:val="TableParagraph"/>
              <w:spacing w:before="4" w:line="252" w:lineRule="auto"/>
              <w:ind w:left="720"/>
              <w:rPr>
                <w:sz w:val="18"/>
                <w:szCs w:val="18"/>
                <w:lang w:val="nl-NL"/>
              </w:rPr>
            </w:pPr>
          </w:p>
        </w:tc>
      </w:tr>
      <w:tr w:rsidRPr="00457E34" w:rsidR="00456125" w:rsidTr="00A32BD6" w14:paraId="4BB996AD" w14:textId="77777777">
        <w:trPr>
          <w:trHeight w:val="759"/>
        </w:trPr>
        <w:tc>
          <w:tcPr>
            <w:tcW w:w="1115" w:type="pct"/>
            <w:tcBorders>
              <w:top w:val="nil"/>
              <w:left w:val="nil"/>
              <w:bottom w:val="single" w:color="017BC7" w:sz="8" w:space="0"/>
              <w:right w:val="nil"/>
            </w:tcBorders>
            <w:shd w:val="clear" w:color="auto" w:fill="D6EFF9"/>
          </w:tcPr>
          <w:p w:rsidRPr="00F838E4" w:rsidR="00456125" w:rsidP="00A32BD6" w:rsidRDefault="00456125" w14:paraId="10C5D6DE" w14:textId="77777777">
            <w:pPr>
              <w:pStyle w:val="TableParagraph"/>
              <w:spacing w:before="52" w:line="252" w:lineRule="auto"/>
              <w:ind w:left="89"/>
              <w:rPr>
                <w:b/>
                <w:bCs/>
                <w:sz w:val="18"/>
                <w:szCs w:val="18"/>
              </w:rPr>
            </w:pPr>
            <w:r w:rsidRPr="2D58BF0C">
              <w:rPr>
                <w:b/>
                <w:bCs/>
                <w:sz w:val="18"/>
                <w:szCs w:val="18"/>
              </w:rPr>
              <w:lastRenderedPageBreak/>
              <w:t>7. Nagestreefde doelmatigheid</w:t>
            </w:r>
          </w:p>
        </w:tc>
        <w:tc>
          <w:tcPr>
            <w:tcW w:w="3885" w:type="pct"/>
            <w:tcBorders>
              <w:top w:val="nil"/>
              <w:left w:val="nil"/>
              <w:bottom w:val="single" w:color="017BC7" w:sz="8" w:space="0"/>
              <w:right w:val="nil"/>
            </w:tcBorders>
          </w:tcPr>
          <w:p w:rsidR="00456125" w:rsidP="00A32BD6" w:rsidRDefault="00456125" w14:paraId="10D0AFAF" w14:textId="77777777">
            <w:pPr>
              <w:pStyle w:val="TableParagraph"/>
              <w:spacing w:before="4" w:line="252" w:lineRule="auto"/>
              <w:rPr>
                <w:b/>
                <w:bCs/>
                <w:sz w:val="18"/>
                <w:szCs w:val="18"/>
                <w:lang w:val="nl-NL"/>
              </w:rPr>
            </w:pPr>
            <w:r w:rsidRPr="2A5D6959">
              <w:rPr>
                <w:b/>
                <w:bCs/>
                <w:sz w:val="18"/>
                <w:szCs w:val="18"/>
                <w:lang w:val="nl-NL"/>
              </w:rPr>
              <w:t>Waarom is het voorgestelde instrumentarium een efficiënte manier om de beoogde prestaties en effecten te bereiken? </w:t>
            </w:r>
          </w:p>
          <w:p w:rsidR="00456125" w:rsidP="00A32BD6" w:rsidRDefault="00456125" w14:paraId="30F0866C" w14:textId="77777777">
            <w:pPr>
              <w:pStyle w:val="TableParagraph"/>
              <w:spacing w:before="4" w:line="252" w:lineRule="auto"/>
              <w:rPr>
                <w:b/>
                <w:bCs/>
                <w:sz w:val="18"/>
                <w:szCs w:val="18"/>
                <w:lang w:val="nl-NL"/>
              </w:rPr>
            </w:pPr>
          </w:p>
          <w:p w:rsidR="00456125" w:rsidP="00A32BD6" w:rsidRDefault="00456125" w14:paraId="16619968" w14:textId="77777777">
            <w:pPr>
              <w:pStyle w:val="TableParagraph"/>
              <w:spacing w:before="4" w:line="252" w:lineRule="auto"/>
              <w:rPr>
                <w:sz w:val="18"/>
                <w:szCs w:val="18"/>
                <w:lang w:val="nl-NL"/>
              </w:rPr>
            </w:pPr>
            <w:r w:rsidRPr="2D58BF0C">
              <w:rPr>
                <w:sz w:val="18"/>
                <w:szCs w:val="18"/>
                <w:lang w:val="nl-NL"/>
              </w:rPr>
              <w:t>De partners waarmee in zee wordt gegaan bij de aanwending van de nieuwe middelen hebben een bewezen trackrecord op accountability voor Oekraïne. Door de Nederlandse voortrekkersrol op ‘</w:t>
            </w:r>
            <w:r w:rsidRPr="3546AEE3">
              <w:rPr>
                <w:i/>
                <w:iCs/>
                <w:sz w:val="18"/>
                <w:szCs w:val="18"/>
                <w:lang w:val="nl-NL"/>
              </w:rPr>
              <w:t>Restoring Justice for Ukraine</w:t>
            </w:r>
            <w:r w:rsidRPr="2D58BF0C">
              <w:rPr>
                <w:sz w:val="18"/>
                <w:szCs w:val="18"/>
                <w:lang w:val="nl-NL"/>
              </w:rPr>
              <w:t>’ blijft Nederland actief betrokken bij deze agenda en kan het de voortgang monitoren. Continuering van dit programma sluit ook nauw aan op invulling geven aan deze voortrekkersrol en ook de wens van de Tweede Kamer om de juridische sector in OEK te ondersteunen.</w:t>
            </w:r>
          </w:p>
          <w:p w:rsidR="00456125" w:rsidP="00A32BD6" w:rsidRDefault="00456125" w14:paraId="3946D8CA" w14:textId="77777777">
            <w:pPr>
              <w:pStyle w:val="TableParagraph"/>
              <w:spacing w:before="4" w:line="252" w:lineRule="auto"/>
              <w:rPr>
                <w:sz w:val="18"/>
                <w:szCs w:val="18"/>
                <w:lang w:val="nl-NL"/>
              </w:rPr>
            </w:pPr>
          </w:p>
          <w:p w:rsidRPr="00572F35" w:rsidR="00456125" w:rsidP="00A32BD6" w:rsidRDefault="00456125" w14:paraId="6DF78516" w14:textId="77777777">
            <w:pPr>
              <w:pStyle w:val="TableParagraph"/>
              <w:spacing w:before="4" w:line="252" w:lineRule="auto"/>
              <w:rPr>
                <w:b/>
                <w:bCs/>
                <w:sz w:val="18"/>
                <w:szCs w:val="18"/>
                <w:lang w:val="nl-NL"/>
              </w:rPr>
            </w:pPr>
            <w:r w:rsidRPr="2D58BF0C">
              <w:rPr>
                <w:sz w:val="18"/>
                <w:szCs w:val="18"/>
                <w:lang w:val="nl-NL"/>
              </w:rPr>
              <w:t>Verder worden externe evaluaties gevraagd of tussentijdse rapportages en is bijvoorbeeld het IDLO-consortium gekomen met een management response op de externe evaluatie, waarin het laat weten hoe het opvolging geeft aan de aanbevelingen die door de evaluatoren zijn gemaakt. Dit betreft onder meer het efficiënter samenwerken van het Consortium met implementing partners, en de benodigde stroomlijningen coördinatie van de onderlinge samenwerking en financiële verantwoording door de Consortium partners. Bovendien heeft het IDLO-consortium vanaf april 2024 een Monitoring en evaluatie medewerker aangesteld voor dit programma.</w:t>
            </w:r>
          </w:p>
        </w:tc>
      </w:tr>
      <w:tr w:rsidRPr="00457E34" w:rsidR="00456125" w:rsidTr="00A32BD6" w14:paraId="5D37FACF" w14:textId="77777777">
        <w:trPr>
          <w:trHeight w:val="759"/>
        </w:trPr>
        <w:tc>
          <w:tcPr>
            <w:tcW w:w="1115" w:type="pct"/>
            <w:tcBorders>
              <w:top w:val="nil"/>
              <w:left w:val="nil"/>
              <w:bottom w:val="single" w:color="017BC7" w:sz="8" w:space="0"/>
              <w:right w:val="nil"/>
            </w:tcBorders>
            <w:shd w:val="clear" w:color="auto" w:fill="D6EFF9"/>
          </w:tcPr>
          <w:p w:rsidRPr="002042E2" w:rsidR="00456125" w:rsidP="00A32BD6" w:rsidRDefault="00456125" w14:paraId="29D64417" w14:textId="77777777">
            <w:pPr>
              <w:pStyle w:val="TableParagraph"/>
              <w:spacing w:before="52" w:line="252" w:lineRule="auto"/>
              <w:ind w:left="89"/>
              <w:rPr>
                <w:b/>
                <w:bCs/>
                <w:sz w:val="18"/>
                <w:szCs w:val="18"/>
                <w:lang w:val="nl-NL"/>
              </w:rPr>
            </w:pPr>
            <w:r w:rsidRPr="2A5D6959">
              <w:rPr>
                <w:b/>
                <w:bCs/>
                <w:sz w:val="18"/>
                <w:szCs w:val="18"/>
                <w:lang w:val="nl-NL"/>
              </w:rPr>
              <w:t>8. Evaluatieparagraaf</w:t>
            </w:r>
          </w:p>
        </w:tc>
        <w:tc>
          <w:tcPr>
            <w:tcW w:w="3885" w:type="pct"/>
            <w:tcBorders>
              <w:top w:val="nil"/>
              <w:left w:val="nil"/>
              <w:bottom w:val="single" w:color="017BC7" w:sz="8" w:space="0"/>
              <w:right w:val="nil"/>
            </w:tcBorders>
          </w:tcPr>
          <w:p w:rsidR="00456125" w:rsidP="00A32BD6" w:rsidRDefault="00456125" w14:paraId="1BFEE6A5" w14:textId="77777777">
            <w:pPr>
              <w:pStyle w:val="TableParagraph"/>
              <w:spacing w:before="4" w:line="252" w:lineRule="auto"/>
              <w:rPr>
                <w:b/>
                <w:bCs/>
                <w:sz w:val="18"/>
                <w:szCs w:val="18"/>
                <w:lang w:val="nl-NL"/>
              </w:rPr>
            </w:pPr>
            <w:r w:rsidRPr="2A5D6959">
              <w:rPr>
                <w:b/>
                <w:bCs/>
                <w:sz w:val="18"/>
                <w:szCs w:val="18"/>
                <w:lang w:val="nl-NL"/>
              </w:rPr>
              <w:t>Hoe wordt het voorstel gemonitord en geëvalueerd? </w:t>
            </w:r>
          </w:p>
          <w:p w:rsidRPr="0018243B" w:rsidR="00456125" w:rsidP="00A32BD6" w:rsidRDefault="00456125" w14:paraId="1CE31BF0" w14:textId="77777777">
            <w:pPr>
              <w:pStyle w:val="TableParagraph"/>
              <w:spacing w:before="4" w:line="252" w:lineRule="auto"/>
              <w:rPr>
                <w:b/>
                <w:bCs/>
                <w:sz w:val="18"/>
                <w:szCs w:val="18"/>
                <w:lang w:val="nl-NL"/>
              </w:rPr>
            </w:pPr>
          </w:p>
          <w:p w:rsidR="00456125" w:rsidP="00A32BD6" w:rsidRDefault="00456125" w14:paraId="4FB3916A" w14:textId="77777777">
            <w:pPr>
              <w:pStyle w:val="TableParagraph"/>
              <w:spacing w:before="4" w:line="252" w:lineRule="auto"/>
              <w:rPr>
                <w:sz w:val="18"/>
                <w:szCs w:val="18"/>
                <w:lang w:val="nl-NL"/>
              </w:rPr>
            </w:pPr>
            <w:r w:rsidRPr="2A5D6959">
              <w:rPr>
                <w:sz w:val="18"/>
                <w:szCs w:val="18"/>
                <w:lang w:val="nl-NL"/>
              </w:rPr>
              <w:t xml:space="preserve">Vertegenwoordigers van het cluster accountability voor Oekraïne van DMM, nemen deel aan ronde tafels, workshops en Steering Comité meetings met de verschillende partners die het heeft, IDLO-consortium, ICMP, HRMMU, etc. </w:t>
            </w:r>
          </w:p>
          <w:p w:rsidR="00456125" w:rsidP="00A32BD6" w:rsidRDefault="00456125" w14:paraId="36DE776F" w14:textId="77777777">
            <w:pPr>
              <w:pStyle w:val="TableParagraph"/>
              <w:spacing w:before="4" w:line="252" w:lineRule="auto"/>
              <w:rPr>
                <w:sz w:val="18"/>
                <w:szCs w:val="18"/>
                <w:lang w:val="nl-NL"/>
              </w:rPr>
            </w:pPr>
            <w:r w:rsidRPr="2A5D6959">
              <w:rPr>
                <w:sz w:val="18"/>
                <w:szCs w:val="18"/>
                <w:lang w:val="nl-NL"/>
              </w:rPr>
              <w:t xml:space="preserve">In het merendeel van de gevallen wordt DMM uitgenodigd voor studiebezoeken, trainingen en workshops die in Nederland </w:t>
            </w:r>
            <w:r>
              <w:rPr>
                <w:sz w:val="18"/>
                <w:szCs w:val="18"/>
                <w:lang w:val="nl-NL"/>
              </w:rPr>
              <w:t xml:space="preserve">of in Kyiv </w:t>
            </w:r>
            <w:r w:rsidRPr="2A5D6959">
              <w:rPr>
                <w:sz w:val="18"/>
                <w:szCs w:val="18"/>
                <w:lang w:val="nl-NL"/>
              </w:rPr>
              <w:t xml:space="preserve">plaatsvinden, waarvoor Oekraïense experts worden uitgenodigd. </w:t>
            </w:r>
          </w:p>
          <w:p w:rsidR="00456125" w:rsidP="00A32BD6" w:rsidRDefault="00456125" w14:paraId="0F98B4B2" w14:textId="77777777">
            <w:pPr>
              <w:pStyle w:val="TableParagraph"/>
              <w:spacing w:before="4" w:line="252" w:lineRule="auto"/>
              <w:rPr>
                <w:sz w:val="18"/>
                <w:szCs w:val="18"/>
                <w:lang w:val="nl-NL"/>
              </w:rPr>
            </w:pPr>
          </w:p>
          <w:p w:rsidR="00456125" w:rsidP="00A32BD6" w:rsidRDefault="00456125" w14:paraId="7058BC32" w14:textId="77777777">
            <w:pPr>
              <w:pStyle w:val="TableParagraph"/>
              <w:spacing w:before="4" w:line="252" w:lineRule="auto"/>
              <w:rPr>
                <w:sz w:val="18"/>
                <w:szCs w:val="18"/>
                <w:lang w:val="nl-NL"/>
              </w:rPr>
            </w:pPr>
            <w:r w:rsidRPr="2A5D6959">
              <w:rPr>
                <w:sz w:val="18"/>
                <w:szCs w:val="18"/>
                <w:lang w:val="nl-NL"/>
              </w:rPr>
              <w:t xml:space="preserve">De projectvoorstellen worden beoordeeld op de inbedding van monitoring en evaluatie in het projectvoorstel, de betrokkenheid van de uiteindelijke doelgroep van deze projecten, tussentijdse rapportages en werkplannen. </w:t>
            </w:r>
          </w:p>
          <w:p w:rsidR="00456125" w:rsidP="00A32BD6" w:rsidRDefault="00456125" w14:paraId="1738B876" w14:textId="77777777">
            <w:pPr>
              <w:pStyle w:val="TableParagraph"/>
              <w:spacing w:before="4" w:line="252" w:lineRule="auto"/>
              <w:rPr>
                <w:sz w:val="18"/>
                <w:szCs w:val="18"/>
                <w:lang w:val="nl-NL"/>
              </w:rPr>
            </w:pPr>
          </w:p>
          <w:p w:rsidRPr="0018243B" w:rsidR="00456125" w:rsidP="00A32BD6" w:rsidRDefault="00456125" w14:paraId="760948BA" w14:textId="77777777">
            <w:pPr>
              <w:pStyle w:val="TableParagraph"/>
              <w:spacing w:before="4" w:line="252" w:lineRule="auto"/>
              <w:rPr>
                <w:sz w:val="18"/>
                <w:szCs w:val="18"/>
                <w:lang w:val="nl-NL"/>
              </w:rPr>
            </w:pPr>
            <w:r w:rsidRPr="2A5D6959">
              <w:rPr>
                <w:sz w:val="18"/>
                <w:szCs w:val="18"/>
                <w:lang w:val="nl-NL"/>
              </w:rPr>
              <w:t xml:space="preserve">Controle van het gebruik van de middelen vindt plaats door middel van audits op de procedures en uitgaven van de partners. </w:t>
            </w:r>
          </w:p>
        </w:tc>
      </w:tr>
      <w:tr w:rsidRPr="00436DC5" w:rsidR="00456125" w:rsidTr="00A32BD6" w14:paraId="024155AD" w14:textId="77777777">
        <w:trPr>
          <w:trHeight w:val="759"/>
        </w:trPr>
        <w:tc>
          <w:tcPr>
            <w:tcW w:w="1115" w:type="pct"/>
            <w:tcBorders>
              <w:top w:val="nil"/>
              <w:left w:val="nil"/>
              <w:bottom w:val="single" w:color="017BC7" w:sz="8" w:space="0"/>
              <w:right w:val="nil"/>
            </w:tcBorders>
            <w:shd w:val="clear" w:color="auto" w:fill="D6EFF9"/>
          </w:tcPr>
          <w:p w:rsidR="00456125" w:rsidP="00A32BD6" w:rsidRDefault="00456125" w14:paraId="479DBF20" w14:textId="77777777">
            <w:pPr>
              <w:pStyle w:val="TableParagraph"/>
              <w:spacing w:before="52" w:line="252" w:lineRule="auto"/>
              <w:ind w:left="89"/>
              <w:rPr>
                <w:b/>
                <w:bCs/>
                <w:sz w:val="18"/>
                <w:szCs w:val="18"/>
                <w:lang w:val="nl-NL"/>
              </w:rPr>
            </w:pPr>
            <w:r w:rsidRPr="2A5D6959">
              <w:rPr>
                <w:b/>
                <w:bCs/>
                <w:sz w:val="18"/>
                <w:szCs w:val="18"/>
                <w:lang w:val="nl-NL"/>
              </w:rPr>
              <w:t>9. Risicoparagraaf</w:t>
            </w:r>
          </w:p>
        </w:tc>
        <w:tc>
          <w:tcPr>
            <w:tcW w:w="3885" w:type="pct"/>
            <w:tcBorders>
              <w:top w:val="nil"/>
              <w:left w:val="nil"/>
              <w:bottom w:val="single" w:color="017BC7" w:sz="8" w:space="0"/>
              <w:right w:val="nil"/>
            </w:tcBorders>
          </w:tcPr>
          <w:p w:rsidR="00456125" w:rsidP="00A32BD6" w:rsidRDefault="00456125" w14:paraId="09BA05FF" w14:textId="77777777">
            <w:pPr>
              <w:pStyle w:val="TableParagraph"/>
              <w:spacing w:before="4" w:line="252" w:lineRule="auto"/>
              <w:rPr>
                <w:b/>
                <w:bCs/>
                <w:sz w:val="18"/>
                <w:szCs w:val="18"/>
                <w:lang w:val="nl-NL"/>
              </w:rPr>
            </w:pPr>
            <w:r w:rsidRPr="2A5D6959">
              <w:rPr>
                <w:b/>
                <w:bCs/>
                <w:sz w:val="18"/>
                <w:szCs w:val="18"/>
                <w:lang w:val="nl-NL"/>
              </w:rPr>
              <w:t>Hoe worden anti-fraude en anti-corruptie risico’s gemitigeerd?</w:t>
            </w:r>
          </w:p>
          <w:p w:rsidR="00456125" w:rsidP="00A32BD6" w:rsidRDefault="00456125" w14:paraId="4084B32C" w14:textId="77777777">
            <w:pPr>
              <w:pStyle w:val="TableParagraph"/>
              <w:spacing w:before="4" w:line="252" w:lineRule="auto"/>
              <w:rPr>
                <w:sz w:val="18"/>
                <w:szCs w:val="18"/>
                <w:lang w:val="nl-NL"/>
              </w:rPr>
            </w:pPr>
          </w:p>
          <w:p w:rsidRPr="00436DC5" w:rsidR="00456125" w:rsidP="00A32BD6" w:rsidRDefault="00456125" w14:paraId="3DDA66EA" w14:textId="77777777">
            <w:pPr>
              <w:pStyle w:val="TableParagraph"/>
              <w:spacing w:before="4" w:line="252" w:lineRule="auto"/>
              <w:rPr>
                <w:sz w:val="18"/>
                <w:szCs w:val="18"/>
                <w:lang w:val="nl-NL"/>
              </w:rPr>
            </w:pPr>
            <w:r w:rsidRPr="2A5D6959">
              <w:rPr>
                <w:sz w:val="18"/>
                <w:szCs w:val="18"/>
                <w:lang w:val="nl-NL"/>
              </w:rPr>
              <w:t xml:space="preserve">Gewerkt wordt met partners met een bewezen trackrecord, voor het werken in Oekraïne en met nationale partners aldaar. Bekend is dat IDLO, ICMP en HRMMU als internationale organisaties stringente aanbestedingsregelgeving hanteren en </w:t>
            </w:r>
            <w:r w:rsidRPr="2A5D6959">
              <w:rPr>
                <w:sz w:val="18"/>
                <w:szCs w:val="18"/>
                <w:lang w:val="nl-NL"/>
              </w:rPr>
              <w:lastRenderedPageBreak/>
              <w:t xml:space="preserve">voor de werving van (tijdelijke) projectstaf duidelijke procedures hanteren. Verder is door deze organisaties een ORIO aangeleverd. </w:t>
            </w:r>
          </w:p>
          <w:p w:rsidRPr="00436DC5" w:rsidR="00456125" w:rsidP="00A32BD6" w:rsidRDefault="00456125" w14:paraId="7EAB073B" w14:textId="77777777">
            <w:pPr>
              <w:pStyle w:val="TableParagraph"/>
              <w:spacing w:before="4" w:line="252" w:lineRule="auto"/>
              <w:rPr>
                <w:b/>
                <w:bCs/>
                <w:sz w:val="18"/>
                <w:szCs w:val="18"/>
                <w:lang w:val="nl-NL"/>
              </w:rPr>
            </w:pPr>
          </w:p>
        </w:tc>
      </w:tr>
      <w:tr w:rsidRPr="00457E34" w:rsidR="00456125" w:rsidTr="00A32BD6" w14:paraId="7F53F380" w14:textId="77777777">
        <w:trPr>
          <w:trHeight w:val="559"/>
        </w:trPr>
        <w:tc>
          <w:tcPr>
            <w:tcW w:w="1115" w:type="pct"/>
            <w:tcBorders>
              <w:top w:val="nil"/>
              <w:left w:val="nil"/>
              <w:bottom w:val="single" w:color="017BC7" w:sz="8" w:space="0"/>
              <w:right w:val="nil"/>
            </w:tcBorders>
            <w:shd w:val="clear" w:color="auto" w:fill="D6EFF9"/>
          </w:tcPr>
          <w:p w:rsidRPr="00F838E4" w:rsidR="00456125" w:rsidP="00A32BD6" w:rsidRDefault="00456125" w14:paraId="1F808F6A" w14:textId="77777777">
            <w:pPr>
              <w:pStyle w:val="TableParagraph"/>
              <w:spacing w:before="52" w:line="252" w:lineRule="auto"/>
              <w:ind w:left="89"/>
              <w:rPr>
                <w:b/>
                <w:bCs/>
                <w:sz w:val="18"/>
                <w:szCs w:val="18"/>
              </w:rPr>
            </w:pPr>
            <w:r w:rsidRPr="2D58BF0C">
              <w:rPr>
                <w:b/>
                <w:bCs/>
                <w:sz w:val="18"/>
                <w:szCs w:val="18"/>
              </w:rPr>
              <w:lastRenderedPageBreak/>
              <w:t>10. Publieks communicatie</w:t>
            </w:r>
          </w:p>
        </w:tc>
        <w:tc>
          <w:tcPr>
            <w:tcW w:w="3885" w:type="pct"/>
            <w:tcBorders>
              <w:top w:val="nil"/>
              <w:left w:val="nil"/>
              <w:bottom w:val="single" w:color="017BC7" w:sz="8" w:space="0"/>
              <w:right w:val="nil"/>
            </w:tcBorders>
          </w:tcPr>
          <w:p w:rsidRPr="003C1690" w:rsidR="00456125" w:rsidP="00A32BD6" w:rsidRDefault="00456125" w14:paraId="220A8684" w14:textId="77777777">
            <w:pPr>
              <w:spacing w:before="52"/>
              <w:rPr>
                <w:b/>
                <w:bCs/>
                <w:sz w:val="18"/>
                <w:szCs w:val="18"/>
                <w:lang w:val="nl-NL"/>
              </w:rPr>
            </w:pPr>
            <w:r w:rsidRPr="2D58BF0C">
              <w:rPr>
                <w:b/>
                <w:bCs/>
                <w:sz w:val="18"/>
                <w:szCs w:val="18"/>
                <w:lang w:val="nl-NL"/>
              </w:rPr>
              <w:t xml:space="preserve"> Hoe kan het voorstel gebruikt worden in de bredere publieksdiplomatie rondom de steun aan Oekraine, zowel in Nederland, Oekraïne en internationaal? </w:t>
            </w:r>
          </w:p>
          <w:p w:rsidR="00456125" w:rsidP="00A32BD6" w:rsidRDefault="00456125" w14:paraId="08D7387E" w14:textId="77777777">
            <w:pPr>
              <w:spacing w:before="52"/>
              <w:ind w:left="37"/>
              <w:rPr>
                <w:sz w:val="18"/>
                <w:szCs w:val="18"/>
                <w:lang w:val="nl-NL"/>
              </w:rPr>
            </w:pPr>
          </w:p>
          <w:p w:rsidRPr="00A908B8" w:rsidR="00456125" w:rsidP="00A32BD6" w:rsidRDefault="00456125" w14:paraId="439EF8A3" w14:textId="77777777">
            <w:pPr>
              <w:spacing w:before="52"/>
              <w:ind w:left="37"/>
              <w:rPr>
                <w:sz w:val="18"/>
                <w:szCs w:val="18"/>
                <w:lang w:val="nl-NL"/>
              </w:rPr>
            </w:pPr>
            <w:r w:rsidRPr="2D58BF0C">
              <w:rPr>
                <w:sz w:val="18"/>
                <w:szCs w:val="18"/>
                <w:lang w:val="nl-NL"/>
              </w:rPr>
              <w:t xml:space="preserve">Minister van Weel had zijn bilaterale bezoek aan Oekraïne gekoppeld aan de Ministerial Dialogue Group/ United for Justice conferentie, mei dit jaar. Nederland was duidelijk zichtbaar als medeorganisator van de Dialogue Group, met een openingsspeech en persverklaring door minister van Weel, en een videoboodschap van M. Beide bewindslieden spraken onverminderde steun uit voor de ‘Restoring Justice for Ukraine’ agenda. M kondigde tevens bilaterale steun aan voor de Oekraïense opsporing, vervolging en berechting. De Nederlandse inzet op accountability wordt actief gepromoot, Nederland heeft een duidelijk profiel op deze thematiek, besteedt aandacht aan de resultaten en events op sociale media van het ministerie en van de bewindspersoon. </w:t>
            </w:r>
          </w:p>
          <w:p w:rsidRPr="00A908B8" w:rsidR="00456125" w:rsidP="00A32BD6" w:rsidRDefault="00456125" w14:paraId="44B56E44" w14:textId="77777777">
            <w:pPr>
              <w:spacing w:before="52"/>
              <w:ind w:left="37"/>
              <w:rPr>
                <w:sz w:val="18"/>
                <w:szCs w:val="18"/>
                <w:lang w:val="nl-NL"/>
              </w:rPr>
            </w:pPr>
            <w:r w:rsidRPr="00A908B8">
              <w:rPr>
                <w:sz w:val="18"/>
                <w:szCs w:val="18"/>
                <w:lang w:val="nl-NL"/>
              </w:rPr>
              <w:t xml:space="preserve"> </w:t>
            </w:r>
          </w:p>
        </w:tc>
      </w:tr>
    </w:tbl>
    <w:p w:rsidRPr="00A908B8" w:rsidR="00456125" w:rsidP="00456125" w:rsidRDefault="00456125" w14:paraId="52B17CAB" w14:textId="77777777">
      <w:pPr>
        <w:rPr>
          <w:rFonts w:ascii="Verdana" w:hAnsi="Verdana"/>
          <w:sz w:val="18"/>
          <w:szCs w:val="18"/>
          <w:lang w:val="nl-NL"/>
        </w:rPr>
      </w:pPr>
    </w:p>
    <w:p w:rsidRPr="00456125" w:rsidR="00726B06" w:rsidP="00456125" w:rsidRDefault="00726B06" w14:paraId="2B48E26A" w14:textId="6264469F"/>
    <w:sectPr w:rsidRPr="00456125" w:rsidR="00726B06" w:rsidSect="00515E32">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4ABC" w14:textId="77777777" w:rsidR="008C735A" w:rsidRDefault="008C735A" w:rsidP="00AD0168">
      <w:r>
        <w:separator/>
      </w:r>
    </w:p>
  </w:endnote>
  <w:endnote w:type="continuationSeparator" w:id="0">
    <w:p w14:paraId="068949FB" w14:textId="77777777" w:rsidR="008C735A" w:rsidRDefault="008C735A" w:rsidP="00AD0168">
      <w:r>
        <w:continuationSeparator/>
      </w:r>
    </w:p>
  </w:endnote>
  <w:endnote w:type="continuationNotice" w:id="1">
    <w:p w14:paraId="68CB7CC1" w14:textId="77777777" w:rsidR="008C735A" w:rsidRDefault="008C7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5732" w14:textId="77777777" w:rsidR="008C735A" w:rsidRDefault="008C735A" w:rsidP="00AD0168">
      <w:r>
        <w:separator/>
      </w:r>
    </w:p>
  </w:footnote>
  <w:footnote w:type="continuationSeparator" w:id="0">
    <w:p w14:paraId="1F998352" w14:textId="77777777" w:rsidR="008C735A" w:rsidRDefault="008C735A" w:rsidP="00AD0168">
      <w:r>
        <w:continuationSeparator/>
      </w:r>
    </w:p>
  </w:footnote>
  <w:footnote w:type="continuationNotice" w:id="1">
    <w:p w14:paraId="0F0E174E" w14:textId="77777777" w:rsidR="008C735A" w:rsidRDefault="008C7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D57"/>
    <w:multiLevelType w:val="multilevel"/>
    <w:tmpl w:val="49ACE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597E"/>
    <w:multiLevelType w:val="multilevel"/>
    <w:tmpl w:val="15081B96"/>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color w:val="1F1F1F"/>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44375B"/>
    <w:multiLevelType w:val="hybridMultilevel"/>
    <w:tmpl w:val="34A026BA"/>
    <w:lvl w:ilvl="0" w:tplc="6A1E87F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081DC1"/>
    <w:multiLevelType w:val="hybridMultilevel"/>
    <w:tmpl w:val="2C541340"/>
    <w:lvl w:ilvl="0" w:tplc="7C6CB780">
      <w:start w:val="2"/>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4" w15:restartNumberingAfterBreak="0">
    <w:nsid w:val="100B3297"/>
    <w:multiLevelType w:val="hybridMultilevel"/>
    <w:tmpl w:val="06E2583C"/>
    <w:lvl w:ilvl="0" w:tplc="0809000F">
      <w:start w:val="1"/>
      <w:numFmt w:val="decimal"/>
      <w:lvlText w:val="%1."/>
      <w:lvlJc w:val="left"/>
      <w:pPr>
        <w:ind w:left="473" w:hanging="360"/>
      </w:p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5" w15:restartNumberingAfterBreak="0">
    <w:nsid w:val="10B53026"/>
    <w:multiLevelType w:val="hybridMultilevel"/>
    <w:tmpl w:val="CF78D73E"/>
    <w:lvl w:ilvl="0" w:tplc="8534C0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CA1"/>
    <w:multiLevelType w:val="hybridMultilevel"/>
    <w:tmpl w:val="845AFC5A"/>
    <w:lvl w:ilvl="0" w:tplc="A2D43820">
      <w:start w:val="1"/>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7" w15:restartNumberingAfterBreak="0">
    <w:nsid w:val="11E95127"/>
    <w:multiLevelType w:val="hybridMultilevel"/>
    <w:tmpl w:val="71C8A3D8"/>
    <w:lvl w:ilvl="0" w:tplc="1038A2C2">
      <w:numFmt w:val="bullet"/>
      <w:lvlText w:val="-"/>
      <w:lvlJc w:val="left"/>
      <w:pPr>
        <w:ind w:left="473" w:hanging="360"/>
      </w:pPr>
      <w:rPr>
        <w:rFonts w:ascii="Calibri" w:eastAsiaTheme="minorHAnsi" w:hAnsi="Calibri" w:cs="Calibr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14B04F0A"/>
    <w:multiLevelType w:val="hybridMultilevel"/>
    <w:tmpl w:val="D284B532"/>
    <w:lvl w:ilvl="0" w:tplc="43B4ADB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1765221E"/>
    <w:multiLevelType w:val="hybridMultilevel"/>
    <w:tmpl w:val="0186AF72"/>
    <w:lvl w:ilvl="0" w:tplc="0409000F">
      <w:start w:val="1"/>
      <w:numFmt w:val="decimal"/>
      <w:lvlText w:val="%1."/>
      <w:lvlJc w:val="left"/>
      <w:pPr>
        <w:ind w:left="473" w:hanging="360"/>
      </w:pPr>
      <w:rPr>
        <w:rFonts w:hint="default"/>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0"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12" w15:restartNumberingAfterBreak="0">
    <w:nsid w:val="1EDD3F08"/>
    <w:multiLevelType w:val="multilevel"/>
    <w:tmpl w:val="A942F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15"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C432AD"/>
    <w:multiLevelType w:val="hybridMultilevel"/>
    <w:tmpl w:val="AE34B708"/>
    <w:lvl w:ilvl="0" w:tplc="1038A2C2">
      <w:numFmt w:val="bullet"/>
      <w:lvlText w:val="-"/>
      <w:lvlJc w:val="left"/>
      <w:pPr>
        <w:ind w:left="562" w:hanging="360"/>
      </w:pPr>
      <w:rPr>
        <w:rFonts w:ascii="Calibri" w:eastAsiaTheme="minorHAnsi" w:hAnsi="Calibri" w:cs="Calibri"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7"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F70CCE"/>
    <w:multiLevelType w:val="hybridMultilevel"/>
    <w:tmpl w:val="F9B414E0"/>
    <w:lvl w:ilvl="0" w:tplc="1234A934">
      <w:start w:val="1"/>
      <w:numFmt w:val="decimal"/>
      <w:lvlText w:val="%1."/>
      <w:lvlJc w:val="left"/>
      <w:pPr>
        <w:ind w:left="473" w:hanging="360"/>
      </w:pPr>
      <w:rPr>
        <w:rFonts w:ascii="Calibri" w:eastAsiaTheme="minorHAnsi" w:hAnsi="Calibri" w:cs="Calibri"/>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20" w15:restartNumberingAfterBreak="0">
    <w:nsid w:val="33B01D9D"/>
    <w:multiLevelType w:val="multilevel"/>
    <w:tmpl w:val="850EE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23"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4"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5" w15:restartNumberingAfterBreak="0">
    <w:nsid w:val="418D0035"/>
    <w:multiLevelType w:val="hybridMultilevel"/>
    <w:tmpl w:val="9DF08586"/>
    <w:lvl w:ilvl="0" w:tplc="843A40B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935DAA"/>
    <w:multiLevelType w:val="hybridMultilevel"/>
    <w:tmpl w:val="00CC0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B4DC8"/>
    <w:multiLevelType w:val="hybridMultilevel"/>
    <w:tmpl w:val="8A569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29" w15:restartNumberingAfterBreak="0">
    <w:nsid w:val="5BAD3E53"/>
    <w:multiLevelType w:val="hybridMultilevel"/>
    <w:tmpl w:val="87C65F1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0" w15:restartNumberingAfterBreak="0">
    <w:nsid w:val="5C697E31"/>
    <w:multiLevelType w:val="hybridMultilevel"/>
    <w:tmpl w:val="0FE420C4"/>
    <w:lvl w:ilvl="0" w:tplc="6504DF4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5FBF6AF6"/>
    <w:multiLevelType w:val="hybridMultilevel"/>
    <w:tmpl w:val="ADDEC760"/>
    <w:lvl w:ilvl="0" w:tplc="5164EE4E">
      <w:start w:val="1"/>
      <w:numFmt w:val="lowerLetter"/>
      <w:lvlText w:val="%1."/>
      <w:lvlJc w:val="left"/>
      <w:pPr>
        <w:ind w:left="473" w:hanging="360"/>
      </w:pPr>
      <w:rPr>
        <w:rFonts w:hint="default"/>
        <w:b/>
        <w:i/>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3" w15:restartNumberingAfterBreak="0">
    <w:nsid w:val="60126920"/>
    <w:multiLevelType w:val="hybridMultilevel"/>
    <w:tmpl w:val="27FA2010"/>
    <w:lvl w:ilvl="0" w:tplc="AE4E801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84578"/>
    <w:multiLevelType w:val="hybridMultilevel"/>
    <w:tmpl w:val="6E866A04"/>
    <w:lvl w:ilvl="0" w:tplc="ADAAE7CA">
      <w:start w:val="1"/>
      <w:numFmt w:val="bullet"/>
      <w:lvlText w:val="-"/>
      <w:lvlJc w:val="left"/>
      <w:pPr>
        <w:ind w:left="833" w:hanging="360"/>
      </w:pPr>
      <w:rPr>
        <w:rFonts w:ascii="Aptos" w:hAnsi="Aptos" w:hint="default"/>
      </w:rPr>
    </w:lvl>
    <w:lvl w:ilvl="1" w:tplc="BC360274">
      <w:start w:val="1"/>
      <w:numFmt w:val="bullet"/>
      <w:lvlText w:val="o"/>
      <w:lvlJc w:val="left"/>
      <w:pPr>
        <w:ind w:left="1553" w:hanging="360"/>
      </w:pPr>
      <w:rPr>
        <w:rFonts w:ascii="Courier New" w:hAnsi="Courier New" w:hint="default"/>
      </w:rPr>
    </w:lvl>
    <w:lvl w:ilvl="2" w:tplc="8E7A3FBC">
      <w:start w:val="1"/>
      <w:numFmt w:val="bullet"/>
      <w:lvlText w:val=""/>
      <w:lvlJc w:val="left"/>
      <w:pPr>
        <w:ind w:left="2273" w:hanging="360"/>
      </w:pPr>
      <w:rPr>
        <w:rFonts w:ascii="Wingdings" w:hAnsi="Wingdings" w:hint="default"/>
      </w:rPr>
    </w:lvl>
    <w:lvl w:ilvl="3" w:tplc="85CEB5C6">
      <w:start w:val="1"/>
      <w:numFmt w:val="bullet"/>
      <w:lvlText w:val=""/>
      <w:lvlJc w:val="left"/>
      <w:pPr>
        <w:ind w:left="2993" w:hanging="360"/>
      </w:pPr>
      <w:rPr>
        <w:rFonts w:ascii="Symbol" w:hAnsi="Symbol" w:hint="default"/>
      </w:rPr>
    </w:lvl>
    <w:lvl w:ilvl="4" w:tplc="ECC87B2E">
      <w:start w:val="1"/>
      <w:numFmt w:val="bullet"/>
      <w:lvlText w:val="o"/>
      <w:lvlJc w:val="left"/>
      <w:pPr>
        <w:ind w:left="3713" w:hanging="360"/>
      </w:pPr>
      <w:rPr>
        <w:rFonts w:ascii="Courier New" w:hAnsi="Courier New" w:hint="default"/>
      </w:rPr>
    </w:lvl>
    <w:lvl w:ilvl="5" w:tplc="141604DC">
      <w:start w:val="1"/>
      <w:numFmt w:val="bullet"/>
      <w:lvlText w:val=""/>
      <w:lvlJc w:val="left"/>
      <w:pPr>
        <w:ind w:left="4433" w:hanging="360"/>
      </w:pPr>
      <w:rPr>
        <w:rFonts w:ascii="Wingdings" w:hAnsi="Wingdings" w:hint="default"/>
      </w:rPr>
    </w:lvl>
    <w:lvl w:ilvl="6" w:tplc="D4EA93BA">
      <w:start w:val="1"/>
      <w:numFmt w:val="bullet"/>
      <w:lvlText w:val=""/>
      <w:lvlJc w:val="left"/>
      <w:pPr>
        <w:ind w:left="5153" w:hanging="360"/>
      </w:pPr>
      <w:rPr>
        <w:rFonts w:ascii="Symbol" w:hAnsi="Symbol" w:hint="default"/>
      </w:rPr>
    </w:lvl>
    <w:lvl w:ilvl="7" w:tplc="D0BA1D60">
      <w:start w:val="1"/>
      <w:numFmt w:val="bullet"/>
      <w:lvlText w:val="o"/>
      <w:lvlJc w:val="left"/>
      <w:pPr>
        <w:ind w:left="5873" w:hanging="360"/>
      </w:pPr>
      <w:rPr>
        <w:rFonts w:ascii="Courier New" w:hAnsi="Courier New" w:hint="default"/>
      </w:rPr>
    </w:lvl>
    <w:lvl w:ilvl="8" w:tplc="4D0C30AE">
      <w:start w:val="1"/>
      <w:numFmt w:val="bullet"/>
      <w:lvlText w:val=""/>
      <w:lvlJc w:val="left"/>
      <w:pPr>
        <w:ind w:left="6593" w:hanging="360"/>
      </w:pPr>
      <w:rPr>
        <w:rFonts w:ascii="Wingdings" w:hAnsi="Wingdings" w:hint="default"/>
      </w:rPr>
    </w:lvl>
  </w:abstractNum>
  <w:abstractNum w:abstractNumId="35" w15:restartNumberingAfterBreak="0">
    <w:nsid w:val="6E6D2851"/>
    <w:multiLevelType w:val="hybridMultilevel"/>
    <w:tmpl w:val="CA0E09EC"/>
    <w:lvl w:ilvl="0" w:tplc="E110DB2A">
      <w:start w:val="1"/>
      <w:numFmt w:val="decimal"/>
      <w:lvlText w:val="%1."/>
      <w:lvlJc w:val="left"/>
      <w:pPr>
        <w:ind w:left="720" w:hanging="360"/>
      </w:pPr>
    </w:lvl>
    <w:lvl w:ilvl="1" w:tplc="8056F378">
      <w:start w:val="1"/>
      <w:numFmt w:val="lowerLetter"/>
      <w:lvlText w:val="%2."/>
      <w:lvlJc w:val="left"/>
      <w:pPr>
        <w:ind w:left="1440" w:hanging="360"/>
      </w:pPr>
    </w:lvl>
    <w:lvl w:ilvl="2" w:tplc="0A0E2B90">
      <w:start w:val="1"/>
      <w:numFmt w:val="lowerRoman"/>
      <w:lvlText w:val="%3."/>
      <w:lvlJc w:val="right"/>
      <w:pPr>
        <w:ind w:left="2160" w:hanging="180"/>
      </w:pPr>
    </w:lvl>
    <w:lvl w:ilvl="3" w:tplc="9418E0BC">
      <w:start w:val="1"/>
      <w:numFmt w:val="decimal"/>
      <w:lvlText w:val="%4."/>
      <w:lvlJc w:val="left"/>
      <w:pPr>
        <w:ind w:left="2880" w:hanging="360"/>
      </w:pPr>
    </w:lvl>
    <w:lvl w:ilvl="4" w:tplc="2BB4FFCA">
      <w:start w:val="1"/>
      <w:numFmt w:val="lowerLetter"/>
      <w:lvlText w:val="%5."/>
      <w:lvlJc w:val="left"/>
      <w:pPr>
        <w:ind w:left="3600" w:hanging="360"/>
      </w:pPr>
    </w:lvl>
    <w:lvl w:ilvl="5" w:tplc="799E27B2">
      <w:start w:val="1"/>
      <w:numFmt w:val="lowerRoman"/>
      <w:lvlText w:val="%6."/>
      <w:lvlJc w:val="right"/>
      <w:pPr>
        <w:ind w:left="4320" w:hanging="180"/>
      </w:pPr>
    </w:lvl>
    <w:lvl w:ilvl="6" w:tplc="1EC26D2E">
      <w:start w:val="1"/>
      <w:numFmt w:val="decimal"/>
      <w:lvlText w:val="%7."/>
      <w:lvlJc w:val="left"/>
      <w:pPr>
        <w:ind w:left="5040" w:hanging="360"/>
      </w:pPr>
    </w:lvl>
    <w:lvl w:ilvl="7" w:tplc="F064DD22">
      <w:start w:val="1"/>
      <w:numFmt w:val="lowerLetter"/>
      <w:lvlText w:val="%8."/>
      <w:lvlJc w:val="left"/>
      <w:pPr>
        <w:ind w:left="5760" w:hanging="360"/>
      </w:pPr>
    </w:lvl>
    <w:lvl w:ilvl="8" w:tplc="26223CC0">
      <w:start w:val="1"/>
      <w:numFmt w:val="lowerRoman"/>
      <w:lvlText w:val="%9."/>
      <w:lvlJc w:val="right"/>
      <w:pPr>
        <w:ind w:left="6480" w:hanging="180"/>
      </w:pPr>
    </w:lvl>
  </w:abstractNum>
  <w:abstractNum w:abstractNumId="36" w15:restartNumberingAfterBreak="0">
    <w:nsid w:val="73CD6002"/>
    <w:multiLevelType w:val="hybridMultilevel"/>
    <w:tmpl w:val="C758FD5C"/>
    <w:lvl w:ilvl="0" w:tplc="12D029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0515E"/>
    <w:multiLevelType w:val="hybridMultilevel"/>
    <w:tmpl w:val="CF1853B0"/>
    <w:lvl w:ilvl="0" w:tplc="8952A948">
      <w:start w:val="1"/>
      <w:numFmt w:val="decimal"/>
      <w:lvlText w:val="%1&gt;"/>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8" w15:restartNumberingAfterBreak="0">
    <w:nsid w:val="76463556"/>
    <w:multiLevelType w:val="hybridMultilevel"/>
    <w:tmpl w:val="A7CCEAE4"/>
    <w:lvl w:ilvl="0" w:tplc="FDFC61A6">
      <w:start w:val="23"/>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6324148">
    <w:abstractNumId w:val="34"/>
  </w:num>
  <w:num w:numId="2" w16cid:durableId="444235757">
    <w:abstractNumId w:val="10"/>
  </w:num>
  <w:num w:numId="3" w16cid:durableId="1062558754">
    <w:abstractNumId w:val="11"/>
  </w:num>
  <w:num w:numId="4" w16cid:durableId="388380774">
    <w:abstractNumId w:val="22"/>
  </w:num>
  <w:num w:numId="5" w16cid:durableId="456921151">
    <w:abstractNumId w:val="14"/>
  </w:num>
  <w:num w:numId="6" w16cid:durableId="672955599">
    <w:abstractNumId w:val="28"/>
  </w:num>
  <w:num w:numId="7" w16cid:durableId="160582341">
    <w:abstractNumId w:val="24"/>
  </w:num>
  <w:num w:numId="8" w16cid:durableId="1601377893">
    <w:abstractNumId w:val="31"/>
  </w:num>
  <w:num w:numId="9" w16cid:durableId="1977444741">
    <w:abstractNumId w:val="23"/>
  </w:num>
  <w:num w:numId="10" w16cid:durableId="209851960">
    <w:abstractNumId w:val="21"/>
  </w:num>
  <w:num w:numId="11" w16cid:durableId="953051511">
    <w:abstractNumId w:val="15"/>
  </w:num>
  <w:num w:numId="12" w16cid:durableId="964239029">
    <w:abstractNumId w:val="17"/>
  </w:num>
  <w:num w:numId="13" w16cid:durableId="2040466817">
    <w:abstractNumId w:val="13"/>
  </w:num>
  <w:num w:numId="14" w16cid:durableId="282618982">
    <w:abstractNumId w:val="18"/>
  </w:num>
  <w:num w:numId="15" w16cid:durableId="444809428">
    <w:abstractNumId w:val="39"/>
  </w:num>
  <w:num w:numId="16" w16cid:durableId="1727757915">
    <w:abstractNumId w:val="25"/>
  </w:num>
  <w:num w:numId="17" w16cid:durableId="913704941">
    <w:abstractNumId w:val="6"/>
  </w:num>
  <w:num w:numId="18" w16cid:durableId="1626086115">
    <w:abstractNumId w:val="3"/>
  </w:num>
  <w:num w:numId="19" w16cid:durableId="1066143808">
    <w:abstractNumId w:val="2"/>
  </w:num>
  <w:num w:numId="20" w16cid:durableId="363949779">
    <w:abstractNumId w:val="38"/>
  </w:num>
  <w:num w:numId="21" w16cid:durableId="427585877">
    <w:abstractNumId w:val="7"/>
  </w:num>
  <w:num w:numId="22" w16cid:durableId="975989797">
    <w:abstractNumId w:val="33"/>
  </w:num>
  <w:num w:numId="23" w16cid:durableId="1804733983">
    <w:abstractNumId w:val="19"/>
  </w:num>
  <w:num w:numId="24" w16cid:durableId="1035077709">
    <w:abstractNumId w:val="16"/>
  </w:num>
  <w:num w:numId="25" w16cid:durableId="118031846">
    <w:abstractNumId w:val="9"/>
  </w:num>
  <w:num w:numId="26" w16cid:durableId="826166597">
    <w:abstractNumId w:val="4"/>
  </w:num>
  <w:num w:numId="27" w16cid:durableId="648438335">
    <w:abstractNumId w:val="29"/>
  </w:num>
  <w:num w:numId="28" w16cid:durableId="1870945493">
    <w:abstractNumId w:val="32"/>
  </w:num>
  <w:num w:numId="29" w16cid:durableId="1986158830">
    <w:abstractNumId w:val="27"/>
  </w:num>
  <w:num w:numId="30" w16cid:durableId="1614748805">
    <w:abstractNumId w:val="5"/>
  </w:num>
  <w:num w:numId="31" w16cid:durableId="1525752400">
    <w:abstractNumId w:val="26"/>
  </w:num>
  <w:num w:numId="32" w16cid:durableId="1704018981">
    <w:abstractNumId w:val="36"/>
  </w:num>
  <w:num w:numId="33" w16cid:durableId="1120758325">
    <w:abstractNumId w:val="37"/>
  </w:num>
  <w:num w:numId="34" w16cid:durableId="911546483">
    <w:abstractNumId w:val="8"/>
  </w:num>
  <w:num w:numId="35" w16cid:durableId="187183527">
    <w:abstractNumId w:val="1"/>
  </w:num>
  <w:num w:numId="36" w16cid:durableId="2032144449">
    <w:abstractNumId w:val="12"/>
  </w:num>
  <w:num w:numId="37" w16cid:durableId="1674802353">
    <w:abstractNumId w:val="20"/>
  </w:num>
  <w:num w:numId="38" w16cid:durableId="773861285">
    <w:abstractNumId w:val="0"/>
  </w:num>
  <w:num w:numId="39" w16cid:durableId="1172647661">
    <w:abstractNumId w:val="35"/>
  </w:num>
  <w:num w:numId="40" w16cid:durableId="2464303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2704"/>
    <w:rsid w:val="00007287"/>
    <w:rsid w:val="00010DEA"/>
    <w:rsid w:val="000123D6"/>
    <w:rsid w:val="00012541"/>
    <w:rsid w:val="000139F2"/>
    <w:rsid w:val="000146B4"/>
    <w:rsid w:val="000153D2"/>
    <w:rsid w:val="0001548D"/>
    <w:rsid w:val="000156BD"/>
    <w:rsid w:val="00021306"/>
    <w:rsid w:val="00021730"/>
    <w:rsid w:val="00025E6A"/>
    <w:rsid w:val="00026833"/>
    <w:rsid w:val="00032F14"/>
    <w:rsid w:val="000354CA"/>
    <w:rsid w:val="00036154"/>
    <w:rsid w:val="00036CDF"/>
    <w:rsid w:val="00037AB2"/>
    <w:rsid w:val="00041117"/>
    <w:rsid w:val="00043689"/>
    <w:rsid w:val="00043D8F"/>
    <w:rsid w:val="0004518D"/>
    <w:rsid w:val="000518F3"/>
    <w:rsid w:val="00051C86"/>
    <w:rsid w:val="00053A3D"/>
    <w:rsid w:val="00054AC0"/>
    <w:rsid w:val="00056959"/>
    <w:rsid w:val="00060BE8"/>
    <w:rsid w:val="0006535B"/>
    <w:rsid w:val="000655C9"/>
    <w:rsid w:val="00065C93"/>
    <w:rsid w:val="00067266"/>
    <w:rsid w:val="0006787E"/>
    <w:rsid w:val="00067C51"/>
    <w:rsid w:val="000701F8"/>
    <w:rsid w:val="0007094E"/>
    <w:rsid w:val="00070FDE"/>
    <w:rsid w:val="000715E6"/>
    <w:rsid w:val="00071756"/>
    <w:rsid w:val="00073390"/>
    <w:rsid w:val="0007399D"/>
    <w:rsid w:val="00073A3C"/>
    <w:rsid w:val="000778C5"/>
    <w:rsid w:val="00077AFE"/>
    <w:rsid w:val="00080BC8"/>
    <w:rsid w:val="0008331D"/>
    <w:rsid w:val="00083633"/>
    <w:rsid w:val="000854BB"/>
    <w:rsid w:val="00085FFA"/>
    <w:rsid w:val="00087BAB"/>
    <w:rsid w:val="000901FC"/>
    <w:rsid w:val="0009030E"/>
    <w:rsid w:val="00093294"/>
    <w:rsid w:val="000974CF"/>
    <w:rsid w:val="000A063A"/>
    <w:rsid w:val="000A2AF6"/>
    <w:rsid w:val="000A5646"/>
    <w:rsid w:val="000A5BF4"/>
    <w:rsid w:val="000B2297"/>
    <w:rsid w:val="000B473B"/>
    <w:rsid w:val="000B773C"/>
    <w:rsid w:val="000C0927"/>
    <w:rsid w:val="000C5169"/>
    <w:rsid w:val="000C5E07"/>
    <w:rsid w:val="000C6CAB"/>
    <w:rsid w:val="000D141F"/>
    <w:rsid w:val="000D3F0D"/>
    <w:rsid w:val="000D4B06"/>
    <w:rsid w:val="000D5289"/>
    <w:rsid w:val="000D768E"/>
    <w:rsid w:val="000E431D"/>
    <w:rsid w:val="000E4E2A"/>
    <w:rsid w:val="000E5EBF"/>
    <w:rsid w:val="000E7E9F"/>
    <w:rsid w:val="000E7FFA"/>
    <w:rsid w:val="000F126A"/>
    <w:rsid w:val="000F19CA"/>
    <w:rsid w:val="000F1E3B"/>
    <w:rsid w:val="000F35F9"/>
    <w:rsid w:val="000F5D26"/>
    <w:rsid w:val="000F7DED"/>
    <w:rsid w:val="00100B90"/>
    <w:rsid w:val="00102AC8"/>
    <w:rsid w:val="00112330"/>
    <w:rsid w:val="00116BDD"/>
    <w:rsid w:val="00117491"/>
    <w:rsid w:val="00117FF7"/>
    <w:rsid w:val="0012039A"/>
    <w:rsid w:val="00127CC7"/>
    <w:rsid w:val="001316F9"/>
    <w:rsid w:val="001338A4"/>
    <w:rsid w:val="001341C8"/>
    <w:rsid w:val="001406E9"/>
    <w:rsid w:val="00140974"/>
    <w:rsid w:val="00140D28"/>
    <w:rsid w:val="00140EB0"/>
    <w:rsid w:val="00141CD7"/>
    <w:rsid w:val="001421EA"/>
    <w:rsid w:val="00142F7A"/>
    <w:rsid w:val="00143D0F"/>
    <w:rsid w:val="00145B42"/>
    <w:rsid w:val="001463BF"/>
    <w:rsid w:val="001543D2"/>
    <w:rsid w:val="00154433"/>
    <w:rsid w:val="0015550D"/>
    <w:rsid w:val="00156D12"/>
    <w:rsid w:val="0016133D"/>
    <w:rsid w:val="00162611"/>
    <w:rsid w:val="001648A9"/>
    <w:rsid w:val="00164A8D"/>
    <w:rsid w:val="00165B9F"/>
    <w:rsid w:val="00165E01"/>
    <w:rsid w:val="00172018"/>
    <w:rsid w:val="00174A33"/>
    <w:rsid w:val="001768FF"/>
    <w:rsid w:val="001770FA"/>
    <w:rsid w:val="001806EE"/>
    <w:rsid w:val="0018177C"/>
    <w:rsid w:val="0018243B"/>
    <w:rsid w:val="001825A8"/>
    <w:rsid w:val="00183253"/>
    <w:rsid w:val="00183482"/>
    <w:rsid w:val="00183637"/>
    <w:rsid w:val="00185775"/>
    <w:rsid w:val="00186A47"/>
    <w:rsid w:val="00186F47"/>
    <w:rsid w:val="001905C0"/>
    <w:rsid w:val="00191822"/>
    <w:rsid w:val="00192464"/>
    <w:rsid w:val="001931CE"/>
    <w:rsid w:val="00193A81"/>
    <w:rsid w:val="00194100"/>
    <w:rsid w:val="0019611A"/>
    <w:rsid w:val="001A20C7"/>
    <w:rsid w:val="001A24F1"/>
    <w:rsid w:val="001A30F0"/>
    <w:rsid w:val="001A5E93"/>
    <w:rsid w:val="001A649E"/>
    <w:rsid w:val="001A7770"/>
    <w:rsid w:val="001C187E"/>
    <w:rsid w:val="001C2514"/>
    <w:rsid w:val="001C2780"/>
    <w:rsid w:val="001C2C40"/>
    <w:rsid w:val="001C40AC"/>
    <w:rsid w:val="001C4568"/>
    <w:rsid w:val="001C7FF6"/>
    <w:rsid w:val="001D1043"/>
    <w:rsid w:val="001D19AF"/>
    <w:rsid w:val="001D4FBF"/>
    <w:rsid w:val="001D75C0"/>
    <w:rsid w:val="001D781A"/>
    <w:rsid w:val="001F0E2E"/>
    <w:rsid w:val="001F49FF"/>
    <w:rsid w:val="001F577D"/>
    <w:rsid w:val="001F5835"/>
    <w:rsid w:val="001F65F3"/>
    <w:rsid w:val="00200275"/>
    <w:rsid w:val="002002E4"/>
    <w:rsid w:val="00201203"/>
    <w:rsid w:val="002030E4"/>
    <w:rsid w:val="002042E2"/>
    <w:rsid w:val="002044ED"/>
    <w:rsid w:val="00204525"/>
    <w:rsid w:val="002077B7"/>
    <w:rsid w:val="0021120F"/>
    <w:rsid w:val="0021239C"/>
    <w:rsid w:val="002137D0"/>
    <w:rsid w:val="002165D5"/>
    <w:rsid w:val="00216E05"/>
    <w:rsid w:val="0022217E"/>
    <w:rsid w:val="002259D2"/>
    <w:rsid w:val="00226D88"/>
    <w:rsid w:val="00230170"/>
    <w:rsid w:val="00232135"/>
    <w:rsid w:val="0023331E"/>
    <w:rsid w:val="00235B18"/>
    <w:rsid w:val="002364E7"/>
    <w:rsid w:val="00236697"/>
    <w:rsid w:val="00236849"/>
    <w:rsid w:val="00236E48"/>
    <w:rsid w:val="00240B90"/>
    <w:rsid w:val="002416F9"/>
    <w:rsid w:val="002464A4"/>
    <w:rsid w:val="002466A6"/>
    <w:rsid w:val="0024E25B"/>
    <w:rsid w:val="002508A2"/>
    <w:rsid w:val="002508D3"/>
    <w:rsid w:val="002603FA"/>
    <w:rsid w:val="00262258"/>
    <w:rsid w:val="00264E56"/>
    <w:rsid w:val="00272627"/>
    <w:rsid w:val="00272882"/>
    <w:rsid w:val="002760CB"/>
    <w:rsid w:val="00281D4E"/>
    <w:rsid w:val="0028638E"/>
    <w:rsid w:val="00286546"/>
    <w:rsid w:val="00287D6D"/>
    <w:rsid w:val="0029031C"/>
    <w:rsid w:val="00291FD0"/>
    <w:rsid w:val="002929D7"/>
    <w:rsid w:val="00293574"/>
    <w:rsid w:val="002A2B51"/>
    <w:rsid w:val="002A4C47"/>
    <w:rsid w:val="002A69D6"/>
    <w:rsid w:val="002B2C86"/>
    <w:rsid w:val="002B8011"/>
    <w:rsid w:val="002C4621"/>
    <w:rsid w:val="002C5D3C"/>
    <w:rsid w:val="002D2B8F"/>
    <w:rsid w:val="002D534D"/>
    <w:rsid w:val="002D6938"/>
    <w:rsid w:val="002D7DED"/>
    <w:rsid w:val="002E05E9"/>
    <w:rsid w:val="002E224D"/>
    <w:rsid w:val="002E26CE"/>
    <w:rsid w:val="002F2FF2"/>
    <w:rsid w:val="002F60E1"/>
    <w:rsid w:val="002F6127"/>
    <w:rsid w:val="002F64B8"/>
    <w:rsid w:val="002F7584"/>
    <w:rsid w:val="00303B2B"/>
    <w:rsid w:val="00303F4B"/>
    <w:rsid w:val="003074E5"/>
    <w:rsid w:val="00307FCB"/>
    <w:rsid w:val="003175EC"/>
    <w:rsid w:val="00330A4E"/>
    <w:rsid w:val="003310BE"/>
    <w:rsid w:val="00334055"/>
    <w:rsid w:val="003361EF"/>
    <w:rsid w:val="00336CD7"/>
    <w:rsid w:val="00346BAC"/>
    <w:rsid w:val="00347D18"/>
    <w:rsid w:val="0035053F"/>
    <w:rsid w:val="00352400"/>
    <w:rsid w:val="00352BA6"/>
    <w:rsid w:val="003563F3"/>
    <w:rsid w:val="003633A7"/>
    <w:rsid w:val="00365C2E"/>
    <w:rsid w:val="0036736B"/>
    <w:rsid w:val="00370CAC"/>
    <w:rsid w:val="00370EB9"/>
    <w:rsid w:val="003725C1"/>
    <w:rsid w:val="00377E08"/>
    <w:rsid w:val="00382DDC"/>
    <w:rsid w:val="003855B1"/>
    <w:rsid w:val="003864DE"/>
    <w:rsid w:val="0038672E"/>
    <w:rsid w:val="0039164F"/>
    <w:rsid w:val="003951C8"/>
    <w:rsid w:val="00396840"/>
    <w:rsid w:val="003A0885"/>
    <w:rsid w:val="003A0A07"/>
    <w:rsid w:val="003A2D46"/>
    <w:rsid w:val="003A3AE2"/>
    <w:rsid w:val="003A5358"/>
    <w:rsid w:val="003B1A13"/>
    <w:rsid w:val="003B3B5C"/>
    <w:rsid w:val="003C1690"/>
    <w:rsid w:val="003C20E0"/>
    <w:rsid w:val="003C3326"/>
    <w:rsid w:val="003C711F"/>
    <w:rsid w:val="003C77CD"/>
    <w:rsid w:val="003C7A63"/>
    <w:rsid w:val="003D2865"/>
    <w:rsid w:val="003D4606"/>
    <w:rsid w:val="003D46FC"/>
    <w:rsid w:val="003D55B9"/>
    <w:rsid w:val="003D6BC4"/>
    <w:rsid w:val="003D6D04"/>
    <w:rsid w:val="003E11F4"/>
    <w:rsid w:val="003E7678"/>
    <w:rsid w:val="003E7CA0"/>
    <w:rsid w:val="003F56C5"/>
    <w:rsid w:val="003F6C1E"/>
    <w:rsid w:val="003F70F7"/>
    <w:rsid w:val="0040243C"/>
    <w:rsid w:val="004042A2"/>
    <w:rsid w:val="00406512"/>
    <w:rsid w:val="00412A35"/>
    <w:rsid w:val="004154D6"/>
    <w:rsid w:val="004155CC"/>
    <w:rsid w:val="00415746"/>
    <w:rsid w:val="0041777D"/>
    <w:rsid w:val="00417A58"/>
    <w:rsid w:val="00417CE1"/>
    <w:rsid w:val="00420F66"/>
    <w:rsid w:val="00422BAC"/>
    <w:rsid w:val="0042567D"/>
    <w:rsid w:val="004260BF"/>
    <w:rsid w:val="00430853"/>
    <w:rsid w:val="00430E7F"/>
    <w:rsid w:val="004310B2"/>
    <w:rsid w:val="00431205"/>
    <w:rsid w:val="00431A78"/>
    <w:rsid w:val="0043432E"/>
    <w:rsid w:val="00436DC5"/>
    <w:rsid w:val="00440840"/>
    <w:rsid w:val="00442308"/>
    <w:rsid w:val="00444FE2"/>
    <w:rsid w:val="00445656"/>
    <w:rsid w:val="004457E5"/>
    <w:rsid w:val="00446F50"/>
    <w:rsid w:val="00451E73"/>
    <w:rsid w:val="004525D1"/>
    <w:rsid w:val="00452DC0"/>
    <w:rsid w:val="00454BEE"/>
    <w:rsid w:val="00456125"/>
    <w:rsid w:val="00457667"/>
    <w:rsid w:val="00457D58"/>
    <w:rsid w:val="004615FD"/>
    <w:rsid w:val="0046260F"/>
    <w:rsid w:val="0046415C"/>
    <w:rsid w:val="00464B4A"/>
    <w:rsid w:val="00464D2A"/>
    <w:rsid w:val="00466E30"/>
    <w:rsid w:val="004725B8"/>
    <w:rsid w:val="00472E25"/>
    <w:rsid w:val="00472EBB"/>
    <w:rsid w:val="004753CD"/>
    <w:rsid w:val="00475930"/>
    <w:rsid w:val="0047641F"/>
    <w:rsid w:val="0047741E"/>
    <w:rsid w:val="00482B75"/>
    <w:rsid w:val="00493A45"/>
    <w:rsid w:val="00495B15"/>
    <w:rsid w:val="00495B64"/>
    <w:rsid w:val="00496626"/>
    <w:rsid w:val="00496F03"/>
    <w:rsid w:val="00497EC2"/>
    <w:rsid w:val="004A05B1"/>
    <w:rsid w:val="004A06A7"/>
    <w:rsid w:val="004A2284"/>
    <w:rsid w:val="004A313F"/>
    <w:rsid w:val="004A5081"/>
    <w:rsid w:val="004A5C71"/>
    <w:rsid w:val="004C42A1"/>
    <w:rsid w:val="004C559F"/>
    <w:rsid w:val="004C5BC4"/>
    <w:rsid w:val="004C5E8C"/>
    <w:rsid w:val="004D0545"/>
    <w:rsid w:val="004D2D77"/>
    <w:rsid w:val="004D2FA1"/>
    <w:rsid w:val="004D7F8B"/>
    <w:rsid w:val="004E1449"/>
    <w:rsid w:val="004E2E9E"/>
    <w:rsid w:val="004E4892"/>
    <w:rsid w:val="004E7E5C"/>
    <w:rsid w:val="004F1367"/>
    <w:rsid w:val="004F151B"/>
    <w:rsid w:val="004F534F"/>
    <w:rsid w:val="004F60EE"/>
    <w:rsid w:val="004F6ADB"/>
    <w:rsid w:val="00500A9D"/>
    <w:rsid w:val="00503ABD"/>
    <w:rsid w:val="0050479F"/>
    <w:rsid w:val="00504A79"/>
    <w:rsid w:val="005056E8"/>
    <w:rsid w:val="005067A4"/>
    <w:rsid w:val="005069D7"/>
    <w:rsid w:val="00515E32"/>
    <w:rsid w:val="00524EAC"/>
    <w:rsid w:val="00526120"/>
    <w:rsid w:val="00526D1C"/>
    <w:rsid w:val="00530039"/>
    <w:rsid w:val="0053148F"/>
    <w:rsid w:val="00531A17"/>
    <w:rsid w:val="00531ADC"/>
    <w:rsid w:val="0053469A"/>
    <w:rsid w:val="00535E2D"/>
    <w:rsid w:val="00540A79"/>
    <w:rsid w:val="00540D35"/>
    <w:rsid w:val="00545491"/>
    <w:rsid w:val="005463ED"/>
    <w:rsid w:val="0054659A"/>
    <w:rsid w:val="0054714A"/>
    <w:rsid w:val="00550841"/>
    <w:rsid w:val="0055147D"/>
    <w:rsid w:val="00551801"/>
    <w:rsid w:val="00551C59"/>
    <w:rsid w:val="00552938"/>
    <w:rsid w:val="00552BDD"/>
    <w:rsid w:val="00552C0A"/>
    <w:rsid w:val="00554A03"/>
    <w:rsid w:val="00557BC5"/>
    <w:rsid w:val="00562D0A"/>
    <w:rsid w:val="00563885"/>
    <w:rsid w:val="00566082"/>
    <w:rsid w:val="00567BA0"/>
    <w:rsid w:val="005701F7"/>
    <w:rsid w:val="005711C8"/>
    <w:rsid w:val="00572087"/>
    <w:rsid w:val="00572F35"/>
    <w:rsid w:val="00574272"/>
    <w:rsid w:val="00576859"/>
    <w:rsid w:val="005838E3"/>
    <w:rsid w:val="00584313"/>
    <w:rsid w:val="00585957"/>
    <w:rsid w:val="00585E38"/>
    <w:rsid w:val="00586549"/>
    <w:rsid w:val="005867A6"/>
    <w:rsid w:val="00586A6E"/>
    <w:rsid w:val="00587186"/>
    <w:rsid w:val="00590146"/>
    <w:rsid w:val="00590857"/>
    <w:rsid w:val="00592483"/>
    <w:rsid w:val="0059262A"/>
    <w:rsid w:val="00595051"/>
    <w:rsid w:val="00596B20"/>
    <w:rsid w:val="00597819"/>
    <w:rsid w:val="005A0E79"/>
    <w:rsid w:val="005A0FB7"/>
    <w:rsid w:val="005A13F6"/>
    <w:rsid w:val="005A21FC"/>
    <w:rsid w:val="005A30D7"/>
    <w:rsid w:val="005A4610"/>
    <w:rsid w:val="005A4674"/>
    <w:rsid w:val="005A6A0B"/>
    <w:rsid w:val="005B19F6"/>
    <w:rsid w:val="005B1A08"/>
    <w:rsid w:val="005B23F7"/>
    <w:rsid w:val="005B3071"/>
    <w:rsid w:val="005B31DF"/>
    <w:rsid w:val="005B6F76"/>
    <w:rsid w:val="005B7A22"/>
    <w:rsid w:val="005C1522"/>
    <w:rsid w:val="005C266C"/>
    <w:rsid w:val="005C6170"/>
    <w:rsid w:val="005D0116"/>
    <w:rsid w:val="005D2EBE"/>
    <w:rsid w:val="005D3DFF"/>
    <w:rsid w:val="005D470B"/>
    <w:rsid w:val="005D4C12"/>
    <w:rsid w:val="005D51C9"/>
    <w:rsid w:val="005D5AD0"/>
    <w:rsid w:val="005D60E5"/>
    <w:rsid w:val="005D705A"/>
    <w:rsid w:val="005D739C"/>
    <w:rsid w:val="005D7900"/>
    <w:rsid w:val="005E18BC"/>
    <w:rsid w:val="005E5E0B"/>
    <w:rsid w:val="005E70C8"/>
    <w:rsid w:val="005E73BF"/>
    <w:rsid w:val="005F2582"/>
    <w:rsid w:val="005F466E"/>
    <w:rsid w:val="005F7D03"/>
    <w:rsid w:val="0060043E"/>
    <w:rsid w:val="00600A11"/>
    <w:rsid w:val="006044C3"/>
    <w:rsid w:val="00607FA2"/>
    <w:rsid w:val="00610889"/>
    <w:rsid w:val="00612080"/>
    <w:rsid w:val="006132DB"/>
    <w:rsid w:val="00613533"/>
    <w:rsid w:val="0061709B"/>
    <w:rsid w:val="00620D83"/>
    <w:rsid w:val="00621D65"/>
    <w:rsid w:val="00622087"/>
    <w:rsid w:val="00625149"/>
    <w:rsid w:val="0062724E"/>
    <w:rsid w:val="0063107F"/>
    <w:rsid w:val="00631310"/>
    <w:rsid w:val="00631DCE"/>
    <w:rsid w:val="00634CC9"/>
    <w:rsid w:val="00635314"/>
    <w:rsid w:val="00635998"/>
    <w:rsid w:val="00640AE5"/>
    <w:rsid w:val="00641F0D"/>
    <w:rsid w:val="00643EE4"/>
    <w:rsid w:val="00644AB9"/>
    <w:rsid w:val="00645F0F"/>
    <w:rsid w:val="00647864"/>
    <w:rsid w:val="00647BB8"/>
    <w:rsid w:val="00651E47"/>
    <w:rsid w:val="00652B39"/>
    <w:rsid w:val="00653701"/>
    <w:rsid w:val="006557F5"/>
    <w:rsid w:val="00655DDB"/>
    <w:rsid w:val="0065603B"/>
    <w:rsid w:val="006620D3"/>
    <w:rsid w:val="006716FD"/>
    <w:rsid w:val="0067282C"/>
    <w:rsid w:val="00672F80"/>
    <w:rsid w:val="0067385F"/>
    <w:rsid w:val="0067625E"/>
    <w:rsid w:val="00676311"/>
    <w:rsid w:val="00676F04"/>
    <w:rsid w:val="00680695"/>
    <w:rsid w:val="00681BE1"/>
    <w:rsid w:val="00685983"/>
    <w:rsid w:val="006877C1"/>
    <w:rsid w:val="00687F00"/>
    <w:rsid w:val="00695B1C"/>
    <w:rsid w:val="006971D5"/>
    <w:rsid w:val="006A5648"/>
    <w:rsid w:val="006A7844"/>
    <w:rsid w:val="006B066A"/>
    <w:rsid w:val="006B1760"/>
    <w:rsid w:val="006B49D7"/>
    <w:rsid w:val="006B71A4"/>
    <w:rsid w:val="006C0A5E"/>
    <w:rsid w:val="006C669F"/>
    <w:rsid w:val="006D032C"/>
    <w:rsid w:val="006D20F7"/>
    <w:rsid w:val="006D27CE"/>
    <w:rsid w:val="006D43A7"/>
    <w:rsid w:val="006E0571"/>
    <w:rsid w:val="006E217B"/>
    <w:rsid w:val="006E22AB"/>
    <w:rsid w:val="006E5062"/>
    <w:rsid w:val="006E713E"/>
    <w:rsid w:val="006E7450"/>
    <w:rsid w:val="006F0D98"/>
    <w:rsid w:val="006F403D"/>
    <w:rsid w:val="006F4072"/>
    <w:rsid w:val="0070426E"/>
    <w:rsid w:val="0070754A"/>
    <w:rsid w:val="00712DB6"/>
    <w:rsid w:val="0071560F"/>
    <w:rsid w:val="00720AA3"/>
    <w:rsid w:val="00721975"/>
    <w:rsid w:val="007238D7"/>
    <w:rsid w:val="00723AC6"/>
    <w:rsid w:val="00726B06"/>
    <w:rsid w:val="0073005B"/>
    <w:rsid w:val="007328EA"/>
    <w:rsid w:val="00734F12"/>
    <w:rsid w:val="00735109"/>
    <w:rsid w:val="00736028"/>
    <w:rsid w:val="007376C4"/>
    <w:rsid w:val="00737CEF"/>
    <w:rsid w:val="0074077F"/>
    <w:rsid w:val="00745009"/>
    <w:rsid w:val="00745692"/>
    <w:rsid w:val="0074757C"/>
    <w:rsid w:val="0075323B"/>
    <w:rsid w:val="00753F16"/>
    <w:rsid w:val="0075470E"/>
    <w:rsid w:val="00754F72"/>
    <w:rsid w:val="00755E2E"/>
    <w:rsid w:val="00760F70"/>
    <w:rsid w:val="00762426"/>
    <w:rsid w:val="00762B0A"/>
    <w:rsid w:val="00762F36"/>
    <w:rsid w:val="00764AAE"/>
    <w:rsid w:val="00765D73"/>
    <w:rsid w:val="00767F23"/>
    <w:rsid w:val="00770A08"/>
    <w:rsid w:val="00776DF2"/>
    <w:rsid w:val="00777591"/>
    <w:rsid w:val="00777FB2"/>
    <w:rsid w:val="007807BF"/>
    <w:rsid w:val="007878AD"/>
    <w:rsid w:val="00792369"/>
    <w:rsid w:val="007967F1"/>
    <w:rsid w:val="00797952"/>
    <w:rsid w:val="00797D0E"/>
    <w:rsid w:val="007A3235"/>
    <w:rsid w:val="007A66B6"/>
    <w:rsid w:val="007A6F94"/>
    <w:rsid w:val="007A6FBD"/>
    <w:rsid w:val="007A7307"/>
    <w:rsid w:val="007B0F06"/>
    <w:rsid w:val="007B1C86"/>
    <w:rsid w:val="007B1D9E"/>
    <w:rsid w:val="007B2EBE"/>
    <w:rsid w:val="007B6477"/>
    <w:rsid w:val="007B657C"/>
    <w:rsid w:val="007B6A3E"/>
    <w:rsid w:val="007C052C"/>
    <w:rsid w:val="007C275C"/>
    <w:rsid w:val="007C68F0"/>
    <w:rsid w:val="007C769B"/>
    <w:rsid w:val="007D31E7"/>
    <w:rsid w:val="007D3E8C"/>
    <w:rsid w:val="007D3FA5"/>
    <w:rsid w:val="007E2C4F"/>
    <w:rsid w:val="007E2D97"/>
    <w:rsid w:val="007E4F90"/>
    <w:rsid w:val="007E52AC"/>
    <w:rsid w:val="007E7793"/>
    <w:rsid w:val="007E7DD8"/>
    <w:rsid w:val="007F1D97"/>
    <w:rsid w:val="007F2B25"/>
    <w:rsid w:val="007F690A"/>
    <w:rsid w:val="00800788"/>
    <w:rsid w:val="00801F23"/>
    <w:rsid w:val="008032E6"/>
    <w:rsid w:val="00804BD1"/>
    <w:rsid w:val="0080538F"/>
    <w:rsid w:val="0080723E"/>
    <w:rsid w:val="00813C59"/>
    <w:rsid w:val="008162DF"/>
    <w:rsid w:val="008218B1"/>
    <w:rsid w:val="008235A5"/>
    <w:rsid w:val="00824098"/>
    <w:rsid w:val="00825047"/>
    <w:rsid w:val="008259DD"/>
    <w:rsid w:val="00830FD9"/>
    <w:rsid w:val="0083191D"/>
    <w:rsid w:val="00832762"/>
    <w:rsid w:val="00834C09"/>
    <w:rsid w:val="00835945"/>
    <w:rsid w:val="00835A7E"/>
    <w:rsid w:val="008362A5"/>
    <w:rsid w:val="0084090B"/>
    <w:rsid w:val="00842B2E"/>
    <w:rsid w:val="00843636"/>
    <w:rsid w:val="00846776"/>
    <w:rsid w:val="008469C4"/>
    <w:rsid w:val="0084738B"/>
    <w:rsid w:val="00847934"/>
    <w:rsid w:val="00851CE6"/>
    <w:rsid w:val="008520F3"/>
    <w:rsid w:val="0085278B"/>
    <w:rsid w:val="00855B95"/>
    <w:rsid w:val="008568C0"/>
    <w:rsid w:val="00856919"/>
    <w:rsid w:val="008575C4"/>
    <w:rsid w:val="00857BE9"/>
    <w:rsid w:val="008621F2"/>
    <w:rsid w:val="00863B21"/>
    <w:rsid w:val="008669A1"/>
    <w:rsid w:val="0087022A"/>
    <w:rsid w:val="008718C3"/>
    <w:rsid w:val="00873079"/>
    <w:rsid w:val="008733DA"/>
    <w:rsid w:val="00875EE9"/>
    <w:rsid w:val="00877212"/>
    <w:rsid w:val="00877F38"/>
    <w:rsid w:val="00884551"/>
    <w:rsid w:val="00884B8D"/>
    <w:rsid w:val="00887442"/>
    <w:rsid w:val="008909D3"/>
    <w:rsid w:val="00891657"/>
    <w:rsid w:val="00894ACC"/>
    <w:rsid w:val="00895161"/>
    <w:rsid w:val="00895532"/>
    <w:rsid w:val="00895661"/>
    <w:rsid w:val="00896A29"/>
    <w:rsid w:val="008A7BD7"/>
    <w:rsid w:val="008B1D8E"/>
    <w:rsid w:val="008B7507"/>
    <w:rsid w:val="008B7F44"/>
    <w:rsid w:val="008C02FE"/>
    <w:rsid w:val="008C14BC"/>
    <w:rsid w:val="008C18A7"/>
    <w:rsid w:val="008C2ACD"/>
    <w:rsid w:val="008C69B4"/>
    <w:rsid w:val="008C735A"/>
    <w:rsid w:val="008C7D8D"/>
    <w:rsid w:val="008D1FCC"/>
    <w:rsid w:val="008D698D"/>
    <w:rsid w:val="008D7075"/>
    <w:rsid w:val="008E0DCD"/>
    <w:rsid w:val="008E19D7"/>
    <w:rsid w:val="008E2EA0"/>
    <w:rsid w:val="008E65E6"/>
    <w:rsid w:val="008E71E2"/>
    <w:rsid w:val="008F5F7B"/>
    <w:rsid w:val="008F6653"/>
    <w:rsid w:val="008F6A95"/>
    <w:rsid w:val="00903380"/>
    <w:rsid w:val="00903490"/>
    <w:rsid w:val="00903A34"/>
    <w:rsid w:val="00907B16"/>
    <w:rsid w:val="00910CA4"/>
    <w:rsid w:val="00911158"/>
    <w:rsid w:val="00912047"/>
    <w:rsid w:val="009121B9"/>
    <w:rsid w:val="00913C21"/>
    <w:rsid w:val="00914717"/>
    <w:rsid w:val="00916C90"/>
    <w:rsid w:val="00924FE0"/>
    <w:rsid w:val="00925494"/>
    <w:rsid w:val="00925C19"/>
    <w:rsid w:val="00926E1D"/>
    <w:rsid w:val="00927136"/>
    <w:rsid w:val="00930D23"/>
    <w:rsid w:val="009331A9"/>
    <w:rsid w:val="00935039"/>
    <w:rsid w:val="00942139"/>
    <w:rsid w:val="009435F5"/>
    <w:rsid w:val="00944484"/>
    <w:rsid w:val="0094560C"/>
    <w:rsid w:val="00946A77"/>
    <w:rsid w:val="0095541A"/>
    <w:rsid w:val="009560AE"/>
    <w:rsid w:val="00961F60"/>
    <w:rsid w:val="00963014"/>
    <w:rsid w:val="0096442B"/>
    <w:rsid w:val="00965B7A"/>
    <w:rsid w:val="00967FDC"/>
    <w:rsid w:val="00972675"/>
    <w:rsid w:val="00972904"/>
    <w:rsid w:val="009749F1"/>
    <w:rsid w:val="009751F5"/>
    <w:rsid w:val="0097533B"/>
    <w:rsid w:val="0098023A"/>
    <w:rsid w:val="00980598"/>
    <w:rsid w:val="00982273"/>
    <w:rsid w:val="0098440B"/>
    <w:rsid w:val="009859B0"/>
    <w:rsid w:val="009865A4"/>
    <w:rsid w:val="00991749"/>
    <w:rsid w:val="00994C28"/>
    <w:rsid w:val="009967DA"/>
    <w:rsid w:val="009A1894"/>
    <w:rsid w:val="009A2DB3"/>
    <w:rsid w:val="009A4030"/>
    <w:rsid w:val="009A57C1"/>
    <w:rsid w:val="009A626A"/>
    <w:rsid w:val="009B2E20"/>
    <w:rsid w:val="009B4E97"/>
    <w:rsid w:val="009B656C"/>
    <w:rsid w:val="009B7FF8"/>
    <w:rsid w:val="009C1889"/>
    <w:rsid w:val="009C4765"/>
    <w:rsid w:val="009C7F9B"/>
    <w:rsid w:val="009D12B4"/>
    <w:rsid w:val="009D1FF5"/>
    <w:rsid w:val="009D446C"/>
    <w:rsid w:val="009D5BD1"/>
    <w:rsid w:val="009D6339"/>
    <w:rsid w:val="009E3605"/>
    <w:rsid w:val="009E79ED"/>
    <w:rsid w:val="009E7B24"/>
    <w:rsid w:val="009F128B"/>
    <w:rsid w:val="009F3AF0"/>
    <w:rsid w:val="009F4C35"/>
    <w:rsid w:val="00A002E7"/>
    <w:rsid w:val="00A037D8"/>
    <w:rsid w:val="00A04506"/>
    <w:rsid w:val="00A05FC9"/>
    <w:rsid w:val="00A078C9"/>
    <w:rsid w:val="00A1005A"/>
    <w:rsid w:val="00A13DD2"/>
    <w:rsid w:val="00A14D3E"/>
    <w:rsid w:val="00A1563C"/>
    <w:rsid w:val="00A204A1"/>
    <w:rsid w:val="00A23AB5"/>
    <w:rsid w:val="00A273A2"/>
    <w:rsid w:val="00A27411"/>
    <w:rsid w:val="00A279B8"/>
    <w:rsid w:val="00A306FB"/>
    <w:rsid w:val="00A32790"/>
    <w:rsid w:val="00A347BC"/>
    <w:rsid w:val="00A46D04"/>
    <w:rsid w:val="00A46EF5"/>
    <w:rsid w:val="00A47D00"/>
    <w:rsid w:val="00A54F53"/>
    <w:rsid w:val="00A550D1"/>
    <w:rsid w:val="00A551F8"/>
    <w:rsid w:val="00A55ABF"/>
    <w:rsid w:val="00A56617"/>
    <w:rsid w:val="00A615FB"/>
    <w:rsid w:val="00A63C3B"/>
    <w:rsid w:val="00A65BDF"/>
    <w:rsid w:val="00A67F2D"/>
    <w:rsid w:val="00A700D8"/>
    <w:rsid w:val="00A704C1"/>
    <w:rsid w:val="00A74B16"/>
    <w:rsid w:val="00A75F62"/>
    <w:rsid w:val="00A875F7"/>
    <w:rsid w:val="00A87D36"/>
    <w:rsid w:val="00A908B8"/>
    <w:rsid w:val="00A9169A"/>
    <w:rsid w:val="00A91793"/>
    <w:rsid w:val="00A936D8"/>
    <w:rsid w:val="00A9506F"/>
    <w:rsid w:val="00A95463"/>
    <w:rsid w:val="00A95D78"/>
    <w:rsid w:val="00A9622C"/>
    <w:rsid w:val="00AA0759"/>
    <w:rsid w:val="00AA3055"/>
    <w:rsid w:val="00AA549E"/>
    <w:rsid w:val="00AA5E65"/>
    <w:rsid w:val="00AA6617"/>
    <w:rsid w:val="00AB545E"/>
    <w:rsid w:val="00AB6B93"/>
    <w:rsid w:val="00AC1254"/>
    <w:rsid w:val="00AC2811"/>
    <w:rsid w:val="00AC4424"/>
    <w:rsid w:val="00AC5972"/>
    <w:rsid w:val="00AC5B4A"/>
    <w:rsid w:val="00AC5B9B"/>
    <w:rsid w:val="00AC624D"/>
    <w:rsid w:val="00AD0168"/>
    <w:rsid w:val="00AD3579"/>
    <w:rsid w:val="00AD3991"/>
    <w:rsid w:val="00AD3E49"/>
    <w:rsid w:val="00AE5EB2"/>
    <w:rsid w:val="00AE64EE"/>
    <w:rsid w:val="00AF29AD"/>
    <w:rsid w:val="00AF3D9A"/>
    <w:rsid w:val="00AF4A35"/>
    <w:rsid w:val="00AF50F5"/>
    <w:rsid w:val="00AF7496"/>
    <w:rsid w:val="00B00235"/>
    <w:rsid w:val="00B027CE"/>
    <w:rsid w:val="00B038D0"/>
    <w:rsid w:val="00B03C13"/>
    <w:rsid w:val="00B040F4"/>
    <w:rsid w:val="00B06423"/>
    <w:rsid w:val="00B10AC7"/>
    <w:rsid w:val="00B13972"/>
    <w:rsid w:val="00B20687"/>
    <w:rsid w:val="00B215E5"/>
    <w:rsid w:val="00B2472E"/>
    <w:rsid w:val="00B252C4"/>
    <w:rsid w:val="00B26CB3"/>
    <w:rsid w:val="00B33510"/>
    <w:rsid w:val="00B34C61"/>
    <w:rsid w:val="00B362DA"/>
    <w:rsid w:val="00B40053"/>
    <w:rsid w:val="00B460E9"/>
    <w:rsid w:val="00B467CF"/>
    <w:rsid w:val="00B509BA"/>
    <w:rsid w:val="00B55790"/>
    <w:rsid w:val="00B711EB"/>
    <w:rsid w:val="00B7153B"/>
    <w:rsid w:val="00B73167"/>
    <w:rsid w:val="00B73693"/>
    <w:rsid w:val="00B74E00"/>
    <w:rsid w:val="00B76B44"/>
    <w:rsid w:val="00B83397"/>
    <w:rsid w:val="00B85157"/>
    <w:rsid w:val="00B85A80"/>
    <w:rsid w:val="00B902C5"/>
    <w:rsid w:val="00B924CE"/>
    <w:rsid w:val="00B94CC3"/>
    <w:rsid w:val="00BA3323"/>
    <w:rsid w:val="00BA3BE8"/>
    <w:rsid w:val="00BA73A5"/>
    <w:rsid w:val="00BB2629"/>
    <w:rsid w:val="00BB382C"/>
    <w:rsid w:val="00BB5B0C"/>
    <w:rsid w:val="00BB6591"/>
    <w:rsid w:val="00BC1DC8"/>
    <w:rsid w:val="00BC552D"/>
    <w:rsid w:val="00BC578C"/>
    <w:rsid w:val="00BC5D80"/>
    <w:rsid w:val="00BC7E3E"/>
    <w:rsid w:val="00BD001D"/>
    <w:rsid w:val="00BD0AA1"/>
    <w:rsid w:val="00BD126D"/>
    <w:rsid w:val="00BD24F8"/>
    <w:rsid w:val="00BD30F5"/>
    <w:rsid w:val="00BD320B"/>
    <w:rsid w:val="00BE24AB"/>
    <w:rsid w:val="00BE441A"/>
    <w:rsid w:val="00BE46CF"/>
    <w:rsid w:val="00BF0FA2"/>
    <w:rsid w:val="00BF117F"/>
    <w:rsid w:val="00BF1A5E"/>
    <w:rsid w:val="00BF7C66"/>
    <w:rsid w:val="00C05AAB"/>
    <w:rsid w:val="00C07B5D"/>
    <w:rsid w:val="00C1124A"/>
    <w:rsid w:val="00C1157C"/>
    <w:rsid w:val="00C13068"/>
    <w:rsid w:val="00C13FA6"/>
    <w:rsid w:val="00C15DC1"/>
    <w:rsid w:val="00C1678F"/>
    <w:rsid w:val="00C179B9"/>
    <w:rsid w:val="00C22AC7"/>
    <w:rsid w:val="00C238A0"/>
    <w:rsid w:val="00C23E1C"/>
    <w:rsid w:val="00C25420"/>
    <w:rsid w:val="00C25924"/>
    <w:rsid w:val="00C27C13"/>
    <w:rsid w:val="00C31830"/>
    <w:rsid w:val="00C326B2"/>
    <w:rsid w:val="00C36376"/>
    <w:rsid w:val="00C43F8F"/>
    <w:rsid w:val="00C44650"/>
    <w:rsid w:val="00C44A77"/>
    <w:rsid w:val="00C454F5"/>
    <w:rsid w:val="00C5348F"/>
    <w:rsid w:val="00C54545"/>
    <w:rsid w:val="00C5500D"/>
    <w:rsid w:val="00C56AE3"/>
    <w:rsid w:val="00C62C03"/>
    <w:rsid w:val="00C6416E"/>
    <w:rsid w:val="00C649E6"/>
    <w:rsid w:val="00C664C4"/>
    <w:rsid w:val="00C67505"/>
    <w:rsid w:val="00C7308E"/>
    <w:rsid w:val="00C74F16"/>
    <w:rsid w:val="00C755AA"/>
    <w:rsid w:val="00C80781"/>
    <w:rsid w:val="00C8083D"/>
    <w:rsid w:val="00C80CBC"/>
    <w:rsid w:val="00C842D9"/>
    <w:rsid w:val="00C90F89"/>
    <w:rsid w:val="00C9115B"/>
    <w:rsid w:val="00C93B73"/>
    <w:rsid w:val="00C96619"/>
    <w:rsid w:val="00C971AF"/>
    <w:rsid w:val="00CA071B"/>
    <w:rsid w:val="00CA0E31"/>
    <w:rsid w:val="00CA104F"/>
    <w:rsid w:val="00CA27BD"/>
    <w:rsid w:val="00CA73C9"/>
    <w:rsid w:val="00CB40A0"/>
    <w:rsid w:val="00CB6A49"/>
    <w:rsid w:val="00CD059A"/>
    <w:rsid w:val="00CD0C3C"/>
    <w:rsid w:val="00CD5CE6"/>
    <w:rsid w:val="00CD5DC1"/>
    <w:rsid w:val="00CE3D84"/>
    <w:rsid w:val="00CE60E4"/>
    <w:rsid w:val="00CE7054"/>
    <w:rsid w:val="00CF048A"/>
    <w:rsid w:val="00CF1A1B"/>
    <w:rsid w:val="00CF506D"/>
    <w:rsid w:val="00CF7205"/>
    <w:rsid w:val="00D01750"/>
    <w:rsid w:val="00D02431"/>
    <w:rsid w:val="00D03AF1"/>
    <w:rsid w:val="00D1084B"/>
    <w:rsid w:val="00D10F0C"/>
    <w:rsid w:val="00D272A9"/>
    <w:rsid w:val="00D31F0A"/>
    <w:rsid w:val="00D3689B"/>
    <w:rsid w:val="00D37638"/>
    <w:rsid w:val="00D40520"/>
    <w:rsid w:val="00D40CE7"/>
    <w:rsid w:val="00D40DB0"/>
    <w:rsid w:val="00D41088"/>
    <w:rsid w:val="00D4124B"/>
    <w:rsid w:val="00D4251E"/>
    <w:rsid w:val="00D459E0"/>
    <w:rsid w:val="00D504A0"/>
    <w:rsid w:val="00D5052C"/>
    <w:rsid w:val="00D517A2"/>
    <w:rsid w:val="00D520FD"/>
    <w:rsid w:val="00D61F5E"/>
    <w:rsid w:val="00D62BE8"/>
    <w:rsid w:val="00D66F4E"/>
    <w:rsid w:val="00D67431"/>
    <w:rsid w:val="00D70949"/>
    <w:rsid w:val="00D747A1"/>
    <w:rsid w:val="00D74BA3"/>
    <w:rsid w:val="00D76758"/>
    <w:rsid w:val="00D77A44"/>
    <w:rsid w:val="00D77B63"/>
    <w:rsid w:val="00D81665"/>
    <w:rsid w:val="00D84194"/>
    <w:rsid w:val="00D903D8"/>
    <w:rsid w:val="00D9295F"/>
    <w:rsid w:val="00D97A52"/>
    <w:rsid w:val="00D97D65"/>
    <w:rsid w:val="00DA20CF"/>
    <w:rsid w:val="00DA43FD"/>
    <w:rsid w:val="00DA4E0C"/>
    <w:rsid w:val="00DA6411"/>
    <w:rsid w:val="00DA6C98"/>
    <w:rsid w:val="00DA7D8F"/>
    <w:rsid w:val="00DB245F"/>
    <w:rsid w:val="00DB4C54"/>
    <w:rsid w:val="00DC445D"/>
    <w:rsid w:val="00DC4BF6"/>
    <w:rsid w:val="00DC7623"/>
    <w:rsid w:val="00DD11F5"/>
    <w:rsid w:val="00DD21D5"/>
    <w:rsid w:val="00DD71D0"/>
    <w:rsid w:val="00DE1ED5"/>
    <w:rsid w:val="00DE1F61"/>
    <w:rsid w:val="00DE3B18"/>
    <w:rsid w:val="00DE738A"/>
    <w:rsid w:val="00DE7C20"/>
    <w:rsid w:val="00DE7F26"/>
    <w:rsid w:val="00DF0987"/>
    <w:rsid w:val="00DF0A88"/>
    <w:rsid w:val="00DF0E62"/>
    <w:rsid w:val="00DF1AA1"/>
    <w:rsid w:val="00DF1AD0"/>
    <w:rsid w:val="00DF218E"/>
    <w:rsid w:val="00DF2519"/>
    <w:rsid w:val="00DF474A"/>
    <w:rsid w:val="00DF6833"/>
    <w:rsid w:val="00E03239"/>
    <w:rsid w:val="00E033AB"/>
    <w:rsid w:val="00E10248"/>
    <w:rsid w:val="00E15108"/>
    <w:rsid w:val="00E24363"/>
    <w:rsid w:val="00E2581D"/>
    <w:rsid w:val="00E258F5"/>
    <w:rsid w:val="00E25FB6"/>
    <w:rsid w:val="00E26348"/>
    <w:rsid w:val="00E26DE2"/>
    <w:rsid w:val="00E2716E"/>
    <w:rsid w:val="00E27EE3"/>
    <w:rsid w:val="00E30539"/>
    <w:rsid w:val="00E33033"/>
    <w:rsid w:val="00E364F5"/>
    <w:rsid w:val="00E3765F"/>
    <w:rsid w:val="00E433C1"/>
    <w:rsid w:val="00E438F2"/>
    <w:rsid w:val="00E44A18"/>
    <w:rsid w:val="00E44F22"/>
    <w:rsid w:val="00E472C0"/>
    <w:rsid w:val="00E50741"/>
    <w:rsid w:val="00E51137"/>
    <w:rsid w:val="00E51C53"/>
    <w:rsid w:val="00E5240F"/>
    <w:rsid w:val="00E53B98"/>
    <w:rsid w:val="00E55518"/>
    <w:rsid w:val="00E56F90"/>
    <w:rsid w:val="00E648EC"/>
    <w:rsid w:val="00E659AB"/>
    <w:rsid w:val="00E66AE0"/>
    <w:rsid w:val="00E7006C"/>
    <w:rsid w:val="00E7691A"/>
    <w:rsid w:val="00E8427B"/>
    <w:rsid w:val="00E84C87"/>
    <w:rsid w:val="00E854B3"/>
    <w:rsid w:val="00E87A47"/>
    <w:rsid w:val="00E90C47"/>
    <w:rsid w:val="00E91933"/>
    <w:rsid w:val="00E9225D"/>
    <w:rsid w:val="00E93DB6"/>
    <w:rsid w:val="00E93FAE"/>
    <w:rsid w:val="00E979F0"/>
    <w:rsid w:val="00EA04F0"/>
    <w:rsid w:val="00EA1F04"/>
    <w:rsid w:val="00EA24F7"/>
    <w:rsid w:val="00EA2A98"/>
    <w:rsid w:val="00EA6EED"/>
    <w:rsid w:val="00EB123F"/>
    <w:rsid w:val="00EB467C"/>
    <w:rsid w:val="00EB5F35"/>
    <w:rsid w:val="00EB63BD"/>
    <w:rsid w:val="00EC1A6F"/>
    <w:rsid w:val="00EC21DD"/>
    <w:rsid w:val="00EC2A23"/>
    <w:rsid w:val="00EC31C4"/>
    <w:rsid w:val="00EC5F90"/>
    <w:rsid w:val="00ED53B9"/>
    <w:rsid w:val="00ED551A"/>
    <w:rsid w:val="00EE058A"/>
    <w:rsid w:val="00EE3574"/>
    <w:rsid w:val="00EE3616"/>
    <w:rsid w:val="00EE5686"/>
    <w:rsid w:val="00EE710D"/>
    <w:rsid w:val="00EF0CD6"/>
    <w:rsid w:val="00EF12AB"/>
    <w:rsid w:val="00EF2102"/>
    <w:rsid w:val="00EF3ACD"/>
    <w:rsid w:val="00EF4D0C"/>
    <w:rsid w:val="00EF5DB2"/>
    <w:rsid w:val="00EF690A"/>
    <w:rsid w:val="00EF6DF9"/>
    <w:rsid w:val="00EF6EF0"/>
    <w:rsid w:val="00EF76CF"/>
    <w:rsid w:val="00EF7F51"/>
    <w:rsid w:val="00F012CB"/>
    <w:rsid w:val="00F01E85"/>
    <w:rsid w:val="00F03C0E"/>
    <w:rsid w:val="00F0481E"/>
    <w:rsid w:val="00F04B27"/>
    <w:rsid w:val="00F07383"/>
    <w:rsid w:val="00F0741D"/>
    <w:rsid w:val="00F10CE6"/>
    <w:rsid w:val="00F1466F"/>
    <w:rsid w:val="00F15318"/>
    <w:rsid w:val="00F1747C"/>
    <w:rsid w:val="00F176DB"/>
    <w:rsid w:val="00F1790C"/>
    <w:rsid w:val="00F20D37"/>
    <w:rsid w:val="00F21906"/>
    <w:rsid w:val="00F226D8"/>
    <w:rsid w:val="00F227D4"/>
    <w:rsid w:val="00F240A1"/>
    <w:rsid w:val="00F26083"/>
    <w:rsid w:val="00F26EF1"/>
    <w:rsid w:val="00F30B80"/>
    <w:rsid w:val="00F356F6"/>
    <w:rsid w:val="00F37650"/>
    <w:rsid w:val="00F401EA"/>
    <w:rsid w:val="00F42769"/>
    <w:rsid w:val="00F43FE5"/>
    <w:rsid w:val="00F5441B"/>
    <w:rsid w:val="00F55C85"/>
    <w:rsid w:val="00F56367"/>
    <w:rsid w:val="00F56B3F"/>
    <w:rsid w:val="00F57272"/>
    <w:rsid w:val="00F723EA"/>
    <w:rsid w:val="00F776F6"/>
    <w:rsid w:val="00F82EBA"/>
    <w:rsid w:val="00F838E4"/>
    <w:rsid w:val="00F913D3"/>
    <w:rsid w:val="00F91681"/>
    <w:rsid w:val="00F94610"/>
    <w:rsid w:val="00F97BD8"/>
    <w:rsid w:val="00FA0E68"/>
    <w:rsid w:val="00FA3399"/>
    <w:rsid w:val="00FA5721"/>
    <w:rsid w:val="00FA713D"/>
    <w:rsid w:val="00FA7842"/>
    <w:rsid w:val="00FB14F3"/>
    <w:rsid w:val="00FB5ABC"/>
    <w:rsid w:val="00FB5F93"/>
    <w:rsid w:val="00FB6B9A"/>
    <w:rsid w:val="00FB75C9"/>
    <w:rsid w:val="00FC0701"/>
    <w:rsid w:val="00FC1681"/>
    <w:rsid w:val="00FD2DA2"/>
    <w:rsid w:val="00FD3590"/>
    <w:rsid w:val="00FD476A"/>
    <w:rsid w:val="00FD49F2"/>
    <w:rsid w:val="00FD6220"/>
    <w:rsid w:val="00FE1AC5"/>
    <w:rsid w:val="00FE3819"/>
    <w:rsid w:val="00FE4514"/>
    <w:rsid w:val="00FE4F9F"/>
    <w:rsid w:val="00FE7099"/>
    <w:rsid w:val="00FE7493"/>
    <w:rsid w:val="00FF3403"/>
    <w:rsid w:val="00FF3D6F"/>
    <w:rsid w:val="00FF3D9A"/>
    <w:rsid w:val="010471F4"/>
    <w:rsid w:val="0161F56F"/>
    <w:rsid w:val="026FE9A3"/>
    <w:rsid w:val="029D0DC4"/>
    <w:rsid w:val="04C8F0E5"/>
    <w:rsid w:val="05BD4A2D"/>
    <w:rsid w:val="05F751A5"/>
    <w:rsid w:val="06451CCA"/>
    <w:rsid w:val="0699102F"/>
    <w:rsid w:val="06ADC994"/>
    <w:rsid w:val="072BF0E9"/>
    <w:rsid w:val="084B80D6"/>
    <w:rsid w:val="08B5E5FA"/>
    <w:rsid w:val="0906D334"/>
    <w:rsid w:val="09075CF2"/>
    <w:rsid w:val="09F355E6"/>
    <w:rsid w:val="0A137749"/>
    <w:rsid w:val="0AB2FD6E"/>
    <w:rsid w:val="0AFF299B"/>
    <w:rsid w:val="0B2654A5"/>
    <w:rsid w:val="0B2BE9B0"/>
    <w:rsid w:val="0B454D91"/>
    <w:rsid w:val="0B7E0601"/>
    <w:rsid w:val="0C500E98"/>
    <w:rsid w:val="0C72542F"/>
    <w:rsid w:val="0D1451FC"/>
    <w:rsid w:val="0D48B0E6"/>
    <w:rsid w:val="0D64D9EA"/>
    <w:rsid w:val="0ECEC1EC"/>
    <w:rsid w:val="0FBA13AD"/>
    <w:rsid w:val="10336C0C"/>
    <w:rsid w:val="1036AA70"/>
    <w:rsid w:val="1048F6FD"/>
    <w:rsid w:val="1091A4CC"/>
    <w:rsid w:val="1297C514"/>
    <w:rsid w:val="12E5BF51"/>
    <w:rsid w:val="132CA42D"/>
    <w:rsid w:val="13D5602C"/>
    <w:rsid w:val="13DDD290"/>
    <w:rsid w:val="13FE237C"/>
    <w:rsid w:val="1436A30B"/>
    <w:rsid w:val="14A86B3B"/>
    <w:rsid w:val="15048DE5"/>
    <w:rsid w:val="15101035"/>
    <w:rsid w:val="17216A3C"/>
    <w:rsid w:val="17345A0A"/>
    <w:rsid w:val="17356EB3"/>
    <w:rsid w:val="1834AE7E"/>
    <w:rsid w:val="19529385"/>
    <w:rsid w:val="1A2C41E8"/>
    <w:rsid w:val="1A43AFF1"/>
    <w:rsid w:val="1A44588E"/>
    <w:rsid w:val="1A53F1AD"/>
    <w:rsid w:val="1AF9EC9A"/>
    <w:rsid w:val="1B040599"/>
    <w:rsid w:val="1BB17B7C"/>
    <w:rsid w:val="1C0D3DF3"/>
    <w:rsid w:val="1C2CD027"/>
    <w:rsid w:val="1C558FA3"/>
    <w:rsid w:val="1CF46B01"/>
    <w:rsid w:val="1D0B612B"/>
    <w:rsid w:val="1D9AA617"/>
    <w:rsid w:val="1DB092A5"/>
    <w:rsid w:val="1DE2A667"/>
    <w:rsid w:val="1DE4046D"/>
    <w:rsid w:val="1DEDEA26"/>
    <w:rsid w:val="1E357764"/>
    <w:rsid w:val="1E54DC2E"/>
    <w:rsid w:val="1EB30A6C"/>
    <w:rsid w:val="1F3BA7EE"/>
    <w:rsid w:val="1FB9FC9A"/>
    <w:rsid w:val="2097E4E1"/>
    <w:rsid w:val="20F277A8"/>
    <w:rsid w:val="21077CCD"/>
    <w:rsid w:val="21CB660B"/>
    <w:rsid w:val="2265A6DA"/>
    <w:rsid w:val="22948149"/>
    <w:rsid w:val="22DEBE2C"/>
    <w:rsid w:val="22E7C0A4"/>
    <w:rsid w:val="23736A93"/>
    <w:rsid w:val="23B7F908"/>
    <w:rsid w:val="24E341C3"/>
    <w:rsid w:val="25BAC2DC"/>
    <w:rsid w:val="25C1B8D9"/>
    <w:rsid w:val="25E01EAB"/>
    <w:rsid w:val="261B7459"/>
    <w:rsid w:val="263F26D8"/>
    <w:rsid w:val="266ED2C6"/>
    <w:rsid w:val="26DCBB46"/>
    <w:rsid w:val="2702F7A4"/>
    <w:rsid w:val="286BEE36"/>
    <w:rsid w:val="2A306BCB"/>
    <w:rsid w:val="2A4F226A"/>
    <w:rsid w:val="2A5D6959"/>
    <w:rsid w:val="2A903CD1"/>
    <w:rsid w:val="2B6552EA"/>
    <w:rsid w:val="2BB6CE02"/>
    <w:rsid w:val="2CA9E710"/>
    <w:rsid w:val="2CC93B9A"/>
    <w:rsid w:val="2CECDFA9"/>
    <w:rsid w:val="2CFDDE4E"/>
    <w:rsid w:val="2D1F5529"/>
    <w:rsid w:val="2D529983"/>
    <w:rsid w:val="2D58BF0C"/>
    <w:rsid w:val="2D8A3505"/>
    <w:rsid w:val="2DF6E4B7"/>
    <w:rsid w:val="2ECFAE25"/>
    <w:rsid w:val="2F455021"/>
    <w:rsid w:val="2F738B5E"/>
    <w:rsid w:val="2FE4E19C"/>
    <w:rsid w:val="2FF8B16B"/>
    <w:rsid w:val="309E23AC"/>
    <w:rsid w:val="30EC120B"/>
    <w:rsid w:val="31361CAD"/>
    <w:rsid w:val="31640460"/>
    <w:rsid w:val="3181320B"/>
    <w:rsid w:val="31F790C6"/>
    <w:rsid w:val="33304FCB"/>
    <w:rsid w:val="33531EC8"/>
    <w:rsid w:val="336323CE"/>
    <w:rsid w:val="33A6BD5D"/>
    <w:rsid w:val="33E86CB1"/>
    <w:rsid w:val="3469069C"/>
    <w:rsid w:val="34957B1F"/>
    <w:rsid w:val="34FEE8F3"/>
    <w:rsid w:val="354676E8"/>
    <w:rsid w:val="3546AEE3"/>
    <w:rsid w:val="35CD8ACC"/>
    <w:rsid w:val="35D11032"/>
    <w:rsid w:val="367F843D"/>
    <w:rsid w:val="369224C8"/>
    <w:rsid w:val="37EDED8B"/>
    <w:rsid w:val="381FCB19"/>
    <w:rsid w:val="38C44B59"/>
    <w:rsid w:val="39DEBFCC"/>
    <w:rsid w:val="3A552917"/>
    <w:rsid w:val="3A75FA83"/>
    <w:rsid w:val="3A77C5BB"/>
    <w:rsid w:val="3B3E3C5B"/>
    <w:rsid w:val="3B99025E"/>
    <w:rsid w:val="3C297059"/>
    <w:rsid w:val="3C9E08A2"/>
    <w:rsid w:val="3D27CF19"/>
    <w:rsid w:val="3DC2CD06"/>
    <w:rsid w:val="3ED2C55D"/>
    <w:rsid w:val="3EF14BD0"/>
    <w:rsid w:val="401BF2F9"/>
    <w:rsid w:val="419BF7DA"/>
    <w:rsid w:val="4274A34D"/>
    <w:rsid w:val="42DB00B2"/>
    <w:rsid w:val="43BA0820"/>
    <w:rsid w:val="43C29453"/>
    <w:rsid w:val="44B62674"/>
    <w:rsid w:val="450AE38E"/>
    <w:rsid w:val="45D504C0"/>
    <w:rsid w:val="45E8851C"/>
    <w:rsid w:val="4616F595"/>
    <w:rsid w:val="464F12B6"/>
    <w:rsid w:val="468BAF19"/>
    <w:rsid w:val="475CFC3C"/>
    <w:rsid w:val="47847F24"/>
    <w:rsid w:val="47BE2567"/>
    <w:rsid w:val="480A0238"/>
    <w:rsid w:val="484D5CBE"/>
    <w:rsid w:val="4856C916"/>
    <w:rsid w:val="487F3974"/>
    <w:rsid w:val="48E95CA8"/>
    <w:rsid w:val="48F2FD8C"/>
    <w:rsid w:val="4933CCC8"/>
    <w:rsid w:val="4986DE0A"/>
    <w:rsid w:val="4A0CDA4E"/>
    <w:rsid w:val="4A2665B3"/>
    <w:rsid w:val="4A42E7F4"/>
    <w:rsid w:val="4A6CF779"/>
    <w:rsid w:val="4B068115"/>
    <w:rsid w:val="4B6C63A6"/>
    <w:rsid w:val="4B870AD0"/>
    <w:rsid w:val="4BB4AFA2"/>
    <w:rsid w:val="4BC5A426"/>
    <w:rsid w:val="4BF11DDE"/>
    <w:rsid w:val="4CD4CE5E"/>
    <w:rsid w:val="4D1AB83A"/>
    <w:rsid w:val="4DAD0C4D"/>
    <w:rsid w:val="4DB37A4A"/>
    <w:rsid w:val="4E00AE51"/>
    <w:rsid w:val="4ECEF160"/>
    <w:rsid w:val="4ED8964B"/>
    <w:rsid w:val="5022850A"/>
    <w:rsid w:val="51A6CCF4"/>
    <w:rsid w:val="524DE765"/>
    <w:rsid w:val="52BA51BB"/>
    <w:rsid w:val="535D554B"/>
    <w:rsid w:val="54292062"/>
    <w:rsid w:val="5455310E"/>
    <w:rsid w:val="55CC5A23"/>
    <w:rsid w:val="561E6D62"/>
    <w:rsid w:val="56A390FD"/>
    <w:rsid w:val="5715CA66"/>
    <w:rsid w:val="5769DC23"/>
    <w:rsid w:val="57867EEF"/>
    <w:rsid w:val="5790AB99"/>
    <w:rsid w:val="57AF426E"/>
    <w:rsid w:val="57B38C4C"/>
    <w:rsid w:val="57B3B219"/>
    <w:rsid w:val="57FB8A55"/>
    <w:rsid w:val="584D955C"/>
    <w:rsid w:val="5892E884"/>
    <w:rsid w:val="58A49813"/>
    <w:rsid w:val="596FB71D"/>
    <w:rsid w:val="598DDB2D"/>
    <w:rsid w:val="59AA8344"/>
    <w:rsid w:val="5A29BF4D"/>
    <w:rsid w:val="5A748732"/>
    <w:rsid w:val="5A9AD2C7"/>
    <w:rsid w:val="5B01FD1E"/>
    <w:rsid w:val="5C25CC3E"/>
    <w:rsid w:val="5C714760"/>
    <w:rsid w:val="5CA5D605"/>
    <w:rsid w:val="5D14D193"/>
    <w:rsid w:val="5D401376"/>
    <w:rsid w:val="5DFBDD61"/>
    <w:rsid w:val="5E4C8479"/>
    <w:rsid w:val="5EA2B60C"/>
    <w:rsid w:val="5EFB56D0"/>
    <w:rsid w:val="5F38F67C"/>
    <w:rsid w:val="6009BDF7"/>
    <w:rsid w:val="60225C36"/>
    <w:rsid w:val="605C7148"/>
    <w:rsid w:val="61D5DE39"/>
    <w:rsid w:val="6226D0A7"/>
    <w:rsid w:val="6444DDDB"/>
    <w:rsid w:val="64697308"/>
    <w:rsid w:val="64A9E73B"/>
    <w:rsid w:val="64E33AA3"/>
    <w:rsid w:val="6540C9E9"/>
    <w:rsid w:val="656EBFF0"/>
    <w:rsid w:val="658992C7"/>
    <w:rsid w:val="6591F266"/>
    <w:rsid w:val="659F154E"/>
    <w:rsid w:val="65F3A028"/>
    <w:rsid w:val="660883BA"/>
    <w:rsid w:val="67185DD9"/>
    <w:rsid w:val="67952CB8"/>
    <w:rsid w:val="67ABCFC9"/>
    <w:rsid w:val="67C74195"/>
    <w:rsid w:val="686C9D59"/>
    <w:rsid w:val="686E76A0"/>
    <w:rsid w:val="692D5026"/>
    <w:rsid w:val="6937A35B"/>
    <w:rsid w:val="6970CCDA"/>
    <w:rsid w:val="698F6C3B"/>
    <w:rsid w:val="69B228F0"/>
    <w:rsid w:val="6A17FC44"/>
    <w:rsid w:val="6AFC3CB4"/>
    <w:rsid w:val="6B20EA78"/>
    <w:rsid w:val="6B8EDB36"/>
    <w:rsid w:val="6BD14405"/>
    <w:rsid w:val="6DDE4D82"/>
    <w:rsid w:val="6DF8ABA9"/>
    <w:rsid w:val="6EA49071"/>
    <w:rsid w:val="6F2036FC"/>
    <w:rsid w:val="6F7102AB"/>
    <w:rsid w:val="6F8F8221"/>
    <w:rsid w:val="6FA7EDCA"/>
    <w:rsid w:val="709148C4"/>
    <w:rsid w:val="7103A1B9"/>
    <w:rsid w:val="713BC12E"/>
    <w:rsid w:val="72467FE4"/>
    <w:rsid w:val="73A0A6B3"/>
    <w:rsid w:val="73B02CC0"/>
    <w:rsid w:val="73B434B3"/>
    <w:rsid w:val="73ECFCC1"/>
    <w:rsid w:val="747C3EBE"/>
    <w:rsid w:val="749A9BCB"/>
    <w:rsid w:val="74AB6DAB"/>
    <w:rsid w:val="75079C66"/>
    <w:rsid w:val="756065BD"/>
    <w:rsid w:val="756D4062"/>
    <w:rsid w:val="75E5B801"/>
    <w:rsid w:val="76612BC9"/>
    <w:rsid w:val="76710079"/>
    <w:rsid w:val="772A96D0"/>
    <w:rsid w:val="776FB60D"/>
    <w:rsid w:val="7784D5C2"/>
    <w:rsid w:val="78653DB9"/>
    <w:rsid w:val="789E7190"/>
    <w:rsid w:val="78FE2F80"/>
    <w:rsid w:val="790907FB"/>
    <w:rsid w:val="79472F3A"/>
    <w:rsid w:val="796301A4"/>
    <w:rsid w:val="79F66BEC"/>
    <w:rsid w:val="7A40B08B"/>
    <w:rsid w:val="7AD0C903"/>
    <w:rsid w:val="7BC4FA6A"/>
    <w:rsid w:val="7BEBFEC0"/>
    <w:rsid w:val="7C93ACD2"/>
    <w:rsid w:val="7CA635C4"/>
    <w:rsid w:val="7CF223C6"/>
    <w:rsid w:val="7D01C3C6"/>
    <w:rsid w:val="7D411CA5"/>
    <w:rsid w:val="7DE91792"/>
    <w:rsid w:val="7DEFEF7D"/>
    <w:rsid w:val="7DF55A1A"/>
    <w:rsid w:val="7E0D69E2"/>
    <w:rsid w:val="7E56126E"/>
    <w:rsid w:val="7E94D6E9"/>
    <w:rsid w:val="7FE2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A735492A-DC2A-4090-B6A3-8EC491F3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3C9"/>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paragraph" w:customStyle="1" w:styleId="pf0">
    <w:name w:val="pf0"/>
    <w:basedOn w:val="Normal"/>
    <w:rsid w:val="007E4F90"/>
    <w:pPr>
      <w:spacing w:before="100" w:beforeAutospacing="1" w:after="100" w:afterAutospacing="1"/>
    </w:pPr>
    <w:rPr>
      <w:lang w:eastAsia="nl-NL"/>
    </w:rPr>
  </w:style>
  <w:style w:type="character" w:customStyle="1" w:styleId="cf01">
    <w:name w:val="cf01"/>
    <w:basedOn w:val="DefaultParagraphFont"/>
    <w:rsid w:val="007E4F90"/>
    <w:rPr>
      <w:rFonts w:ascii="Segoe UI" w:hAnsi="Segoe UI" w:cs="Segoe UI" w:hint="default"/>
    </w:rPr>
  </w:style>
  <w:style w:type="character" w:customStyle="1" w:styleId="cf21">
    <w:name w:val="cf21"/>
    <w:basedOn w:val="DefaultParagraphFont"/>
    <w:rsid w:val="007E4F90"/>
    <w:rPr>
      <w:rFonts w:ascii="Segoe UI" w:hAnsi="Segoe UI" w:cs="Segoe UI" w:hint="default"/>
      <w:u w:val="single"/>
    </w:rPr>
  </w:style>
  <w:style w:type="paragraph" w:styleId="Revision">
    <w:name w:val="Revision"/>
    <w:hidden/>
    <w:uiPriority w:val="99"/>
    <w:semiHidden/>
    <w:rsid w:val="0035053F"/>
    <w:pPr>
      <w:spacing w:after="0" w:line="240" w:lineRule="auto"/>
    </w:pPr>
    <w:rPr>
      <w:rFonts w:ascii="Calibri" w:hAnsi="Calibri" w:cs="Calibri"/>
      <w:lang w:val="nl-NL"/>
    </w:rPr>
  </w:style>
  <w:style w:type="character" w:styleId="PlaceholderText">
    <w:name w:val="Placeholder Text"/>
    <w:basedOn w:val="DefaultParagraphFont"/>
    <w:uiPriority w:val="99"/>
    <w:semiHidden/>
    <w:rsid w:val="009D446C"/>
    <w:rPr>
      <w:color w:val="666666"/>
    </w:rPr>
  </w:style>
  <w:style w:type="table" w:styleId="TableGrid">
    <w:name w:val="Table Grid"/>
    <w:basedOn w:val="TableNormal"/>
    <w:uiPriority w:val="39"/>
    <w:rsid w:val="00EA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56F6"/>
    <w:rPr>
      <w:color w:val="605E5C"/>
      <w:shd w:val="clear" w:color="auto" w:fill="E1DFDD"/>
    </w:rPr>
  </w:style>
  <w:style w:type="character" w:styleId="FollowedHyperlink">
    <w:name w:val="FollowedHyperlink"/>
    <w:basedOn w:val="DefaultParagraphFont"/>
    <w:uiPriority w:val="99"/>
    <w:semiHidden/>
    <w:unhideWhenUsed/>
    <w:rsid w:val="00E7006C"/>
    <w:rPr>
      <w:color w:val="954F72" w:themeColor="followedHyperlink"/>
      <w:u w:val="single"/>
    </w:rPr>
  </w:style>
  <w:style w:type="character" w:customStyle="1" w:styleId="normaltextrun">
    <w:name w:val="normaltextrun"/>
    <w:basedOn w:val="DefaultParagraphFont"/>
    <w:rsid w:val="00E44F22"/>
  </w:style>
  <w:style w:type="character" w:customStyle="1" w:styleId="spellingerror">
    <w:name w:val="spellingerror"/>
    <w:basedOn w:val="DefaultParagraphFont"/>
    <w:rsid w:val="00E44F22"/>
  </w:style>
  <w:style w:type="paragraph" w:styleId="Subtitle">
    <w:name w:val="Subtitle"/>
    <w:basedOn w:val="Normal"/>
    <w:next w:val="Normal"/>
    <w:link w:val="SubtitleChar"/>
    <w:uiPriority w:val="11"/>
    <w:qFormat/>
    <w:rsid w:val="006728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7282C"/>
    <w:rPr>
      <w:rFonts w:eastAsiaTheme="minorEastAsia"/>
      <w:color w:val="5A5A5A" w:themeColor="text1" w:themeTint="A5"/>
      <w:spacing w:val="15"/>
      <w:lang w:val="en-GB"/>
    </w:rPr>
  </w:style>
  <w:style w:type="paragraph" w:customStyle="1" w:styleId="paragraph">
    <w:name w:val="paragraph"/>
    <w:basedOn w:val="Normal"/>
    <w:rsid w:val="00A75F62"/>
    <w:pPr>
      <w:spacing w:before="100" w:beforeAutospacing="1" w:after="100" w:afterAutospacing="1"/>
    </w:pPr>
    <w:rPr>
      <w:rFonts w:ascii="Times New Roman" w:eastAsia="Times New Roman" w:hAnsi="Times New Roman" w:cs="Times New Roman"/>
      <w:sz w:val="24"/>
      <w:szCs w:val="24"/>
      <w:lang w:val="en-US"/>
    </w:rPr>
  </w:style>
  <w:style w:type="character" w:customStyle="1" w:styleId="eop">
    <w:name w:val="eop"/>
    <w:basedOn w:val="DefaultParagraphFont"/>
    <w:rsid w:val="00A7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335309907">
      <w:bodyDiv w:val="1"/>
      <w:marLeft w:val="0"/>
      <w:marRight w:val="0"/>
      <w:marTop w:val="0"/>
      <w:marBottom w:val="0"/>
      <w:divBdr>
        <w:top w:val="none" w:sz="0" w:space="0" w:color="auto"/>
        <w:left w:val="none" w:sz="0" w:space="0" w:color="auto"/>
        <w:bottom w:val="none" w:sz="0" w:space="0" w:color="auto"/>
        <w:right w:val="none" w:sz="0" w:space="0" w:color="auto"/>
      </w:divBdr>
    </w:div>
    <w:div w:id="559942143">
      <w:bodyDiv w:val="1"/>
      <w:marLeft w:val="0"/>
      <w:marRight w:val="0"/>
      <w:marTop w:val="0"/>
      <w:marBottom w:val="0"/>
      <w:divBdr>
        <w:top w:val="none" w:sz="0" w:space="0" w:color="auto"/>
        <w:left w:val="none" w:sz="0" w:space="0" w:color="auto"/>
        <w:bottom w:val="none" w:sz="0" w:space="0" w:color="auto"/>
        <w:right w:val="none" w:sz="0" w:space="0" w:color="auto"/>
      </w:divBdr>
    </w:div>
    <w:div w:id="604387000">
      <w:bodyDiv w:val="1"/>
      <w:marLeft w:val="0"/>
      <w:marRight w:val="0"/>
      <w:marTop w:val="0"/>
      <w:marBottom w:val="0"/>
      <w:divBdr>
        <w:top w:val="none" w:sz="0" w:space="0" w:color="auto"/>
        <w:left w:val="none" w:sz="0" w:space="0" w:color="auto"/>
        <w:bottom w:val="none" w:sz="0" w:space="0" w:color="auto"/>
        <w:right w:val="none" w:sz="0" w:space="0" w:color="auto"/>
      </w:divBdr>
      <w:divsChild>
        <w:div w:id="1203714807">
          <w:marLeft w:val="0"/>
          <w:marRight w:val="0"/>
          <w:marTop w:val="0"/>
          <w:marBottom w:val="0"/>
          <w:divBdr>
            <w:top w:val="none" w:sz="0" w:space="0" w:color="auto"/>
            <w:left w:val="none" w:sz="0" w:space="0" w:color="auto"/>
            <w:bottom w:val="none" w:sz="0" w:space="0" w:color="auto"/>
            <w:right w:val="none" w:sz="0" w:space="0" w:color="auto"/>
          </w:divBdr>
        </w:div>
        <w:div w:id="1699311582">
          <w:marLeft w:val="0"/>
          <w:marRight w:val="0"/>
          <w:marTop w:val="0"/>
          <w:marBottom w:val="0"/>
          <w:divBdr>
            <w:top w:val="none" w:sz="0" w:space="0" w:color="auto"/>
            <w:left w:val="none" w:sz="0" w:space="0" w:color="auto"/>
            <w:bottom w:val="none" w:sz="0" w:space="0" w:color="auto"/>
            <w:right w:val="none" w:sz="0" w:space="0" w:color="auto"/>
          </w:divBdr>
        </w:div>
      </w:divsChild>
    </w:div>
    <w:div w:id="643896204">
      <w:bodyDiv w:val="1"/>
      <w:marLeft w:val="0"/>
      <w:marRight w:val="0"/>
      <w:marTop w:val="0"/>
      <w:marBottom w:val="0"/>
      <w:divBdr>
        <w:top w:val="none" w:sz="0" w:space="0" w:color="auto"/>
        <w:left w:val="none" w:sz="0" w:space="0" w:color="auto"/>
        <w:bottom w:val="none" w:sz="0" w:space="0" w:color="auto"/>
        <w:right w:val="none" w:sz="0" w:space="0" w:color="auto"/>
      </w:divBdr>
    </w:div>
    <w:div w:id="784234645">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873541269">
      <w:bodyDiv w:val="1"/>
      <w:marLeft w:val="0"/>
      <w:marRight w:val="0"/>
      <w:marTop w:val="0"/>
      <w:marBottom w:val="0"/>
      <w:divBdr>
        <w:top w:val="none" w:sz="0" w:space="0" w:color="auto"/>
        <w:left w:val="none" w:sz="0" w:space="0" w:color="auto"/>
        <w:bottom w:val="none" w:sz="0" w:space="0" w:color="auto"/>
        <w:right w:val="none" w:sz="0" w:space="0" w:color="auto"/>
      </w:divBdr>
    </w:div>
    <w:div w:id="967852944">
      <w:bodyDiv w:val="1"/>
      <w:marLeft w:val="0"/>
      <w:marRight w:val="0"/>
      <w:marTop w:val="0"/>
      <w:marBottom w:val="0"/>
      <w:divBdr>
        <w:top w:val="none" w:sz="0" w:space="0" w:color="auto"/>
        <w:left w:val="none" w:sz="0" w:space="0" w:color="auto"/>
        <w:bottom w:val="none" w:sz="0" w:space="0" w:color="auto"/>
        <w:right w:val="none" w:sz="0" w:space="0" w:color="auto"/>
      </w:divBdr>
    </w:div>
    <w:div w:id="1057389215">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198663045">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317958808">
      <w:bodyDiv w:val="1"/>
      <w:marLeft w:val="0"/>
      <w:marRight w:val="0"/>
      <w:marTop w:val="0"/>
      <w:marBottom w:val="0"/>
      <w:divBdr>
        <w:top w:val="none" w:sz="0" w:space="0" w:color="auto"/>
        <w:left w:val="none" w:sz="0" w:space="0" w:color="auto"/>
        <w:bottom w:val="none" w:sz="0" w:space="0" w:color="auto"/>
        <w:right w:val="none" w:sz="0" w:space="0" w:color="auto"/>
      </w:divBdr>
    </w:div>
    <w:div w:id="1350259034">
      <w:bodyDiv w:val="1"/>
      <w:marLeft w:val="0"/>
      <w:marRight w:val="0"/>
      <w:marTop w:val="0"/>
      <w:marBottom w:val="0"/>
      <w:divBdr>
        <w:top w:val="none" w:sz="0" w:space="0" w:color="auto"/>
        <w:left w:val="none" w:sz="0" w:space="0" w:color="auto"/>
        <w:bottom w:val="none" w:sz="0" w:space="0" w:color="auto"/>
        <w:right w:val="none" w:sz="0" w:space="0" w:color="auto"/>
      </w:divBdr>
    </w:div>
    <w:div w:id="1444769962">
      <w:bodyDiv w:val="1"/>
      <w:marLeft w:val="0"/>
      <w:marRight w:val="0"/>
      <w:marTop w:val="0"/>
      <w:marBottom w:val="0"/>
      <w:divBdr>
        <w:top w:val="none" w:sz="0" w:space="0" w:color="auto"/>
        <w:left w:val="none" w:sz="0" w:space="0" w:color="auto"/>
        <w:bottom w:val="none" w:sz="0" w:space="0" w:color="auto"/>
        <w:right w:val="none" w:sz="0" w:space="0" w:color="auto"/>
      </w:divBdr>
    </w:div>
    <w:div w:id="1630937553">
      <w:bodyDiv w:val="1"/>
      <w:marLeft w:val="0"/>
      <w:marRight w:val="0"/>
      <w:marTop w:val="0"/>
      <w:marBottom w:val="0"/>
      <w:divBdr>
        <w:top w:val="none" w:sz="0" w:space="0" w:color="auto"/>
        <w:left w:val="none" w:sz="0" w:space="0" w:color="auto"/>
        <w:bottom w:val="none" w:sz="0" w:space="0" w:color="auto"/>
        <w:right w:val="none" w:sz="0" w:space="0" w:color="auto"/>
      </w:divBdr>
    </w:div>
    <w:div w:id="1704329554">
      <w:bodyDiv w:val="1"/>
      <w:marLeft w:val="0"/>
      <w:marRight w:val="0"/>
      <w:marTop w:val="0"/>
      <w:marBottom w:val="0"/>
      <w:divBdr>
        <w:top w:val="none" w:sz="0" w:space="0" w:color="auto"/>
        <w:left w:val="none" w:sz="0" w:space="0" w:color="auto"/>
        <w:bottom w:val="none" w:sz="0" w:space="0" w:color="auto"/>
        <w:right w:val="none" w:sz="0" w:space="0" w:color="auto"/>
      </w:divBdr>
    </w:div>
    <w:div w:id="1788040861">
      <w:bodyDiv w:val="1"/>
      <w:marLeft w:val="0"/>
      <w:marRight w:val="0"/>
      <w:marTop w:val="0"/>
      <w:marBottom w:val="0"/>
      <w:divBdr>
        <w:top w:val="none" w:sz="0" w:space="0" w:color="auto"/>
        <w:left w:val="none" w:sz="0" w:space="0" w:color="auto"/>
        <w:bottom w:val="none" w:sz="0" w:space="0" w:color="auto"/>
        <w:right w:val="none" w:sz="0" w:space="0" w:color="auto"/>
      </w:divBdr>
    </w:div>
    <w:div w:id="1868062149">
      <w:bodyDiv w:val="1"/>
      <w:marLeft w:val="0"/>
      <w:marRight w:val="0"/>
      <w:marTop w:val="0"/>
      <w:marBottom w:val="0"/>
      <w:divBdr>
        <w:top w:val="none" w:sz="0" w:space="0" w:color="auto"/>
        <w:left w:val="none" w:sz="0" w:space="0" w:color="auto"/>
        <w:bottom w:val="none" w:sz="0" w:space="0" w:color="auto"/>
        <w:right w:val="none" w:sz="0" w:space="0" w:color="auto"/>
      </w:divBdr>
    </w:div>
    <w:div w:id="1925796997">
      <w:bodyDiv w:val="1"/>
      <w:marLeft w:val="0"/>
      <w:marRight w:val="0"/>
      <w:marTop w:val="0"/>
      <w:marBottom w:val="0"/>
      <w:divBdr>
        <w:top w:val="none" w:sz="0" w:space="0" w:color="auto"/>
        <w:left w:val="none" w:sz="0" w:space="0" w:color="auto"/>
        <w:bottom w:val="none" w:sz="0" w:space="0" w:color="auto"/>
        <w:right w:val="none" w:sz="0" w:space="0" w:color="auto"/>
      </w:divBdr>
    </w:div>
    <w:div w:id="1970475935">
      <w:bodyDiv w:val="1"/>
      <w:marLeft w:val="0"/>
      <w:marRight w:val="0"/>
      <w:marTop w:val="0"/>
      <w:marBottom w:val="0"/>
      <w:divBdr>
        <w:top w:val="none" w:sz="0" w:space="0" w:color="auto"/>
        <w:left w:val="none" w:sz="0" w:space="0" w:color="auto"/>
        <w:bottom w:val="none" w:sz="0" w:space="0" w:color="auto"/>
        <w:right w:val="none" w:sz="0" w:space="0" w:color="auto"/>
      </w:divBdr>
      <w:divsChild>
        <w:div w:id="828056865">
          <w:marLeft w:val="0"/>
          <w:marRight w:val="0"/>
          <w:marTop w:val="0"/>
          <w:marBottom w:val="0"/>
          <w:divBdr>
            <w:top w:val="none" w:sz="0" w:space="0" w:color="auto"/>
            <w:left w:val="none" w:sz="0" w:space="0" w:color="auto"/>
            <w:bottom w:val="none" w:sz="0" w:space="0" w:color="auto"/>
            <w:right w:val="none" w:sz="0" w:space="0" w:color="auto"/>
          </w:divBdr>
          <w:divsChild>
            <w:div w:id="1531526430">
              <w:marLeft w:val="0"/>
              <w:marRight w:val="0"/>
              <w:marTop w:val="0"/>
              <w:marBottom w:val="0"/>
              <w:divBdr>
                <w:top w:val="none" w:sz="0" w:space="0" w:color="auto"/>
                <w:left w:val="none" w:sz="0" w:space="0" w:color="auto"/>
                <w:bottom w:val="none" w:sz="0" w:space="0" w:color="auto"/>
                <w:right w:val="none" w:sz="0" w:space="0" w:color="auto"/>
              </w:divBdr>
            </w:div>
            <w:div w:id="1390180252">
              <w:marLeft w:val="0"/>
              <w:marRight w:val="0"/>
              <w:marTop w:val="0"/>
              <w:marBottom w:val="0"/>
              <w:divBdr>
                <w:top w:val="none" w:sz="0" w:space="0" w:color="auto"/>
                <w:left w:val="none" w:sz="0" w:space="0" w:color="auto"/>
                <w:bottom w:val="none" w:sz="0" w:space="0" w:color="auto"/>
                <w:right w:val="none" w:sz="0" w:space="0" w:color="auto"/>
              </w:divBdr>
            </w:div>
            <w:div w:id="1278758541">
              <w:marLeft w:val="0"/>
              <w:marRight w:val="0"/>
              <w:marTop w:val="0"/>
              <w:marBottom w:val="0"/>
              <w:divBdr>
                <w:top w:val="none" w:sz="0" w:space="0" w:color="auto"/>
                <w:left w:val="none" w:sz="0" w:space="0" w:color="auto"/>
                <w:bottom w:val="none" w:sz="0" w:space="0" w:color="auto"/>
                <w:right w:val="none" w:sz="0" w:space="0" w:color="auto"/>
              </w:divBdr>
            </w:div>
            <w:div w:id="328487702">
              <w:marLeft w:val="0"/>
              <w:marRight w:val="0"/>
              <w:marTop w:val="0"/>
              <w:marBottom w:val="0"/>
              <w:divBdr>
                <w:top w:val="none" w:sz="0" w:space="0" w:color="auto"/>
                <w:left w:val="none" w:sz="0" w:space="0" w:color="auto"/>
                <w:bottom w:val="none" w:sz="0" w:space="0" w:color="auto"/>
                <w:right w:val="none" w:sz="0" w:space="0" w:color="auto"/>
              </w:divBdr>
            </w:div>
            <w:div w:id="344064755">
              <w:marLeft w:val="0"/>
              <w:marRight w:val="0"/>
              <w:marTop w:val="0"/>
              <w:marBottom w:val="0"/>
              <w:divBdr>
                <w:top w:val="none" w:sz="0" w:space="0" w:color="auto"/>
                <w:left w:val="none" w:sz="0" w:space="0" w:color="auto"/>
                <w:bottom w:val="none" w:sz="0" w:space="0" w:color="auto"/>
                <w:right w:val="none" w:sz="0" w:space="0" w:color="auto"/>
              </w:divBdr>
            </w:div>
          </w:divsChild>
        </w:div>
        <w:div w:id="86007593">
          <w:marLeft w:val="0"/>
          <w:marRight w:val="0"/>
          <w:marTop w:val="0"/>
          <w:marBottom w:val="0"/>
          <w:divBdr>
            <w:top w:val="none" w:sz="0" w:space="0" w:color="auto"/>
            <w:left w:val="none" w:sz="0" w:space="0" w:color="auto"/>
            <w:bottom w:val="none" w:sz="0" w:space="0" w:color="auto"/>
            <w:right w:val="none" w:sz="0" w:space="0" w:color="auto"/>
          </w:divBdr>
          <w:divsChild>
            <w:div w:id="1762214227">
              <w:marLeft w:val="0"/>
              <w:marRight w:val="0"/>
              <w:marTop w:val="0"/>
              <w:marBottom w:val="0"/>
              <w:divBdr>
                <w:top w:val="none" w:sz="0" w:space="0" w:color="auto"/>
                <w:left w:val="none" w:sz="0" w:space="0" w:color="auto"/>
                <w:bottom w:val="none" w:sz="0" w:space="0" w:color="auto"/>
                <w:right w:val="none" w:sz="0" w:space="0" w:color="auto"/>
              </w:divBdr>
            </w:div>
            <w:div w:id="667947452">
              <w:marLeft w:val="0"/>
              <w:marRight w:val="0"/>
              <w:marTop w:val="0"/>
              <w:marBottom w:val="0"/>
              <w:divBdr>
                <w:top w:val="none" w:sz="0" w:space="0" w:color="auto"/>
                <w:left w:val="none" w:sz="0" w:space="0" w:color="auto"/>
                <w:bottom w:val="none" w:sz="0" w:space="0" w:color="auto"/>
                <w:right w:val="none" w:sz="0" w:space="0" w:color="auto"/>
              </w:divBdr>
            </w:div>
            <w:div w:id="1963032509">
              <w:marLeft w:val="0"/>
              <w:marRight w:val="0"/>
              <w:marTop w:val="0"/>
              <w:marBottom w:val="0"/>
              <w:divBdr>
                <w:top w:val="none" w:sz="0" w:space="0" w:color="auto"/>
                <w:left w:val="none" w:sz="0" w:space="0" w:color="auto"/>
                <w:bottom w:val="none" w:sz="0" w:space="0" w:color="auto"/>
                <w:right w:val="none" w:sz="0" w:space="0" w:color="auto"/>
              </w:divBdr>
            </w:div>
            <w:div w:id="850879413">
              <w:marLeft w:val="0"/>
              <w:marRight w:val="0"/>
              <w:marTop w:val="0"/>
              <w:marBottom w:val="0"/>
              <w:divBdr>
                <w:top w:val="none" w:sz="0" w:space="0" w:color="auto"/>
                <w:left w:val="none" w:sz="0" w:space="0" w:color="auto"/>
                <w:bottom w:val="none" w:sz="0" w:space="0" w:color="auto"/>
                <w:right w:val="none" w:sz="0" w:space="0" w:color="auto"/>
              </w:divBdr>
            </w:div>
            <w:div w:id="878323071">
              <w:marLeft w:val="0"/>
              <w:marRight w:val="0"/>
              <w:marTop w:val="0"/>
              <w:marBottom w:val="0"/>
              <w:divBdr>
                <w:top w:val="none" w:sz="0" w:space="0" w:color="auto"/>
                <w:left w:val="none" w:sz="0" w:space="0" w:color="auto"/>
                <w:bottom w:val="none" w:sz="0" w:space="0" w:color="auto"/>
                <w:right w:val="none" w:sz="0" w:space="0" w:color="auto"/>
              </w:divBdr>
            </w:div>
            <w:div w:id="345449137">
              <w:marLeft w:val="0"/>
              <w:marRight w:val="0"/>
              <w:marTop w:val="0"/>
              <w:marBottom w:val="0"/>
              <w:divBdr>
                <w:top w:val="none" w:sz="0" w:space="0" w:color="auto"/>
                <w:left w:val="none" w:sz="0" w:space="0" w:color="auto"/>
                <w:bottom w:val="none" w:sz="0" w:space="0" w:color="auto"/>
                <w:right w:val="none" w:sz="0" w:space="0" w:color="auto"/>
              </w:divBdr>
            </w:div>
            <w:div w:id="1841196978">
              <w:marLeft w:val="0"/>
              <w:marRight w:val="0"/>
              <w:marTop w:val="0"/>
              <w:marBottom w:val="0"/>
              <w:divBdr>
                <w:top w:val="none" w:sz="0" w:space="0" w:color="auto"/>
                <w:left w:val="none" w:sz="0" w:space="0" w:color="auto"/>
                <w:bottom w:val="none" w:sz="0" w:space="0" w:color="auto"/>
                <w:right w:val="none" w:sz="0" w:space="0" w:color="auto"/>
              </w:divBdr>
            </w:div>
            <w:div w:id="1690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301">
      <w:bodyDiv w:val="1"/>
      <w:marLeft w:val="0"/>
      <w:marRight w:val="0"/>
      <w:marTop w:val="0"/>
      <w:marBottom w:val="0"/>
      <w:divBdr>
        <w:top w:val="none" w:sz="0" w:space="0" w:color="auto"/>
        <w:left w:val="none" w:sz="0" w:space="0" w:color="auto"/>
        <w:bottom w:val="none" w:sz="0" w:space="0" w:color="auto"/>
        <w:right w:val="none" w:sz="0" w:space="0" w:color="auto"/>
      </w:divBdr>
      <w:divsChild>
        <w:div w:id="753278272">
          <w:marLeft w:val="0"/>
          <w:marRight w:val="0"/>
          <w:marTop w:val="0"/>
          <w:marBottom w:val="0"/>
          <w:divBdr>
            <w:top w:val="none" w:sz="0" w:space="0" w:color="auto"/>
            <w:left w:val="none" w:sz="0" w:space="0" w:color="auto"/>
            <w:bottom w:val="none" w:sz="0" w:space="0" w:color="auto"/>
            <w:right w:val="none" w:sz="0" w:space="0" w:color="auto"/>
          </w:divBdr>
        </w:div>
        <w:div w:id="1059475164">
          <w:marLeft w:val="0"/>
          <w:marRight w:val="0"/>
          <w:marTop w:val="0"/>
          <w:marBottom w:val="0"/>
          <w:divBdr>
            <w:top w:val="none" w:sz="0" w:space="0" w:color="auto"/>
            <w:left w:val="none" w:sz="0" w:space="0" w:color="auto"/>
            <w:bottom w:val="none" w:sz="0" w:space="0" w:color="auto"/>
            <w:right w:val="none" w:sz="0" w:space="0" w:color="auto"/>
          </w:divBdr>
        </w:div>
      </w:divsChild>
    </w:div>
    <w:div w:id="2019692836">
      <w:bodyDiv w:val="1"/>
      <w:marLeft w:val="0"/>
      <w:marRight w:val="0"/>
      <w:marTop w:val="0"/>
      <w:marBottom w:val="0"/>
      <w:divBdr>
        <w:top w:val="none" w:sz="0" w:space="0" w:color="auto"/>
        <w:left w:val="none" w:sz="0" w:space="0" w:color="auto"/>
        <w:bottom w:val="none" w:sz="0" w:space="0" w:color="auto"/>
        <w:right w:val="none" w:sz="0" w:space="0" w:color="auto"/>
      </w:divBdr>
    </w:div>
    <w:div w:id="2036030147">
      <w:bodyDiv w:val="1"/>
      <w:marLeft w:val="0"/>
      <w:marRight w:val="0"/>
      <w:marTop w:val="0"/>
      <w:marBottom w:val="0"/>
      <w:divBdr>
        <w:top w:val="none" w:sz="0" w:space="0" w:color="auto"/>
        <w:left w:val="none" w:sz="0" w:space="0" w:color="auto"/>
        <w:bottom w:val="none" w:sz="0" w:space="0" w:color="auto"/>
        <w:right w:val="none" w:sz="0" w:space="0" w:color="auto"/>
      </w:divBdr>
    </w:div>
    <w:div w:id="2127508062">
      <w:bodyDiv w:val="1"/>
      <w:marLeft w:val="0"/>
      <w:marRight w:val="0"/>
      <w:marTop w:val="0"/>
      <w:marBottom w:val="0"/>
      <w:divBdr>
        <w:top w:val="none" w:sz="0" w:space="0" w:color="auto"/>
        <w:left w:val="none" w:sz="0" w:space="0" w:color="auto"/>
        <w:bottom w:val="none" w:sz="0" w:space="0" w:color="auto"/>
        <w:right w:val="none" w:sz="0" w:space="0" w:color="auto"/>
      </w:divBdr>
    </w:div>
    <w:div w:id="21278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2990</ap:Words>
  <ap:Characters>16449</ap:Characters>
  <ap:DocSecurity>0</ap:DocSecurity>
  <ap:Lines>137</ap:Lines>
  <ap:Paragraphs>38</ap:Paragraphs>
  <ap:ScaleCrop>false</ap:ScaleCrop>
  <ap:HeadingPairs>
    <vt:vector baseType="variant" size="2">
      <vt:variant>
        <vt:lpstr>Title</vt:lpstr>
      </vt:variant>
      <vt:variant>
        <vt:i4>1</vt:i4>
      </vt:variant>
    </vt:vector>
  </ap:HeadingPairs>
  <ap:TitlesOfParts>
    <vt:vector baseType="lpstr" size="1">
      <vt:lpstr>Uitwerkingsbrief BHOS 2022 (brief maart)</vt:lpstr>
    </vt:vector>
  </ap:TitlesOfParts>
  <ap:LinksUpToDate>false</ap:LinksUpToDate>
  <ap:CharactersWithSpaces>19401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2025-06-04T09:11:00.0000000Z</lastPrinted>
  <dcterms:created xsi:type="dcterms:W3CDTF">2025-09-17T11:38:00.0000000Z</dcterms:created>
  <dcterms:modified xsi:type="dcterms:W3CDTF">2025-10-03T12:01:00.0000000Z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ementDirectie">
    <vt:lpwstr>2;#FEZ|373dcec0-742b-4b0b-82fd-da9f3dd3c25f</vt:lpwstr>
  </property>
  <property fmtid="{D5CDD505-2E9C-101B-9397-08002B2CF9AE}" pid="3" name="_dlc_DocIdItemGuid">
    <vt:lpwstr>a6fe6b4a-3b16-461b-b16f-abd3b69d29d7</vt:lpwstr>
  </property>
  <property fmtid="{D5CDD505-2E9C-101B-9397-08002B2CF9AE}" pid="4" name="_docset_NoMedatataSyncRequired">
    <vt:lpwstr>False</vt:lpwstr>
  </property>
  <property fmtid="{D5CDD505-2E9C-101B-9397-08002B2CF9AE}" pid="5" name="BZ_Country">
    <vt:lpwstr>2;#Ukraine|1d0b3b4a-20e6-48f4-9620-63d5fcfa06a4</vt:lpwstr>
  </property>
  <property fmtid="{D5CDD505-2E9C-101B-9397-08002B2CF9AE}" pid="6" name="BZ_Classification">
    <vt:lpwstr>4;#UNCLASSIFIED|d92c6340-bc14-4cb2-a9a6-6deda93c493b;#5;#NO MARKING|879e64ec-6597-483b-94db-f5f70afd7299</vt:lpwstr>
  </property>
  <property fmtid="{D5CDD505-2E9C-101B-9397-08002B2CF9AE}" pid="7" name="BZ_Forum">
    <vt:lpwstr>3;#Not applicable|0049e722-bfb1-4a3f-9d08-af7366a9af40</vt:lpwstr>
  </property>
  <property fmtid="{D5CDD505-2E9C-101B-9397-08002B2CF9AE}" pid="8" name="BZ_Theme">
    <vt:lpwstr>1;#Financial administration general|a58ad6a9-d46f-4e7d-86f4-d36c2702ebe3</vt:lpwstr>
  </property>
  <property fmtid="{D5CDD505-2E9C-101B-9397-08002B2CF9AE}" pid="9" name="MSIP_Label_f5339f15-c483-4670-87f9-f365ba551dce_Enabled">
    <vt:lpwstr>true</vt:lpwstr>
  </property>
  <property fmtid="{D5CDD505-2E9C-101B-9397-08002B2CF9AE}" pid="10" name="MSIP_Label_f5339f15-c483-4670-87f9-f365ba551dce_SetDate">
    <vt:lpwstr>2022-03-09T15:04:38Z</vt:lpwstr>
  </property>
  <property fmtid="{D5CDD505-2E9C-101B-9397-08002B2CF9AE}" pid="11" name="MSIP_Label_f5339f15-c483-4670-87f9-f365ba551dce_Method">
    <vt:lpwstr>Standard</vt:lpwstr>
  </property>
  <property fmtid="{D5CDD505-2E9C-101B-9397-08002B2CF9AE}" pid="12" name="MSIP_Label_f5339f15-c483-4670-87f9-f365ba551dce_Name">
    <vt:lpwstr>FIN-IRF-Dep. V.</vt:lpwstr>
  </property>
  <property fmtid="{D5CDD505-2E9C-101B-9397-08002B2CF9AE}" pid="13" name="MSIP_Label_f5339f15-c483-4670-87f9-f365ba551dce_SiteId">
    <vt:lpwstr>84712536-f524-40a0-913b-5d25ba502732</vt:lpwstr>
  </property>
  <property fmtid="{D5CDD505-2E9C-101B-9397-08002B2CF9AE}" pid="14" name="MSIP_Label_f5339f15-c483-4670-87f9-f365ba551dce_ActionId">
    <vt:lpwstr>571c4808-44bc-49d0-b581-4eaa6501126e</vt:lpwstr>
  </property>
  <property fmtid="{D5CDD505-2E9C-101B-9397-08002B2CF9AE}" pid="15" name="MSIP_Label_f5339f15-c483-4670-87f9-f365ba551dce_ContentBits">
    <vt:lpwstr>0</vt:lpwstr>
  </property>
  <property fmtid="{D5CDD505-2E9C-101B-9397-08002B2CF9AE}" pid="16" name="MediaServiceImageTags">
    <vt:lpwstr/>
  </property>
  <property fmtid="{D5CDD505-2E9C-101B-9397-08002B2CF9AE}" pid="17" name="ContentTypeId">
    <vt:lpwstr>0x0101009C7CE436063D44E9BE7DC0259EF7C32F006EB9F9836A634AE58B6169785FD3936F00EC4ABB6A373EEC4B8476FB85D9BD4979</vt:lpwstr>
  </property>
  <property fmtid="{D5CDD505-2E9C-101B-9397-08002B2CF9AE}" pid="18" name="BZForumOrganisation">
    <vt:lpwstr>2;#Not applicable|0049e722-bfb1-4a3f-9d08-af7366a9af40</vt:lpwstr>
  </property>
  <property fmtid="{D5CDD505-2E9C-101B-9397-08002B2CF9AE}" pid="19" name="BZTheme">
    <vt:lpwstr>391;#Development cooperation general|380d0ef2-9ec9-4294-9181-2e77a680c18c;#40;#Humanitarian aid general|67032a61-48a4-40cb-b0a3-d3ce348f6e26</vt:lpwstr>
  </property>
  <property fmtid="{D5CDD505-2E9C-101B-9397-08002B2CF9AE}" pid="20" name="BZCountryState">
    <vt:lpwstr>18;#Ukraine|1d0b3b4a-20e6-48f4-9620-63d5fcfa06a4</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gc2efd3bfea04f7f8169be07009f5536">
    <vt:lpwstr/>
  </property>
  <property fmtid="{D5CDD505-2E9C-101B-9397-08002B2CF9AE}" pid="24" name="BZDossierResponsibleDepartment">
    <vt:lpwstr/>
  </property>
  <property fmtid="{D5CDD505-2E9C-101B-9397-08002B2CF9AE}" pid="25" name="BZDossierProcessLocation">
    <vt:lpwstr/>
  </property>
  <property fmtid="{D5CDD505-2E9C-101B-9397-08002B2CF9AE}" pid="26" name="BZDossierGovernmentOfficial">
    <vt:lpwstr/>
  </property>
  <property fmtid="{D5CDD505-2E9C-101B-9397-08002B2CF9AE}" pid="27" name="f2fb2a8e39404f1ab554e4e4a49d2918">
    <vt:lpwstr/>
  </property>
  <property fmtid="{D5CDD505-2E9C-101B-9397-08002B2CF9AE}" pid="28" name="BZDossierPublishingWOOCategory">
    <vt:lpwstr/>
  </property>
  <property fmtid="{D5CDD505-2E9C-101B-9397-08002B2CF9AE}" pid="29" name="i42ef48d5fa942a0ad0d60e44f201751">
    <vt:lpwstr/>
  </property>
  <property fmtid="{D5CDD505-2E9C-101B-9397-08002B2CF9AE}" pid="30" name="f8e003236e1c4ac2ab9051d5d8789bbb">
    <vt:lpwstr/>
  </property>
  <property fmtid="{D5CDD505-2E9C-101B-9397-08002B2CF9AE}" pid="31" name="p29721a54a5c4bbe9786e930fc91e270">
    <vt:lpwstr/>
  </property>
  <property fmtid="{D5CDD505-2E9C-101B-9397-08002B2CF9AE}" pid="32" name="ed9282a3f18446ec8c17c7829edf82dd">
    <vt:lpwstr/>
  </property>
  <property fmtid="{D5CDD505-2E9C-101B-9397-08002B2CF9AE}" pid="33" name="e256f556a7b748329ab47889947c7d40">
    <vt:lpwstr/>
  </property>
  <property fmtid="{D5CDD505-2E9C-101B-9397-08002B2CF9AE}" pid="34" name="BZDossierProcessType">
    <vt:lpwstr/>
  </property>
  <property fmtid="{D5CDD505-2E9C-101B-9397-08002B2CF9AE}" pid="35" name="BZDossierBudgetManager">
    <vt:lpwstr/>
  </property>
  <property fmtid="{D5CDD505-2E9C-101B-9397-08002B2CF9AE}" pid="36" name="BZDossierSendTo">
    <vt:lpwstr/>
  </property>
</Properties>
</file>