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3D14" w:rsidP="00C73D14" w:rsidRDefault="00C73D14" w14:paraId="6450D664" w14:textId="589160C8">
      <w:pPr>
        <w:pStyle w:val="NoSpacing"/>
        <w:rPr>
          <w:rFonts w:ascii="Verdana" w:hAnsi="Verdana"/>
          <w:b/>
          <w:bCs/>
          <w:sz w:val="20"/>
          <w:szCs w:val="20"/>
          <w:lang w:val="en-US"/>
        </w:rPr>
      </w:pPr>
    </w:p>
    <w:p w:rsidRPr="005E1FE2" w:rsidR="00C73D14" w:rsidP="00C73D14" w:rsidRDefault="00C73D14" w14:paraId="0C3DB092" w14:textId="77777777">
      <w:pPr>
        <w:pStyle w:val="NoSpacing"/>
        <w:rPr>
          <w:rFonts w:ascii="Verdana" w:hAnsi="Verdana"/>
          <w:b/>
          <w:bCs/>
          <w:sz w:val="20"/>
          <w:szCs w:val="20"/>
          <w:lang w:val="en-US"/>
        </w:rPr>
      </w:pPr>
    </w:p>
    <w:tbl>
      <w:tblPr>
        <w:tblW w:w="5000" w:type="pct"/>
        <w:tblCellMar>
          <w:left w:w="0" w:type="dxa"/>
          <w:right w:w="0" w:type="dxa"/>
        </w:tblCellMar>
        <w:tblLook w:val="04A0" w:firstRow="1" w:lastRow="0" w:firstColumn="1" w:lastColumn="0" w:noHBand="0" w:noVBand="1"/>
      </w:tblPr>
      <w:tblGrid>
        <w:gridCol w:w="2092"/>
        <w:gridCol w:w="6934"/>
      </w:tblGrid>
      <w:tr w:rsidRPr="0060043E" w:rsidR="00C73D14" w:rsidTr="00A32BD6" w14:paraId="348E754A" w14:textId="77777777">
        <w:trPr>
          <w:trHeight w:val="507"/>
        </w:trPr>
        <w:tc>
          <w:tcPr>
            <w:tcW w:w="5000" w:type="pct"/>
            <w:gridSpan w:val="2"/>
            <w:shd w:val="clear" w:color="auto" w:fill="39870C"/>
            <w:hideMark/>
          </w:tcPr>
          <w:p w:rsidRPr="0060043E" w:rsidR="00C73D14" w:rsidP="00A32BD6" w:rsidRDefault="00C73D14" w14:paraId="35AB7648" w14:textId="77777777">
            <w:pPr>
              <w:pStyle w:val="TableParagraph"/>
              <w:spacing w:before="57" w:line="252" w:lineRule="auto"/>
              <w:ind w:left="89"/>
              <w:rPr>
                <w:b/>
                <w:bCs/>
                <w:sz w:val="18"/>
                <w:szCs w:val="18"/>
              </w:rPr>
            </w:pPr>
            <w:r w:rsidRPr="0060043E">
              <w:rPr>
                <w:b/>
                <w:bCs/>
                <w:color w:val="FFFFFF"/>
                <w:sz w:val="18"/>
                <w:szCs w:val="18"/>
              </w:rPr>
              <w:t>Bestedingsvoorstel</w:t>
            </w:r>
          </w:p>
          <w:p w:rsidRPr="0060043E" w:rsidR="00C73D14" w:rsidP="00A32BD6" w:rsidRDefault="00C73D14" w14:paraId="0DE56633" w14:textId="77777777">
            <w:pPr>
              <w:pStyle w:val="TableParagraph"/>
              <w:spacing w:before="4" w:line="252" w:lineRule="auto"/>
              <w:ind w:left="89"/>
              <w:rPr>
                <w:b/>
                <w:bCs/>
                <w:sz w:val="18"/>
                <w:szCs w:val="18"/>
              </w:rPr>
            </w:pPr>
            <w:r w:rsidRPr="0060043E">
              <w:rPr>
                <w:b/>
                <w:bCs/>
                <w:color w:val="FFFFFF"/>
                <w:sz w:val="18"/>
                <w:szCs w:val="18"/>
              </w:rPr>
              <w:t>Onderbouwing doeltreffendheid, doelmatigheid en evaluatie (CW 3.1)</w:t>
            </w:r>
          </w:p>
        </w:tc>
      </w:tr>
      <w:tr w:rsidRPr="0060043E" w:rsidR="00C73D14" w:rsidTr="00A32BD6" w14:paraId="6DB45314" w14:textId="77777777">
        <w:trPr>
          <w:trHeight w:val="564"/>
        </w:trPr>
        <w:tc>
          <w:tcPr>
            <w:tcW w:w="1159" w:type="pct"/>
            <w:tcBorders>
              <w:top w:val="nil"/>
              <w:left w:val="nil"/>
              <w:bottom w:val="single" w:color="017BC7" w:sz="8" w:space="0"/>
              <w:right w:val="nil"/>
            </w:tcBorders>
            <w:shd w:val="clear" w:color="auto" w:fill="D6EFF9"/>
            <w:hideMark/>
          </w:tcPr>
          <w:p w:rsidRPr="0060043E" w:rsidR="00C73D14" w:rsidP="00A32BD6" w:rsidRDefault="00C73D14" w14:paraId="58366BA7" w14:textId="77777777">
            <w:pPr>
              <w:pStyle w:val="TableParagraph"/>
              <w:spacing w:before="57" w:line="252" w:lineRule="auto"/>
              <w:ind w:left="89"/>
              <w:rPr>
                <w:b/>
                <w:bCs/>
                <w:sz w:val="18"/>
                <w:szCs w:val="18"/>
                <w:lang w:val="en-US"/>
              </w:rPr>
            </w:pPr>
            <w:r w:rsidRPr="0060043E">
              <w:rPr>
                <w:b/>
                <w:bCs/>
                <w:sz w:val="18"/>
                <w:szCs w:val="18"/>
                <w:lang w:val="en-US"/>
              </w:rPr>
              <w:t>1. Doel(en)</w:t>
            </w:r>
          </w:p>
        </w:tc>
        <w:tc>
          <w:tcPr>
            <w:tcW w:w="3841" w:type="pct"/>
            <w:tcBorders>
              <w:top w:val="nil"/>
              <w:left w:val="nil"/>
              <w:bottom w:val="single" w:color="017BC7" w:sz="8" w:space="0"/>
              <w:right w:val="nil"/>
            </w:tcBorders>
            <w:hideMark/>
          </w:tcPr>
          <w:p w:rsidR="00C73D14" w:rsidP="00A32BD6" w:rsidRDefault="00C73D14" w14:paraId="3ACCC25B" w14:textId="77777777">
            <w:pPr>
              <w:pStyle w:val="TableParagraph"/>
              <w:spacing w:before="8" w:line="252" w:lineRule="auto"/>
              <w:rPr>
                <w:sz w:val="18"/>
                <w:szCs w:val="18"/>
              </w:rPr>
            </w:pPr>
            <w:r w:rsidRPr="0060043E">
              <w:rPr>
                <w:sz w:val="18"/>
                <w:szCs w:val="18"/>
              </w:rPr>
              <w:t>Welke doelen worden nagestreefd met het voorstel in termen van beoogde prestaties en effecten?</w:t>
            </w:r>
            <w:r>
              <w:rPr>
                <w:sz w:val="18"/>
                <w:szCs w:val="18"/>
              </w:rPr>
              <w:t xml:space="preserve"> Op welke termijn worden doelen naar verwachting gerealiseerd?  </w:t>
            </w:r>
          </w:p>
          <w:p w:rsidR="00C73D14" w:rsidP="00A32BD6" w:rsidRDefault="00C73D14" w14:paraId="5C48EAFC" w14:textId="77777777">
            <w:pPr>
              <w:pStyle w:val="TableParagraph"/>
              <w:spacing w:before="8" w:line="252" w:lineRule="auto"/>
              <w:rPr>
                <w:sz w:val="18"/>
                <w:szCs w:val="18"/>
              </w:rPr>
            </w:pPr>
          </w:p>
          <w:p w:rsidRPr="006B4DEF" w:rsidR="00C73D14" w:rsidP="00A32BD6" w:rsidRDefault="00C73D14" w14:paraId="746B9BC9" w14:textId="77777777">
            <w:pPr>
              <w:pStyle w:val="TableParagraph"/>
              <w:spacing w:before="8" w:line="252" w:lineRule="auto"/>
              <w:ind w:left="0"/>
              <w:rPr>
                <w:sz w:val="18"/>
                <w:szCs w:val="18"/>
                <w:u w:val="single"/>
              </w:rPr>
            </w:pPr>
            <w:r w:rsidRPr="00C9682F">
              <w:rPr>
                <w:sz w:val="18"/>
                <w:szCs w:val="18"/>
                <w:u w:val="single"/>
              </w:rPr>
              <w:t>Doelstelling</w:t>
            </w:r>
          </w:p>
          <w:p w:rsidR="00C73D14" w:rsidP="00A32BD6" w:rsidRDefault="00C73D14" w14:paraId="5F4470D8" w14:textId="77777777">
            <w:pPr>
              <w:pStyle w:val="TableParagraph"/>
              <w:spacing w:before="8" w:line="252" w:lineRule="auto"/>
              <w:ind w:left="0"/>
              <w:rPr>
                <w:sz w:val="18"/>
                <w:szCs w:val="18"/>
              </w:rPr>
            </w:pPr>
            <w:r>
              <w:rPr>
                <w:sz w:val="18"/>
                <w:szCs w:val="18"/>
              </w:rPr>
              <w:t xml:space="preserve">Middels een derde en flink aangepaste ronde van de Ukraine Partnership Facility (UPF3) wordt beoogd het aandeel van de private sector in de herstel-en wederopbouw van Oekraïne te vergroten, door Nederlandse bedrijven te stimuleren om met hun kennis, expertise en financiële middelen hieraan bij te dragen. Het gaat hierbij om activiteiten die gericht zijn op de publieke sector van Oekraïne (Business to Government, (B2G) en die zonder een subsidie niet zouden worden ondernomen, omdat Oekraïne hiervoor onvoldoende middelen heeft, de projectomvang te klein is voor financiering vanuit IFI’s en de verwachte risico’s en kosten voor bedrijven te hoog zijn en deze niet worden afgedekt door private financieringsinstanties. De risico’s zijn een direct effect van de oorlogssituatie. In tegenstelling tot UPF2 richt UPF3 zich niet langer (mede) op commerciële projecten (Business to Business (B2B)) die a.g.v. oorlogsrisico’s  geen volledig rendabele business case hebben, ondanks de bredere maatschappelijke en economische meerwaarde van deze projecten voor de wederopbouw van Oekraïne. </w:t>
            </w:r>
            <w:r w:rsidRPr="003A4725">
              <w:rPr>
                <w:sz w:val="18"/>
                <w:szCs w:val="18"/>
              </w:rPr>
              <w:t>Voor dit soort projecten is ander financieringsinstrumentarium beschikbaar gekomen in de vorm van DGGF al dan niet i.c.m. (verruimde) export- en investeringsgaranties</w:t>
            </w:r>
            <w:r>
              <w:rPr>
                <w:sz w:val="18"/>
                <w:szCs w:val="18"/>
              </w:rPr>
              <w:t>. UPF3 subsidieert uitsluitend projecten die gericht zijn op de publieke sector.</w:t>
            </w:r>
          </w:p>
          <w:p w:rsidR="00C73D14" w:rsidP="00A32BD6" w:rsidRDefault="00C73D14" w14:paraId="5FA9EE00" w14:textId="77777777">
            <w:pPr>
              <w:pStyle w:val="TableParagraph"/>
              <w:spacing w:before="8" w:line="252" w:lineRule="auto"/>
              <w:ind w:left="0"/>
              <w:rPr>
                <w:sz w:val="18"/>
                <w:szCs w:val="18"/>
              </w:rPr>
            </w:pPr>
          </w:p>
          <w:p w:rsidR="00C73D14" w:rsidP="00A32BD6" w:rsidRDefault="00C73D14" w14:paraId="151C668C" w14:textId="77777777">
            <w:pPr>
              <w:pStyle w:val="TableParagraph"/>
              <w:spacing w:before="8" w:line="252" w:lineRule="auto"/>
              <w:ind w:left="0"/>
              <w:rPr>
                <w:sz w:val="18"/>
                <w:szCs w:val="18"/>
              </w:rPr>
            </w:pPr>
            <w:r>
              <w:rPr>
                <w:sz w:val="18"/>
                <w:szCs w:val="18"/>
              </w:rPr>
              <w:t>Tevens is een bijdrage ter o</w:t>
            </w:r>
            <w:r w:rsidRPr="00D519F4">
              <w:rPr>
                <w:sz w:val="18"/>
                <w:szCs w:val="18"/>
              </w:rPr>
              <w:t xml:space="preserve">ndersteuning bij de hervormingsagenda voor toetreding tot de EU en het versterken van de capaciteitsopbouw van Oekraïense (overheids-)instellingen die betrokken zijn bij de wederopbouw </w:t>
            </w:r>
            <w:r>
              <w:rPr>
                <w:sz w:val="18"/>
                <w:szCs w:val="18"/>
              </w:rPr>
              <w:t xml:space="preserve">voorzien via het OESO-landenprogramma. </w:t>
            </w:r>
          </w:p>
          <w:p w:rsidR="00C73D14" w:rsidP="00A32BD6" w:rsidRDefault="00C73D14" w14:paraId="7D96B597" w14:textId="77777777">
            <w:pPr>
              <w:pStyle w:val="TableParagraph"/>
              <w:spacing w:before="8" w:line="252" w:lineRule="auto"/>
              <w:ind w:left="0"/>
              <w:rPr>
                <w:sz w:val="18"/>
                <w:szCs w:val="18"/>
              </w:rPr>
            </w:pPr>
          </w:p>
          <w:p w:rsidR="00C73D14" w:rsidP="00A32BD6" w:rsidRDefault="00C73D14" w14:paraId="19C14C8E" w14:textId="77777777">
            <w:pPr>
              <w:pStyle w:val="TableParagraph"/>
              <w:spacing w:before="8" w:line="252" w:lineRule="auto"/>
              <w:ind w:left="0"/>
              <w:rPr>
                <w:sz w:val="18"/>
                <w:szCs w:val="18"/>
              </w:rPr>
            </w:pPr>
            <w:r>
              <w:rPr>
                <w:sz w:val="18"/>
                <w:szCs w:val="18"/>
              </w:rPr>
              <w:t>Gezien de enorme hulpbehoefte van Oekraïne is het</w:t>
            </w:r>
            <w:r w:rsidRPr="00AE60C5">
              <w:rPr>
                <w:sz w:val="18"/>
                <w:szCs w:val="18"/>
              </w:rPr>
              <w:t xml:space="preserve"> </w:t>
            </w:r>
            <w:r>
              <w:rPr>
                <w:sz w:val="18"/>
                <w:szCs w:val="18"/>
              </w:rPr>
              <w:t>ondersteunen</w:t>
            </w:r>
            <w:r w:rsidRPr="00AE60C5">
              <w:rPr>
                <w:sz w:val="18"/>
                <w:szCs w:val="18"/>
              </w:rPr>
              <w:t xml:space="preserve"> van de p</w:t>
            </w:r>
            <w:r>
              <w:rPr>
                <w:sz w:val="18"/>
                <w:szCs w:val="18"/>
              </w:rPr>
              <w:t xml:space="preserve">rivate sector om een bijdrage te leveren aan de wederopbouwopgave een van de prioriteiten van de Oekraïense regering. Dit wordt onderschreven door de </w:t>
            </w:r>
            <w:r w:rsidRPr="59A9A1C5">
              <w:rPr>
                <w:i/>
                <w:iCs/>
                <w:sz w:val="18"/>
                <w:szCs w:val="18"/>
              </w:rPr>
              <w:t>Rapid Damage and Needs Assessment</w:t>
            </w:r>
            <w:r>
              <w:rPr>
                <w:sz w:val="18"/>
                <w:szCs w:val="18"/>
              </w:rPr>
              <w:t xml:space="preserve"> (RDNA) die is opgesteld door de Wereldbank i.s.m. met de Oekraïense overheid en andere multilaterale instituties. De publieke sector kan de kritieke herstel- en wederopbouwopgave niet alleen dragen, noch financieel, noch qua kennis en kunde. </w:t>
            </w:r>
          </w:p>
          <w:p w:rsidR="00C73D14" w:rsidP="00A32BD6" w:rsidRDefault="00C73D14" w14:paraId="27A2B03D" w14:textId="77777777">
            <w:pPr>
              <w:pStyle w:val="TableParagraph"/>
              <w:spacing w:before="8" w:line="252" w:lineRule="auto"/>
              <w:ind w:left="0"/>
              <w:rPr>
                <w:sz w:val="18"/>
                <w:szCs w:val="18"/>
              </w:rPr>
            </w:pPr>
          </w:p>
          <w:p w:rsidRPr="00042E7E" w:rsidR="00C73D14" w:rsidP="00A32BD6" w:rsidRDefault="00C73D14" w14:paraId="274FE708" w14:textId="77777777">
            <w:pPr>
              <w:pStyle w:val="TableParagraph"/>
              <w:spacing w:before="8" w:line="252" w:lineRule="auto"/>
              <w:ind w:left="0"/>
              <w:rPr>
                <w:sz w:val="18"/>
                <w:szCs w:val="18"/>
                <w:u w:val="single"/>
              </w:rPr>
            </w:pPr>
            <w:r w:rsidRPr="00042E7E">
              <w:rPr>
                <w:sz w:val="18"/>
                <w:szCs w:val="18"/>
                <w:u w:val="single"/>
              </w:rPr>
              <w:t>Hoofdlijnen:</w:t>
            </w:r>
          </w:p>
          <w:p w:rsidRPr="004729E6" w:rsidR="00C73D14" w:rsidP="00A32BD6" w:rsidRDefault="00C73D14" w14:paraId="3F5EF3B3" w14:textId="77777777">
            <w:pPr>
              <w:pStyle w:val="TableParagraph"/>
              <w:numPr>
                <w:ilvl w:val="0"/>
                <w:numId w:val="23"/>
              </w:numPr>
              <w:spacing w:before="8" w:line="252" w:lineRule="auto"/>
              <w:rPr>
                <w:sz w:val="18"/>
                <w:szCs w:val="18"/>
              </w:rPr>
            </w:pPr>
            <w:r>
              <w:rPr>
                <w:sz w:val="18"/>
                <w:szCs w:val="18"/>
              </w:rPr>
              <w:t xml:space="preserve">Het voorstel </w:t>
            </w:r>
            <w:r w:rsidRPr="009B19C3">
              <w:rPr>
                <w:sz w:val="18"/>
                <w:szCs w:val="18"/>
              </w:rPr>
              <w:t>UPF</w:t>
            </w:r>
            <w:r>
              <w:rPr>
                <w:sz w:val="18"/>
                <w:szCs w:val="18"/>
              </w:rPr>
              <w:t>3</w:t>
            </w:r>
            <w:r w:rsidRPr="009B19C3">
              <w:rPr>
                <w:sz w:val="18"/>
                <w:szCs w:val="18"/>
              </w:rPr>
              <w:t xml:space="preserve"> draagt bij aan het vergroten van het aandeel van de N</w:t>
            </w:r>
            <w:r>
              <w:rPr>
                <w:sz w:val="18"/>
                <w:szCs w:val="18"/>
              </w:rPr>
              <w:t>ederlandse</w:t>
            </w:r>
            <w:r w:rsidRPr="009B19C3">
              <w:rPr>
                <w:sz w:val="18"/>
                <w:szCs w:val="18"/>
              </w:rPr>
              <w:t xml:space="preserve"> private </w:t>
            </w:r>
            <w:r>
              <w:rPr>
                <w:sz w:val="18"/>
                <w:szCs w:val="18"/>
              </w:rPr>
              <w:t>sector</w:t>
            </w:r>
            <w:r w:rsidRPr="009B19C3">
              <w:rPr>
                <w:sz w:val="18"/>
                <w:szCs w:val="18"/>
              </w:rPr>
              <w:t xml:space="preserve"> aan herstel en wederopbouw in Oekraïne</w:t>
            </w:r>
            <w:r>
              <w:rPr>
                <w:sz w:val="18"/>
                <w:szCs w:val="18"/>
              </w:rPr>
              <w:t>,</w:t>
            </w:r>
            <w:r w:rsidRPr="009B19C3">
              <w:rPr>
                <w:sz w:val="18"/>
                <w:szCs w:val="18"/>
              </w:rPr>
              <w:t xml:space="preserve"> cf. N</w:t>
            </w:r>
            <w:r>
              <w:rPr>
                <w:sz w:val="18"/>
                <w:szCs w:val="18"/>
              </w:rPr>
              <w:t>ederlandse</w:t>
            </w:r>
            <w:r w:rsidRPr="009B19C3">
              <w:rPr>
                <w:sz w:val="18"/>
                <w:szCs w:val="18"/>
              </w:rPr>
              <w:t xml:space="preserve"> beleids</w:t>
            </w:r>
            <w:r>
              <w:rPr>
                <w:sz w:val="18"/>
                <w:szCs w:val="18"/>
              </w:rPr>
              <w:t>inz</w:t>
            </w:r>
            <w:r w:rsidRPr="009B19C3">
              <w:rPr>
                <w:sz w:val="18"/>
                <w:szCs w:val="18"/>
              </w:rPr>
              <w:t>et</w:t>
            </w:r>
            <w:r>
              <w:rPr>
                <w:sz w:val="18"/>
                <w:szCs w:val="18"/>
              </w:rPr>
              <w:t xml:space="preserve"> om het verdienvermogen van Nederland te vergroten;</w:t>
            </w:r>
            <w:r w:rsidRPr="009B19C3">
              <w:rPr>
                <w:sz w:val="18"/>
                <w:szCs w:val="18"/>
              </w:rPr>
              <w:t xml:space="preserve"> </w:t>
            </w:r>
          </w:p>
          <w:p w:rsidRPr="00677683" w:rsidR="00C73D14" w:rsidP="00A32BD6" w:rsidRDefault="00C73D14" w14:paraId="38B7F30B" w14:textId="77777777">
            <w:pPr>
              <w:pStyle w:val="TableParagraph"/>
              <w:numPr>
                <w:ilvl w:val="0"/>
                <w:numId w:val="23"/>
              </w:numPr>
              <w:spacing w:before="8" w:line="252" w:lineRule="auto"/>
              <w:rPr>
                <w:sz w:val="18"/>
                <w:szCs w:val="18"/>
              </w:rPr>
            </w:pPr>
            <w:r>
              <w:rPr>
                <w:sz w:val="18"/>
                <w:szCs w:val="18"/>
              </w:rPr>
              <w:t xml:space="preserve">Alle gesubsidieerde projecten zullen zijn gericht op de Oekraïense publieke sector. De Oekraïense overheid krijgt een rol in het vaststellen van de selectiecriteria van de projecten. Daarmee garanderen we dat alle projecten bijdragen aan de door Oekraïne als prioritair aangemerkte wederopbouw- en herstelactiviteiten;  </w:t>
            </w:r>
          </w:p>
          <w:p w:rsidRPr="009B19C3" w:rsidR="00C73D14" w:rsidP="00A32BD6" w:rsidRDefault="00C73D14" w14:paraId="03F3BEBF" w14:textId="77777777">
            <w:pPr>
              <w:pStyle w:val="TableParagraph"/>
              <w:numPr>
                <w:ilvl w:val="0"/>
                <w:numId w:val="23"/>
              </w:numPr>
              <w:spacing w:before="8" w:line="252" w:lineRule="auto"/>
              <w:rPr>
                <w:sz w:val="18"/>
                <w:szCs w:val="18"/>
              </w:rPr>
            </w:pPr>
            <w:r>
              <w:rPr>
                <w:sz w:val="18"/>
                <w:szCs w:val="18"/>
              </w:rPr>
              <w:t xml:space="preserve">Oekraïense actoren nemen actief deel: elk project dient tenminste één Oekraïense uitvoerende partner te hebben. UPF draagt daarmee ook bij aan de ondersteuning en het verdienvermogen van het lokale bedrijfsleven en duurzame economische ontwikkeling van Oekraïne. Op deze manier wordt een win-win situatie gecreëerd voor zowel Oekraïne als Nederland; </w:t>
            </w:r>
          </w:p>
          <w:p w:rsidR="00C73D14" w:rsidP="00A32BD6" w:rsidRDefault="00C73D14" w14:paraId="38E95F62" w14:textId="77777777">
            <w:pPr>
              <w:pStyle w:val="TableParagraph"/>
              <w:numPr>
                <w:ilvl w:val="0"/>
                <w:numId w:val="23"/>
              </w:numPr>
              <w:spacing w:before="8" w:line="252" w:lineRule="auto"/>
              <w:rPr>
                <w:sz w:val="18"/>
                <w:szCs w:val="18"/>
              </w:rPr>
            </w:pPr>
            <w:r>
              <w:rPr>
                <w:sz w:val="18"/>
                <w:szCs w:val="18"/>
              </w:rPr>
              <w:t>UPF-biedt ondersteuning aan bedrijven om de Oekraïense markt te betreden, dan wel bestaande activiteiten uit te breiden, die tegemoet komen aan Oekraïense noden en niet op een andere manieren gefinancierd kunnen worden;</w:t>
            </w:r>
          </w:p>
          <w:p w:rsidRPr="00D519F4" w:rsidR="00C73D14" w:rsidP="00A32BD6" w:rsidRDefault="00C73D14" w14:paraId="6BFCFCB4" w14:textId="77777777">
            <w:pPr>
              <w:pStyle w:val="TableParagraph"/>
              <w:numPr>
                <w:ilvl w:val="0"/>
                <w:numId w:val="23"/>
              </w:numPr>
              <w:spacing w:before="8" w:line="252" w:lineRule="auto"/>
              <w:rPr>
                <w:sz w:val="18"/>
                <w:szCs w:val="18"/>
              </w:rPr>
            </w:pPr>
            <w:r w:rsidRPr="00D519F4">
              <w:rPr>
                <w:sz w:val="18"/>
                <w:szCs w:val="18"/>
              </w:rPr>
              <w:t>Ondersteuning bij de hervormingsagenda voor toetreding tot de EU en het versterken van de capaciteitsopbouw van Oekraïense (overheids-)instellingen die betrokken zijn bij de wederopbouw (bijdrage aan OESO-landenprogramma, EUR 1 mln.). Dit programma legt het economische fundament voor de toekomst van Oekraïne volgens OESO-waarden en -standaarden. Daarnaast helpt het Oekraïne de absorptiecapaciteit van wederopbouwfondsen te vergroten en zorgt het daarmee voor meer mogelijkheden voor Nederlandse bedrijven om een substantiële bijdrage te leveren aan de wederopbouw van Oekraïne.</w:t>
            </w:r>
          </w:p>
          <w:p w:rsidR="00C73D14" w:rsidP="00A32BD6" w:rsidRDefault="00C73D14" w14:paraId="637777E1" w14:textId="77777777">
            <w:pPr>
              <w:pStyle w:val="TableParagraph"/>
              <w:spacing w:before="8" w:line="252" w:lineRule="auto"/>
              <w:ind w:left="0"/>
              <w:rPr>
                <w:sz w:val="18"/>
                <w:szCs w:val="18"/>
              </w:rPr>
            </w:pPr>
          </w:p>
          <w:p w:rsidRPr="006B4DEF" w:rsidR="00C73D14" w:rsidP="00A32BD6" w:rsidRDefault="00C73D14" w14:paraId="793EE18E" w14:textId="77777777">
            <w:pPr>
              <w:pStyle w:val="TableParagraph"/>
              <w:spacing w:before="8" w:line="252" w:lineRule="auto"/>
              <w:ind w:left="0"/>
              <w:rPr>
                <w:sz w:val="18"/>
                <w:szCs w:val="18"/>
                <w:u w:val="single"/>
              </w:rPr>
            </w:pPr>
            <w:r w:rsidRPr="006B4DEF">
              <w:rPr>
                <w:sz w:val="18"/>
                <w:szCs w:val="18"/>
                <w:u w:val="single"/>
              </w:rPr>
              <w:t xml:space="preserve">UPF en OESO-bijdrage als onderdeel van </w:t>
            </w:r>
            <w:r>
              <w:rPr>
                <w:sz w:val="18"/>
                <w:szCs w:val="18"/>
                <w:u w:val="single"/>
              </w:rPr>
              <w:t>de bedrijfsleven</w:t>
            </w:r>
            <w:r w:rsidRPr="006B4DEF">
              <w:rPr>
                <w:sz w:val="18"/>
                <w:szCs w:val="18"/>
                <w:u w:val="single"/>
              </w:rPr>
              <w:t>strategie</w:t>
            </w:r>
          </w:p>
          <w:p w:rsidR="00C73D14" w:rsidP="00A32BD6" w:rsidRDefault="00C73D14" w14:paraId="7C5FF739" w14:textId="77777777">
            <w:pPr>
              <w:pStyle w:val="TableParagraph"/>
              <w:spacing w:before="8" w:line="252" w:lineRule="auto"/>
              <w:ind w:left="0"/>
              <w:rPr>
                <w:sz w:val="18"/>
                <w:szCs w:val="18"/>
              </w:rPr>
            </w:pPr>
            <w:r>
              <w:rPr>
                <w:sz w:val="18"/>
                <w:szCs w:val="18"/>
              </w:rPr>
              <w:t>Zowel UPF3 als de bijdrage aan de OESO zijn onderdeel van een breder pallet aan private sector ondersteuning om bij te dragen aan de herstel- en  wederopbouwopgave van Oekraïne, waaronder het bieden van leningen, verzekeringen en garanties aan het NL bedrijfsleven maar ook bijdragen aan lokale private sector ontwikkeling. UPF is een hieraan complementair subsidie-instrument. De minister van BHO heeft in 2024 een bedrijfslevenstrategie Oekraïne vastgesteld, waarin de specifieke inzet van zowel bestaand als nieuw instrumentarium gericht op het versterken van de Oekraïense economie in samenhang is beschreven. Garanties en verzekeringen zijn noodzakelijk om de disproportionele risico’s op bedrijfsschade door de oorlog te kunnen afdekken. Subsidies zijn nodig om voor herstel en wederopbouw relevante businesscases mogelijk te maken die op dit moment niet rendabel zijn door de sterk gestegen risico’s en kosten door de oorlog op het gebied van financiering, personeel, werkmateriaal en kapitaal of door de maatschappelijke aard van het project. UPF past in dit pallet.</w:t>
            </w:r>
          </w:p>
          <w:p w:rsidRPr="004729E6" w:rsidR="00C73D14" w:rsidP="00A32BD6" w:rsidRDefault="00C73D14" w14:paraId="089C429E" w14:textId="77777777">
            <w:pPr>
              <w:pStyle w:val="TableParagraph"/>
              <w:spacing w:before="8" w:line="252" w:lineRule="auto"/>
              <w:ind w:left="0"/>
              <w:rPr>
                <w:sz w:val="18"/>
                <w:szCs w:val="18"/>
              </w:rPr>
            </w:pPr>
          </w:p>
        </w:tc>
      </w:tr>
      <w:tr w:rsidRPr="00117F99" w:rsidR="00C73D14" w:rsidTr="00A32BD6" w14:paraId="561403D2" w14:textId="77777777">
        <w:trPr>
          <w:trHeight w:val="559"/>
        </w:trPr>
        <w:tc>
          <w:tcPr>
            <w:tcW w:w="1159" w:type="pct"/>
            <w:tcBorders>
              <w:top w:val="nil"/>
              <w:left w:val="nil"/>
              <w:bottom w:val="single" w:color="017BC7" w:sz="8" w:space="0"/>
              <w:right w:val="nil"/>
            </w:tcBorders>
            <w:shd w:val="clear" w:color="auto" w:fill="D6EFF9"/>
            <w:hideMark/>
          </w:tcPr>
          <w:p w:rsidRPr="00C450A6" w:rsidR="00C73D14" w:rsidP="00A32BD6" w:rsidRDefault="00C73D14" w14:paraId="39E4227F" w14:textId="77777777">
            <w:pPr>
              <w:pStyle w:val="TableParagraph"/>
              <w:spacing w:before="57" w:line="252" w:lineRule="auto"/>
              <w:ind w:left="89"/>
              <w:rPr>
                <w:b/>
                <w:bCs/>
                <w:sz w:val="18"/>
                <w:szCs w:val="18"/>
              </w:rPr>
            </w:pPr>
            <w:r w:rsidRPr="00C450A6">
              <w:rPr>
                <w:b/>
                <w:bCs/>
                <w:sz w:val="18"/>
                <w:szCs w:val="18"/>
              </w:rPr>
              <w:lastRenderedPageBreak/>
              <w:t>2. Beleidsinstrument(en)</w:t>
            </w:r>
          </w:p>
        </w:tc>
        <w:tc>
          <w:tcPr>
            <w:tcW w:w="3841" w:type="pct"/>
            <w:tcBorders>
              <w:top w:val="nil"/>
              <w:left w:val="nil"/>
              <w:bottom w:val="single" w:color="017BC7" w:sz="8" w:space="0"/>
              <w:right w:val="nil"/>
            </w:tcBorders>
          </w:tcPr>
          <w:p w:rsidR="00C73D14" w:rsidP="00A32BD6" w:rsidRDefault="00C73D14" w14:paraId="000C4246" w14:textId="77777777">
            <w:pPr>
              <w:pStyle w:val="TableParagraph"/>
              <w:spacing w:before="8" w:line="252" w:lineRule="auto"/>
              <w:rPr>
                <w:sz w:val="18"/>
                <w:szCs w:val="18"/>
              </w:rPr>
            </w:pPr>
            <w:r w:rsidRPr="0060043E">
              <w:rPr>
                <w:sz w:val="18"/>
                <w:szCs w:val="18"/>
              </w:rPr>
              <w:t>Welke beleidsinstrumenten worden ingezet om deze doelen te realiseren?</w:t>
            </w:r>
          </w:p>
          <w:p w:rsidR="00C73D14" w:rsidP="00A32BD6" w:rsidRDefault="00C73D14" w14:paraId="71572CA0" w14:textId="77777777">
            <w:pPr>
              <w:pStyle w:val="TableParagraph"/>
              <w:spacing w:before="8" w:line="252" w:lineRule="auto"/>
              <w:rPr>
                <w:sz w:val="18"/>
                <w:szCs w:val="18"/>
              </w:rPr>
            </w:pPr>
          </w:p>
          <w:p w:rsidRPr="00F80132" w:rsidR="00C73D14" w:rsidP="00A32BD6" w:rsidRDefault="00C73D14" w14:paraId="3857F4FB" w14:textId="77777777">
            <w:pPr>
              <w:pStyle w:val="TableParagraph"/>
              <w:spacing w:before="8" w:line="252" w:lineRule="auto"/>
              <w:rPr>
                <w:sz w:val="18"/>
                <w:szCs w:val="18"/>
              </w:rPr>
            </w:pPr>
            <w:r w:rsidRPr="00C649E6">
              <w:rPr>
                <w:sz w:val="18"/>
                <w:szCs w:val="18"/>
              </w:rPr>
              <w:t>Financiële steun aan</w:t>
            </w:r>
            <w:r>
              <w:rPr>
                <w:sz w:val="18"/>
                <w:szCs w:val="18"/>
              </w:rPr>
              <w:t xml:space="preserve"> partnerschappen van NL en </w:t>
            </w:r>
            <w:r w:rsidRPr="00642D5C">
              <w:rPr>
                <w:sz w:val="18"/>
                <w:szCs w:val="18"/>
              </w:rPr>
              <w:t xml:space="preserve">Oekraïense </w:t>
            </w:r>
            <w:r>
              <w:rPr>
                <w:sz w:val="18"/>
                <w:szCs w:val="18"/>
              </w:rPr>
              <w:t>bedrijven en organisaties in de vorm van een subsidie op projectkosten, ter realisatie van concrete projecten die bijdragen aan het versterken en waar relevant wederopbouwen van de Oekraïense economie en maatschappij. Het betreft projecten die gericht zijn op de Oekraïense publieke sector. Dit specifieke bestedingsvoorstel gaat over een 3</w:t>
            </w:r>
            <w:r w:rsidRPr="00DA09D5">
              <w:rPr>
                <w:sz w:val="18"/>
                <w:szCs w:val="18"/>
              </w:rPr>
              <w:t>e</w:t>
            </w:r>
            <w:r>
              <w:rPr>
                <w:sz w:val="18"/>
                <w:szCs w:val="18"/>
              </w:rPr>
              <w:t xml:space="preserve"> ronde van de Ukraine Partnership Facility (UPF) t.w.v. EUR 30 mln. en over een bijdrage ter o</w:t>
            </w:r>
            <w:r w:rsidRPr="00F80132">
              <w:rPr>
                <w:sz w:val="18"/>
                <w:szCs w:val="18"/>
              </w:rPr>
              <w:t>ndersteuning bij de hervormingsagenda voor toetreding tot de EU en het versterken van de capaciteitsopbouw van Oekraïense (overheids-)instellingen die betrokken zijn bij de wederopbouw (bijdrage aan OESO-landenprogramma, EUR 1 mln.).</w:t>
            </w:r>
          </w:p>
          <w:p w:rsidR="00C73D14" w:rsidP="00A32BD6" w:rsidRDefault="00C73D14" w14:paraId="215E163B" w14:textId="77777777">
            <w:pPr>
              <w:pStyle w:val="TableParagraph"/>
              <w:spacing w:before="8" w:line="252" w:lineRule="auto"/>
              <w:rPr>
                <w:sz w:val="18"/>
                <w:szCs w:val="18"/>
              </w:rPr>
            </w:pPr>
          </w:p>
          <w:p w:rsidR="00C73D14" w:rsidP="00A32BD6" w:rsidRDefault="00C73D14" w14:paraId="31878F21" w14:textId="77777777">
            <w:pPr>
              <w:pStyle w:val="TableParagraph"/>
              <w:spacing w:before="8" w:line="252" w:lineRule="auto"/>
              <w:rPr>
                <w:sz w:val="18"/>
                <w:szCs w:val="18"/>
              </w:rPr>
            </w:pPr>
            <w:r>
              <w:rPr>
                <w:sz w:val="18"/>
                <w:szCs w:val="18"/>
              </w:rPr>
              <w:t>Het voorstel is om een 3</w:t>
            </w:r>
            <w:r w:rsidRPr="00DA09D5">
              <w:rPr>
                <w:sz w:val="18"/>
                <w:szCs w:val="18"/>
              </w:rPr>
              <w:t>e</w:t>
            </w:r>
            <w:r>
              <w:rPr>
                <w:sz w:val="18"/>
                <w:szCs w:val="18"/>
              </w:rPr>
              <w:t xml:space="preserve"> UPF-ronde zo spoedig mogelijk open te stellen met doorvoeren van de volgende wijzigingen ten opzichte van UPF2: </w:t>
            </w:r>
          </w:p>
          <w:p w:rsidR="00C73D14" w:rsidP="00A32BD6" w:rsidRDefault="00C73D14" w14:paraId="388AB995" w14:textId="77777777">
            <w:pPr>
              <w:pStyle w:val="TableParagraph"/>
              <w:numPr>
                <w:ilvl w:val="0"/>
                <w:numId w:val="17"/>
              </w:numPr>
              <w:spacing w:before="8" w:line="252" w:lineRule="auto"/>
              <w:rPr>
                <w:sz w:val="18"/>
                <w:szCs w:val="18"/>
              </w:rPr>
            </w:pPr>
            <w:r>
              <w:rPr>
                <w:sz w:val="18"/>
                <w:szCs w:val="18"/>
              </w:rPr>
              <w:t>Het subsidiëren van uitsluitend activiteiten die zijn gericht op de publieke sector van Oekraïne (B2G). Redenen hiervoor zijn (a) meer duidelijkheid scheppen in het instrumentarium en (b) doelmatiger inzet van de beleidsmiddelen (niet over-subsidiëren van projecten die in de basis een goede businesscase hebben). Er zal een incentive komen voor a</w:t>
            </w:r>
            <w:r w:rsidRPr="00037F85">
              <w:rPr>
                <w:sz w:val="18"/>
                <w:szCs w:val="18"/>
              </w:rPr>
              <w:t>ansluiting bij publiek</w:t>
            </w:r>
            <w:r>
              <w:rPr>
                <w:sz w:val="18"/>
                <w:szCs w:val="18"/>
              </w:rPr>
              <w:t>e</w:t>
            </w:r>
            <w:r w:rsidRPr="00037F85">
              <w:rPr>
                <w:sz w:val="18"/>
                <w:szCs w:val="18"/>
              </w:rPr>
              <w:t xml:space="preserve"> investeringsproject</w:t>
            </w:r>
            <w:r>
              <w:rPr>
                <w:sz w:val="18"/>
                <w:szCs w:val="18"/>
              </w:rPr>
              <w:t>en die</w:t>
            </w:r>
            <w:r w:rsidRPr="00037F85">
              <w:rPr>
                <w:sz w:val="18"/>
                <w:szCs w:val="18"/>
              </w:rPr>
              <w:t xml:space="preserve"> </w:t>
            </w:r>
            <w:r>
              <w:rPr>
                <w:sz w:val="18"/>
                <w:szCs w:val="18"/>
              </w:rPr>
              <w:t xml:space="preserve">door de Oekraïense overheid zijn opgenomen in de centrale database DREAM. Middels deze database prioriteert de overheid wederopbouwprojecten en kanaliseert zij de diverse donorgeldstromen en eigen publieke investeringen. </w:t>
            </w:r>
          </w:p>
          <w:p w:rsidR="00C73D14" w:rsidP="00A32BD6" w:rsidRDefault="00C73D14" w14:paraId="3CFE65BE" w14:textId="77777777">
            <w:pPr>
              <w:pStyle w:val="TableParagraph"/>
              <w:numPr>
                <w:ilvl w:val="0"/>
                <w:numId w:val="17"/>
              </w:numPr>
              <w:spacing w:before="8" w:line="252" w:lineRule="auto"/>
              <w:rPr>
                <w:sz w:val="18"/>
                <w:szCs w:val="18"/>
              </w:rPr>
            </w:pPr>
            <w:r>
              <w:rPr>
                <w:sz w:val="18"/>
                <w:szCs w:val="18"/>
              </w:rPr>
              <w:t xml:space="preserve">Het verlagen van het maximale subsidiepercentage naar 90%. Er zal daarnaast een incentive komen voor organisaties die – financieel of </w:t>
            </w:r>
            <w:r w:rsidRPr="59A9A1C5">
              <w:rPr>
                <w:i/>
                <w:iCs/>
                <w:sz w:val="18"/>
                <w:szCs w:val="18"/>
              </w:rPr>
              <w:t>in kind</w:t>
            </w:r>
            <w:r>
              <w:rPr>
                <w:sz w:val="18"/>
                <w:szCs w:val="18"/>
              </w:rPr>
              <w:t xml:space="preserve"> – een grotere eigen bijdrage doen. Gezien de focus op uitsluitend projecten die zich richten op de publieke sector, zal een eigen bijdrage van meer dan 10% voor veel bedrijven en organisaties niet haalbaar zijn. Dit is in lijn met recente door Frankrijk (100%) en Zwitserland (90%) opgerichte fondsen die zich eveneens richten op private activiteiten t.b.v. de Oekraïense publieke sector. Zwitserland heeft het percentage gebaseerd op uitgebreide marktconsultatie bij Zwitserse bedrijven die in OEK actief zijn. </w:t>
            </w:r>
          </w:p>
          <w:p w:rsidR="00C73D14" w:rsidP="00A32BD6" w:rsidRDefault="00C73D14" w14:paraId="0691F0FC" w14:textId="77777777">
            <w:pPr>
              <w:pStyle w:val="TableParagraph"/>
              <w:numPr>
                <w:ilvl w:val="0"/>
                <w:numId w:val="17"/>
              </w:numPr>
              <w:spacing w:before="8" w:line="252" w:lineRule="auto"/>
              <w:rPr>
                <w:sz w:val="18"/>
                <w:szCs w:val="18"/>
              </w:rPr>
            </w:pPr>
            <w:r w:rsidRPr="00D46C1B">
              <w:rPr>
                <w:sz w:val="18"/>
                <w:szCs w:val="18"/>
              </w:rPr>
              <w:t xml:space="preserve">Het </w:t>
            </w:r>
            <w:r>
              <w:rPr>
                <w:sz w:val="18"/>
                <w:szCs w:val="18"/>
              </w:rPr>
              <w:t xml:space="preserve">invoeren van een verplichte conceptnote fase met als doel het verbeteren van de kwaliteit van de ingediende projectvoorstellen, wat naar verwachting tevens zal leiden tot een efficiëntere beoordelingsfase. </w:t>
            </w:r>
          </w:p>
          <w:p w:rsidRPr="004A08E1" w:rsidR="00C73D14" w:rsidP="00A32BD6" w:rsidRDefault="00C73D14" w14:paraId="27D6A78D" w14:textId="77777777">
            <w:pPr>
              <w:pStyle w:val="TableParagraph"/>
              <w:numPr>
                <w:ilvl w:val="0"/>
                <w:numId w:val="17"/>
              </w:numPr>
              <w:spacing w:before="8" w:line="252" w:lineRule="auto"/>
              <w:rPr>
                <w:sz w:val="18"/>
                <w:szCs w:val="18"/>
              </w:rPr>
            </w:pPr>
            <w:r>
              <w:rPr>
                <w:sz w:val="18"/>
                <w:szCs w:val="18"/>
              </w:rPr>
              <w:t xml:space="preserve">De Oekraïense overheid een rol te geven bij het vaststellen van de selectiecriteria waaraan voorstellen moeten voldoen, in het bijzonder gericht op nog verder aanscherpen van de projectrelevantie voor de Oekraïense wederopbouwprioriteiten.  Op dit gebied zijn er interessante voorbeelden van samenwerking tussen de Oekraïense overheid met Frankrijk en Zwitserland, waarbij het Zwitserse model het meest aantrekkelijke is. De exacte inrichting moet nog worden gedefinieerd. </w:t>
            </w:r>
          </w:p>
          <w:p w:rsidRPr="0060043E" w:rsidR="00C73D14" w:rsidP="00A32BD6" w:rsidRDefault="00C73D14" w14:paraId="70E681F2" w14:textId="77777777">
            <w:pPr>
              <w:pStyle w:val="TableParagraph"/>
              <w:spacing w:before="8" w:line="252" w:lineRule="auto"/>
              <w:rPr>
                <w:sz w:val="18"/>
                <w:szCs w:val="18"/>
              </w:rPr>
            </w:pPr>
          </w:p>
        </w:tc>
      </w:tr>
      <w:tr w:rsidRPr="0060043E" w:rsidR="00C73D14" w:rsidTr="00A32BD6" w14:paraId="5DF76A14" w14:textId="77777777">
        <w:trPr>
          <w:trHeight w:val="559"/>
        </w:trPr>
        <w:tc>
          <w:tcPr>
            <w:tcW w:w="1159" w:type="pct"/>
            <w:tcBorders>
              <w:top w:val="nil"/>
              <w:left w:val="nil"/>
              <w:bottom w:val="single" w:color="017BC7" w:sz="8" w:space="0"/>
              <w:right w:val="nil"/>
            </w:tcBorders>
            <w:shd w:val="clear" w:color="auto" w:fill="D6EFF9"/>
          </w:tcPr>
          <w:p w:rsidRPr="0001632F" w:rsidR="00C73D14" w:rsidP="00A32BD6" w:rsidRDefault="00C73D14" w14:paraId="58E36023" w14:textId="77777777">
            <w:pPr>
              <w:pStyle w:val="TableParagraph"/>
              <w:spacing w:before="52" w:line="252" w:lineRule="auto"/>
              <w:ind w:left="89"/>
              <w:rPr>
                <w:sz w:val="18"/>
                <w:szCs w:val="18"/>
              </w:rPr>
            </w:pPr>
            <w:r w:rsidRPr="0001632F">
              <w:rPr>
                <w:sz w:val="18"/>
                <w:szCs w:val="18"/>
              </w:rPr>
              <w:t>3. Samenhang eerdere steuninitiatieven</w:t>
            </w:r>
          </w:p>
          <w:p w:rsidRPr="0001632F" w:rsidR="00C73D14" w:rsidP="00A32BD6" w:rsidRDefault="00C73D14" w14:paraId="25EBF82E" w14:textId="77777777">
            <w:pPr>
              <w:pStyle w:val="TableParagraph"/>
              <w:spacing w:before="52" w:line="252" w:lineRule="auto"/>
              <w:ind w:left="89"/>
              <w:rPr>
                <w:sz w:val="18"/>
                <w:szCs w:val="18"/>
              </w:rPr>
            </w:pPr>
          </w:p>
        </w:tc>
        <w:tc>
          <w:tcPr>
            <w:tcW w:w="3841" w:type="pct"/>
            <w:tcBorders>
              <w:top w:val="nil"/>
              <w:left w:val="nil"/>
              <w:bottom w:val="single" w:color="017BC7" w:sz="8" w:space="0"/>
              <w:right w:val="nil"/>
            </w:tcBorders>
          </w:tcPr>
          <w:p w:rsidR="00C73D14" w:rsidP="00A32BD6" w:rsidRDefault="00C73D14" w14:paraId="689CD1E7" w14:textId="77777777">
            <w:pPr>
              <w:autoSpaceDE w:val="0"/>
              <w:autoSpaceDN w:val="0"/>
              <w:spacing w:before="52" w:line="252" w:lineRule="auto"/>
              <w:rPr>
                <w:sz w:val="18"/>
                <w:szCs w:val="18"/>
              </w:rPr>
            </w:pPr>
            <w:r>
              <w:rPr>
                <w:sz w:val="18"/>
                <w:szCs w:val="18"/>
              </w:rPr>
              <w:t xml:space="preserve"> Hoe verhoudt het steunvoorstel zich tot eerdere steuninitiatieven op het betreffende thema?  </w:t>
            </w:r>
          </w:p>
          <w:p w:rsidR="00C73D14" w:rsidP="00A32BD6" w:rsidRDefault="00C73D14" w14:paraId="632D78E9" w14:textId="77777777">
            <w:pPr>
              <w:autoSpaceDE w:val="0"/>
              <w:autoSpaceDN w:val="0"/>
              <w:spacing w:before="52" w:line="252" w:lineRule="auto"/>
              <w:rPr>
                <w:sz w:val="18"/>
                <w:szCs w:val="18"/>
              </w:rPr>
            </w:pPr>
            <w:r>
              <w:rPr>
                <w:sz w:val="18"/>
                <w:szCs w:val="18"/>
              </w:rPr>
              <w:t xml:space="preserve"> Wat zijn de resultaten tot dusver geweest en de geleerde lessen? </w:t>
            </w:r>
          </w:p>
          <w:p w:rsidR="00C73D14" w:rsidP="00A32BD6" w:rsidRDefault="00C73D14" w14:paraId="6284755C" w14:textId="77777777">
            <w:pPr>
              <w:pStyle w:val="TableParagraph"/>
              <w:spacing w:before="8" w:line="252" w:lineRule="auto"/>
              <w:ind w:left="0"/>
              <w:rPr>
                <w:sz w:val="18"/>
                <w:szCs w:val="18"/>
              </w:rPr>
            </w:pPr>
          </w:p>
          <w:p w:rsidR="00C73D14" w:rsidP="00A32BD6" w:rsidRDefault="00C73D14" w14:paraId="0E9727C9" w14:textId="77777777">
            <w:pPr>
              <w:pStyle w:val="TableParagraph"/>
              <w:spacing w:before="8" w:line="252" w:lineRule="auto"/>
              <w:ind w:left="0"/>
              <w:rPr>
                <w:sz w:val="18"/>
                <w:szCs w:val="18"/>
              </w:rPr>
            </w:pPr>
            <w:r w:rsidRPr="009217B7">
              <w:rPr>
                <w:sz w:val="18"/>
                <w:szCs w:val="18"/>
                <w:u w:val="single"/>
              </w:rPr>
              <w:t>Lessons learned</w:t>
            </w:r>
          </w:p>
          <w:p w:rsidR="00C73D14" w:rsidP="00A32BD6" w:rsidRDefault="00C73D14" w14:paraId="57DE09EF" w14:textId="77777777">
            <w:pPr>
              <w:pStyle w:val="TableParagraph"/>
              <w:spacing w:before="8" w:line="252" w:lineRule="auto"/>
              <w:ind w:left="0"/>
              <w:rPr>
                <w:sz w:val="18"/>
                <w:szCs w:val="18"/>
              </w:rPr>
            </w:pPr>
            <w:r>
              <w:rPr>
                <w:sz w:val="18"/>
                <w:szCs w:val="18"/>
              </w:rPr>
              <w:lastRenderedPageBreak/>
              <w:t xml:space="preserve">In het begin van de oorlog is de keuze gemaakt om niet het bestaande instrumentarium aan te passen aan de specifieke oorlogssituatie in Oekraïne, maar een separaat instrument in te richten waarmee snel tot concrete activiteiten t.b.v. ondersteuning van de Oekraïense economie kon worden overgegaan. </w:t>
            </w:r>
          </w:p>
          <w:p w:rsidR="00C73D14" w:rsidP="00A32BD6" w:rsidRDefault="00C73D14" w14:paraId="7C2FED56" w14:textId="77777777">
            <w:pPr>
              <w:pStyle w:val="TableParagraph"/>
              <w:spacing w:before="8" w:line="252" w:lineRule="auto"/>
              <w:ind w:left="0"/>
              <w:rPr>
                <w:sz w:val="18"/>
                <w:szCs w:val="18"/>
              </w:rPr>
            </w:pPr>
          </w:p>
          <w:p w:rsidR="00C73D14" w:rsidP="00A32BD6" w:rsidRDefault="00C73D14" w14:paraId="55B10270" w14:textId="77777777">
            <w:pPr>
              <w:pStyle w:val="TableParagraph"/>
              <w:spacing w:before="8" w:line="252" w:lineRule="auto"/>
              <w:ind w:left="0"/>
              <w:rPr>
                <w:sz w:val="18"/>
                <w:szCs w:val="18"/>
              </w:rPr>
            </w:pPr>
            <w:r>
              <w:rPr>
                <w:sz w:val="18"/>
                <w:szCs w:val="18"/>
              </w:rPr>
              <w:t>Inmiddels zijn er op diverse wijzen lessen geleerd:</w:t>
            </w:r>
          </w:p>
          <w:p w:rsidR="00C73D14" w:rsidP="00A32BD6" w:rsidRDefault="00C73D14" w14:paraId="02B768D2" w14:textId="77777777">
            <w:pPr>
              <w:pStyle w:val="TableParagraph"/>
              <w:numPr>
                <w:ilvl w:val="0"/>
                <w:numId w:val="23"/>
              </w:numPr>
              <w:spacing w:before="8" w:line="252" w:lineRule="auto"/>
              <w:rPr>
                <w:sz w:val="18"/>
                <w:szCs w:val="18"/>
              </w:rPr>
            </w:pPr>
            <w:r>
              <w:rPr>
                <w:sz w:val="18"/>
                <w:szCs w:val="18"/>
              </w:rPr>
              <w:t>Uit UPF rondes 1 en 2: de eerste geleerde lessen uit UPF ronde 1 vormden de basis voor aanpassingen t.b.v. UPF 2 en inmiddels zijn de nodige ervaringen opgedaan met ronde 2 die duidelijke aanwijzingen vormen voor wijzigingen in een derde ronde;</w:t>
            </w:r>
          </w:p>
          <w:p w:rsidR="00C73D14" w:rsidP="00A32BD6" w:rsidRDefault="00C73D14" w14:paraId="513CE381" w14:textId="77777777">
            <w:pPr>
              <w:pStyle w:val="TableParagraph"/>
              <w:numPr>
                <w:ilvl w:val="0"/>
                <w:numId w:val="23"/>
              </w:numPr>
              <w:spacing w:before="8" w:line="252" w:lineRule="auto"/>
              <w:rPr>
                <w:sz w:val="18"/>
                <w:szCs w:val="18"/>
              </w:rPr>
            </w:pPr>
            <w:r>
              <w:rPr>
                <w:sz w:val="18"/>
                <w:szCs w:val="18"/>
              </w:rPr>
              <w:t xml:space="preserve">De speciaal gezant voor Oekraïne heeft met een groot aantal andere Europese landen gesproken over hoe zij de ondersteuning van de wederopbouw in Oekraïne met hulp van hun private sectoren hebben vormgegeven;  </w:t>
            </w:r>
          </w:p>
          <w:p w:rsidR="00C73D14" w:rsidP="00A32BD6" w:rsidRDefault="00C73D14" w14:paraId="27F0B3F1" w14:textId="77777777">
            <w:pPr>
              <w:pStyle w:val="TableParagraph"/>
              <w:numPr>
                <w:ilvl w:val="0"/>
                <w:numId w:val="23"/>
              </w:numPr>
              <w:spacing w:before="8" w:line="252" w:lineRule="auto"/>
              <w:rPr>
                <w:sz w:val="18"/>
                <w:szCs w:val="18"/>
              </w:rPr>
            </w:pPr>
            <w:r>
              <w:rPr>
                <w:sz w:val="18"/>
                <w:szCs w:val="18"/>
              </w:rPr>
              <w:t>Er is een marktonderzoek gedaan naar de ondersteuningsbehoefte van bedrijven voor het zakendoen in Oekraïne.</w:t>
            </w:r>
          </w:p>
          <w:p w:rsidR="00C73D14" w:rsidP="00A32BD6" w:rsidRDefault="00C73D14" w14:paraId="5833FA7E" w14:textId="77777777">
            <w:pPr>
              <w:pStyle w:val="TableParagraph"/>
              <w:spacing w:before="8" w:line="252" w:lineRule="auto"/>
              <w:ind w:left="0"/>
              <w:rPr>
                <w:sz w:val="18"/>
                <w:szCs w:val="18"/>
              </w:rPr>
            </w:pPr>
          </w:p>
          <w:p w:rsidRPr="00F80132" w:rsidR="00C73D14" w:rsidP="00A32BD6" w:rsidRDefault="00C73D14" w14:paraId="5D1D9AB9" w14:textId="77777777">
            <w:pPr>
              <w:pStyle w:val="TableParagraph"/>
              <w:spacing w:before="8" w:line="252" w:lineRule="auto"/>
              <w:ind w:left="0"/>
              <w:rPr>
                <w:i/>
                <w:iCs/>
                <w:sz w:val="18"/>
                <w:szCs w:val="18"/>
                <w:u w:val="single"/>
              </w:rPr>
            </w:pPr>
            <w:r w:rsidRPr="59A9A1C5">
              <w:rPr>
                <w:i/>
                <w:iCs/>
                <w:sz w:val="18"/>
                <w:szCs w:val="18"/>
              </w:rPr>
              <w:t>Lessons learned UPF1 en UPF2</w:t>
            </w:r>
          </w:p>
          <w:p w:rsidR="00C73D14" w:rsidP="00A32BD6" w:rsidRDefault="00C73D14" w14:paraId="53C59B13" w14:textId="77777777">
            <w:pPr>
              <w:pStyle w:val="TableParagraph"/>
              <w:spacing w:before="8" w:line="252" w:lineRule="auto"/>
              <w:ind w:left="0"/>
              <w:rPr>
                <w:sz w:val="18"/>
                <w:szCs w:val="18"/>
              </w:rPr>
            </w:pPr>
            <w:r>
              <w:rPr>
                <w:sz w:val="18"/>
                <w:szCs w:val="18"/>
              </w:rPr>
              <w:t xml:space="preserve">UPF1 is in 2023 opengesteld en toekenning van de middelen werd in het voorjaar van 2024 voltooid (EUR 25 mln). Hierbij zijn 7 projecten gesubsidieerd. Momenteel vindt uitvoering van de projecten plaats (3 op terrein van landbouw, 3 op terrein van gezondheidszorg en 1 op terrein van water). </w:t>
            </w:r>
          </w:p>
          <w:p w:rsidR="00C73D14" w:rsidP="00A32BD6" w:rsidRDefault="00C73D14" w14:paraId="5EDB0902" w14:textId="77777777">
            <w:pPr>
              <w:pStyle w:val="TableParagraph"/>
              <w:spacing w:before="8" w:line="252" w:lineRule="auto"/>
              <w:ind w:left="0"/>
              <w:rPr>
                <w:sz w:val="18"/>
                <w:szCs w:val="18"/>
              </w:rPr>
            </w:pPr>
            <w:r>
              <w:rPr>
                <w:sz w:val="18"/>
                <w:szCs w:val="18"/>
              </w:rPr>
              <w:t xml:space="preserve">UPF2 is op 30 oktober jl. opengesteld voor aanvragen in de sectoren landbouw, water, gezondheidszorg, energie en circulaire bouw. De termijn voor indiening van aanvragen liep tot 30 januari 2025. Er zijn 75 aanvragen ontvangen t.w.v. ruim EUR 190 mln. (er is EUR 32,5 mln. beschikbaar). </w:t>
            </w:r>
          </w:p>
          <w:p w:rsidR="00C73D14" w:rsidP="00A32BD6" w:rsidRDefault="00C73D14" w14:paraId="13F57B27" w14:textId="77777777">
            <w:pPr>
              <w:pStyle w:val="TableParagraph"/>
              <w:spacing w:before="8" w:line="252" w:lineRule="auto"/>
              <w:ind w:left="0"/>
              <w:rPr>
                <w:sz w:val="18"/>
                <w:szCs w:val="18"/>
              </w:rPr>
            </w:pPr>
          </w:p>
          <w:p w:rsidR="00C73D14" w:rsidP="00A32BD6" w:rsidRDefault="00C73D14" w14:paraId="4B825073" w14:textId="77777777">
            <w:pPr>
              <w:pStyle w:val="TableParagraph"/>
              <w:spacing w:before="8" w:line="252" w:lineRule="auto"/>
              <w:ind w:left="0"/>
              <w:rPr>
                <w:sz w:val="18"/>
                <w:szCs w:val="18"/>
              </w:rPr>
            </w:pPr>
            <w:r>
              <w:rPr>
                <w:sz w:val="18"/>
                <w:szCs w:val="18"/>
              </w:rPr>
              <w:t>UPF</w:t>
            </w:r>
            <w:r w:rsidRPr="00980406">
              <w:rPr>
                <w:sz w:val="18"/>
                <w:szCs w:val="18"/>
              </w:rPr>
              <w:t xml:space="preserve"> ontwikkelt zich </w:t>
            </w:r>
            <w:r>
              <w:rPr>
                <w:sz w:val="18"/>
                <w:szCs w:val="18"/>
              </w:rPr>
              <w:t>door</w:t>
            </w:r>
            <w:r w:rsidRPr="00980406">
              <w:rPr>
                <w:sz w:val="18"/>
                <w:szCs w:val="18"/>
              </w:rPr>
              <w:t xml:space="preserve"> opvolging te geven aan geleerde lessen uit eerdere rondes</w:t>
            </w:r>
            <w:r>
              <w:rPr>
                <w:sz w:val="18"/>
                <w:szCs w:val="18"/>
              </w:rPr>
              <w:t xml:space="preserve">. </w:t>
            </w:r>
            <w:r w:rsidRPr="00980406">
              <w:rPr>
                <w:sz w:val="18"/>
                <w:szCs w:val="18"/>
              </w:rPr>
              <w:t xml:space="preserve">Uit </w:t>
            </w:r>
            <w:r w:rsidRPr="59A9A1C5">
              <w:rPr>
                <w:i/>
                <w:iCs/>
                <w:sz w:val="18"/>
                <w:szCs w:val="18"/>
              </w:rPr>
              <w:t xml:space="preserve">lessons learned </w:t>
            </w:r>
            <w:r w:rsidRPr="00980406">
              <w:rPr>
                <w:sz w:val="18"/>
                <w:szCs w:val="18"/>
              </w:rPr>
              <w:t>van UPF1</w:t>
            </w:r>
            <w:r w:rsidRPr="59A9A1C5">
              <w:rPr>
                <w:i/>
                <w:iCs/>
                <w:sz w:val="18"/>
                <w:szCs w:val="18"/>
              </w:rPr>
              <w:t xml:space="preserve"> </w:t>
            </w:r>
            <w:r w:rsidRPr="00980406">
              <w:rPr>
                <w:sz w:val="18"/>
                <w:szCs w:val="18"/>
              </w:rPr>
              <w:t xml:space="preserve">zijn aanpassingen voortgekomen voor UPF2 die toezagen op strengere eisen aan de aanvragende partijen, strengere eisen aan de projectvoorstellen, strengere eisen aan risicoanalyse en -mitigatie en een organisatorisch strakker en in de tijd ruimer ingericht voorbereidings- en uitvoeringsproces. </w:t>
            </w:r>
            <w:r>
              <w:rPr>
                <w:sz w:val="18"/>
                <w:szCs w:val="18"/>
              </w:rPr>
              <w:t>Daarnaast is het maximale subsidiepercentage met 5% verlaagd.</w:t>
            </w:r>
          </w:p>
          <w:p w:rsidR="00C73D14" w:rsidP="00A32BD6" w:rsidRDefault="00C73D14" w14:paraId="615517FA" w14:textId="77777777">
            <w:pPr>
              <w:pStyle w:val="TableParagraph"/>
              <w:spacing w:before="8" w:line="252" w:lineRule="auto"/>
              <w:ind w:left="0"/>
              <w:rPr>
                <w:sz w:val="18"/>
                <w:szCs w:val="18"/>
              </w:rPr>
            </w:pPr>
          </w:p>
          <w:p w:rsidR="00C73D14" w:rsidP="00A32BD6" w:rsidRDefault="00C73D14" w14:paraId="1885C79C" w14:textId="77777777">
            <w:pPr>
              <w:pStyle w:val="TableParagraph"/>
              <w:spacing w:before="8" w:line="252" w:lineRule="auto"/>
              <w:ind w:left="0"/>
              <w:rPr>
                <w:sz w:val="18"/>
                <w:szCs w:val="18"/>
              </w:rPr>
            </w:pPr>
            <w:r>
              <w:rPr>
                <w:sz w:val="18"/>
                <w:szCs w:val="18"/>
              </w:rPr>
              <w:t>Alhoewel het nog te vroeg is om een volledig beeld van de lessons learned van de tweede ronde op te stellen, zijn een aantal zaken wel heel duidelijk geworden:</w:t>
            </w:r>
          </w:p>
          <w:p w:rsidR="00C73D14" w:rsidP="00A32BD6" w:rsidRDefault="00C73D14" w14:paraId="5F4773D4" w14:textId="77777777">
            <w:pPr>
              <w:pStyle w:val="TableParagraph"/>
              <w:numPr>
                <w:ilvl w:val="0"/>
                <w:numId w:val="28"/>
              </w:numPr>
              <w:spacing w:before="8" w:line="252" w:lineRule="auto"/>
              <w:rPr>
                <w:sz w:val="18"/>
                <w:szCs w:val="18"/>
              </w:rPr>
            </w:pPr>
            <w:r>
              <w:rPr>
                <w:sz w:val="18"/>
                <w:szCs w:val="18"/>
              </w:rPr>
              <w:t xml:space="preserve">De aanscherping van de criteria heeft tot beter uitgewerkte projectvoorstellen en sterkere partnerschappen geleid. Partijen zijn beter gaan nadenken over hun partnerschappen. Er zijn amper meer partijen waarvan de omvang te klein en kwetsbaar is om betrokken te zijn bij het uitvoeren van een meerjarig project. </w:t>
            </w:r>
          </w:p>
          <w:p w:rsidR="00C73D14" w:rsidP="00A32BD6" w:rsidRDefault="00C73D14" w14:paraId="533362C8" w14:textId="77777777">
            <w:pPr>
              <w:pStyle w:val="TableParagraph"/>
              <w:numPr>
                <w:ilvl w:val="0"/>
                <w:numId w:val="28"/>
              </w:numPr>
              <w:spacing w:before="8" w:line="252" w:lineRule="auto"/>
              <w:rPr>
                <w:sz w:val="18"/>
                <w:szCs w:val="18"/>
              </w:rPr>
            </w:pPr>
            <w:r w:rsidRPr="00B5435C">
              <w:rPr>
                <w:sz w:val="18"/>
                <w:szCs w:val="18"/>
              </w:rPr>
              <w:t xml:space="preserve">Binnen UPF2 lukt het </w:t>
            </w:r>
            <w:r>
              <w:rPr>
                <w:sz w:val="18"/>
                <w:szCs w:val="18"/>
              </w:rPr>
              <w:t>goed</w:t>
            </w:r>
            <w:r w:rsidRPr="00B5435C">
              <w:rPr>
                <w:sz w:val="18"/>
                <w:szCs w:val="18"/>
              </w:rPr>
              <w:t xml:space="preserve"> </w:t>
            </w:r>
            <w:r>
              <w:rPr>
                <w:sz w:val="18"/>
                <w:szCs w:val="18"/>
              </w:rPr>
              <w:t xml:space="preserve">om </w:t>
            </w:r>
            <w:r w:rsidRPr="00B5435C">
              <w:rPr>
                <w:sz w:val="18"/>
                <w:szCs w:val="18"/>
              </w:rPr>
              <w:t>te sturen op de bredere maatschappelijke en economische impact.</w:t>
            </w:r>
            <w:r>
              <w:rPr>
                <w:sz w:val="18"/>
                <w:szCs w:val="18"/>
              </w:rPr>
              <w:t xml:space="preserve"> </w:t>
            </w:r>
          </w:p>
          <w:p w:rsidRPr="009B4C10" w:rsidR="00C73D14" w:rsidP="00A32BD6" w:rsidRDefault="00C73D14" w14:paraId="75617988" w14:textId="77777777">
            <w:pPr>
              <w:pStyle w:val="TableParagraph"/>
              <w:numPr>
                <w:ilvl w:val="0"/>
                <w:numId w:val="28"/>
              </w:numPr>
              <w:spacing w:before="8" w:line="252" w:lineRule="auto"/>
              <w:rPr>
                <w:sz w:val="18"/>
                <w:szCs w:val="18"/>
              </w:rPr>
            </w:pPr>
            <w:r>
              <w:rPr>
                <w:sz w:val="18"/>
                <w:szCs w:val="18"/>
              </w:rPr>
              <w:t xml:space="preserve">Door die strenge sturing op maatschappelijke meerwaarde is er frustratie bij bedrijven die onduidelijkheid ervaren over waar het instrument voor is bedoeld. Er wordt tot nu toe een groter percentage van de beoordeelde voorstellen afgewezen dan bij UPF1 (ongeveer 80% tot nu toe bij UPF2, tegen 60% bij UPF1). </w:t>
            </w:r>
            <w:r>
              <w:rPr>
                <w:sz w:val="18"/>
                <w:szCs w:val="18"/>
              </w:rPr>
              <w:br/>
              <w:t xml:space="preserve">Een deel van de bedrijven denkt dat de regeling </w:t>
            </w:r>
            <w:r w:rsidRPr="59A9A1C5">
              <w:rPr>
                <w:i/>
                <w:iCs/>
                <w:sz w:val="18"/>
                <w:szCs w:val="18"/>
                <w:u w:val="single"/>
              </w:rPr>
              <w:t>voor</w:t>
            </w:r>
            <w:r>
              <w:rPr>
                <w:sz w:val="18"/>
                <w:szCs w:val="18"/>
              </w:rPr>
              <w:t xml:space="preserve"> het bedrijfsleven is, terwijl het doel is om bij te dragen aan de wederopbouw </w:t>
            </w:r>
            <w:r w:rsidRPr="59A9A1C5">
              <w:rPr>
                <w:i/>
                <w:iCs/>
                <w:sz w:val="18"/>
                <w:szCs w:val="18"/>
                <w:u w:val="single"/>
              </w:rPr>
              <w:t>met</w:t>
            </w:r>
            <w:r>
              <w:rPr>
                <w:sz w:val="18"/>
                <w:szCs w:val="18"/>
              </w:rPr>
              <w:t xml:space="preserve"> het Nederlands bedrijfsleven. De oorzaak hiervan ligt in het feit dat UPF momenteel zowel B2B-projecten subsidieert als B2G-projecten. Bij de B2B-projecten is de handelscomponent groter en zijn bedrijven naar eigen zeggen (marktonderzoek) bereid een grotere eigen bijdrage te doen, maar daar staat tegenover dat ze projecten willen doen waarmee ze ook winst kunnen maken. Er is weinig begrip voor dat in geval van een subsidie uitsluitend tegen kostprijzen geleverd mag worden. </w:t>
            </w:r>
          </w:p>
          <w:p w:rsidRPr="004A08E1" w:rsidR="00C73D14" w:rsidP="00A32BD6" w:rsidRDefault="00C73D14" w14:paraId="37803F4F" w14:textId="77777777">
            <w:pPr>
              <w:pStyle w:val="TableParagraph"/>
              <w:numPr>
                <w:ilvl w:val="0"/>
                <w:numId w:val="28"/>
              </w:numPr>
              <w:spacing w:before="8" w:line="252" w:lineRule="auto"/>
              <w:rPr>
                <w:sz w:val="18"/>
                <w:szCs w:val="18"/>
              </w:rPr>
            </w:pPr>
            <w:r>
              <w:rPr>
                <w:sz w:val="18"/>
                <w:szCs w:val="18"/>
              </w:rPr>
              <w:t xml:space="preserve">Het blijkt dat veel voorstellen qua idee heel goed zijn maar nog onvoldoende zijn uitgewerkt. Deze voorstellen zouden gebaat zijn bij ofwel een langere voorbereidingstijd ofwel bij het kunnen meenemen van gerichte adviezen alvorens een compleet projectvoorstel in te dienen. Dit is mogelijk met een verplichte </w:t>
            </w:r>
            <w:r w:rsidRPr="59A9A1C5">
              <w:rPr>
                <w:i/>
                <w:iCs/>
                <w:sz w:val="18"/>
                <w:szCs w:val="18"/>
              </w:rPr>
              <w:t>conceptnote</w:t>
            </w:r>
            <w:r>
              <w:rPr>
                <w:sz w:val="18"/>
                <w:szCs w:val="18"/>
              </w:rPr>
              <w:t xml:space="preserve"> fase met een niet-bindend advies. Er zal voldoende tijd worden gepland voor bedrijven om de adviezen te verwerken alvorens complete voorstellen in te dienen.</w:t>
            </w:r>
          </w:p>
          <w:p w:rsidR="00C73D14" w:rsidP="00A32BD6" w:rsidRDefault="00C73D14" w14:paraId="4E097890" w14:textId="77777777">
            <w:pPr>
              <w:autoSpaceDE w:val="0"/>
              <w:autoSpaceDN w:val="0"/>
              <w:spacing w:before="52" w:line="252" w:lineRule="auto"/>
              <w:rPr>
                <w:szCs w:val="18"/>
              </w:rPr>
            </w:pPr>
          </w:p>
          <w:p w:rsidRPr="00F80132" w:rsidR="00C73D14" w:rsidP="00A32BD6" w:rsidRDefault="00C73D14" w14:paraId="5C63155C" w14:textId="77777777">
            <w:pPr>
              <w:autoSpaceDE w:val="0"/>
              <w:autoSpaceDN w:val="0"/>
              <w:spacing w:before="52" w:line="252" w:lineRule="auto"/>
              <w:rPr>
                <w:i/>
                <w:iCs/>
                <w:sz w:val="18"/>
                <w:szCs w:val="18"/>
              </w:rPr>
            </w:pPr>
            <w:r w:rsidRPr="59A9A1C5">
              <w:rPr>
                <w:i/>
                <w:iCs/>
                <w:sz w:val="18"/>
                <w:szCs w:val="18"/>
              </w:rPr>
              <w:lastRenderedPageBreak/>
              <w:t>Lessons learned van internationale aanpak</w:t>
            </w:r>
          </w:p>
          <w:p w:rsidRPr="00C81267" w:rsidR="00C73D14" w:rsidP="00A32BD6" w:rsidRDefault="00C73D14" w14:paraId="60375D96" w14:textId="77777777">
            <w:pPr>
              <w:autoSpaceDE w:val="0"/>
              <w:autoSpaceDN w:val="0"/>
              <w:spacing w:before="52" w:line="252" w:lineRule="auto"/>
              <w:rPr>
                <w:sz w:val="18"/>
                <w:szCs w:val="18"/>
              </w:rPr>
            </w:pPr>
            <w:r w:rsidRPr="00C81267">
              <w:rPr>
                <w:sz w:val="18"/>
                <w:szCs w:val="18"/>
              </w:rPr>
              <w:t xml:space="preserve">Uit de vele bezoeken van de Speciaal Gezant aan andere Europese landen is gebleken dat zij in hun financieringsinstrumentarium een duidelijker onderscheid maken naar B2B en B2G: voor de business to business projecten die voornamelijk een handelscomponent hebben worden diverse </w:t>
            </w:r>
            <w:r w:rsidRPr="00F80132">
              <w:rPr>
                <w:i/>
                <w:iCs/>
                <w:sz w:val="18"/>
                <w:szCs w:val="18"/>
              </w:rPr>
              <w:t>de-risking</w:t>
            </w:r>
            <w:r w:rsidRPr="00C81267">
              <w:rPr>
                <w:sz w:val="18"/>
                <w:szCs w:val="18"/>
              </w:rPr>
              <w:t xml:space="preserve"> instrumenten beschikbaar gesteld in de vorm van concessionele leningen en garanties. Voor publieke projecten worden subsidies beschikbaar gesteld, met veelal tussen de 90% en 100% subsidie. </w:t>
            </w:r>
            <w:r>
              <w:rPr>
                <w:sz w:val="18"/>
                <w:szCs w:val="18"/>
              </w:rPr>
              <w:t xml:space="preserve">Dit is een duidelijke scheiding die wij over willen nemen: UPF als subsidie voor B2G projecten enerzijds en concessionele leningen en exportkredietverzekeringen voor investeringen anderzijds. </w:t>
            </w:r>
          </w:p>
          <w:p w:rsidRPr="009913F4" w:rsidR="00C73D14" w:rsidP="00A32BD6" w:rsidRDefault="00C73D14" w14:paraId="470E244D" w14:textId="77777777">
            <w:pPr>
              <w:pStyle w:val="TableParagraph"/>
              <w:spacing w:before="8" w:line="252" w:lineRule="auto"/>
              <w:ind w:left="0"/>
              <w:rPr>
                <w:sz w:val="18"/>
                <w:szCs w:val="18"/>
                <w:u w:val="single"/>
              </w:rPr>
            </w:pPr>
          </w:p>
          <w:p w:rsidRPr="008A241C" w:rsidR="00C73D14" w:rsidP="00A32BD6" w:rsidRDefault="00C73D14" w14:paraId="04936B87" w14:textId="77777777">
            <w:pPr>
              <w:pStyle w:val="TableParagraph"/>
              <w:spacing w:before="8" w:line="252" w:lineRule="auto"/>
              <w:ind w:left="0"/>
              <w:rPr>
                <w:sz w:val="18"/>
                <w:szCs w:val="18"/>
                <w:u w:val="single"/>
              </w:rPr>
            </w:pPr>
            <w:r w:rsidRPr="008A241C">
              <w:rPr>
                <w:sz w:val="18"/>
                <w:szCs w:val="18"/>
                <w:u w:val="single"/>
              </w:rPr>
              <w:t>Marktonderzoek</w:t>
            </w:r>
          </w:p>
          <w:p w:rsidR="00C73D14" w:rsidP="00A32BD6" w:rsidRDefault="00C73D14" w14:paraId="2690CD72" w14:textId="77777777">
            <w:pPr>
              <w:pStyle w:val="TableParagraph"/>
              <w:spacing w:before="8" w:line="252" w:lineRule="auto"/>
              <w:ind w:left="0"/>
              <w:rPr>
                <w:sz w:val="18"/>
                <w:szCs w:val="18"/>
              </w:rPr>
            </w:pPr>
            <w:r>
              <w:rPr>
                <w:sz w:val="18"/>
                <w:szCs w:val="18"/>
              </w:rPr>
              <w:t xml:space="preserve">Van december 2024 t/m februari 2025 is een marktonderzoek uitgevoerd naar de behoeftes en benodigdheden van het bedrijfsleven als onderdeel van de door de Minister van BHO goedgekeurde bedrijfslevensstrategie. De uitkomsten van het onderzoek laten zien dat:  </w:t>
            </w:r>
          </w:p>
          <w:p w:rsidR="00C73D14" w:rsidP="00A32BD6" w:rsidRDefault="00C73D14" w14:paraId="1C26591F" w14:textId="77777777">
            <w:pPr>
              <w:pStyle w:val="TableParagraph"/>
              <w:numPr>
                <w:ilvl w:val="0"/>
                <w:numId w:val="31"/>
              </w:numPr>
              <w:spacing w:before="8" w:line="252" w:lineRule="auto"/>
              <w:rPr>
                <w:sz w:val="18"/>
                <w:szCs w:val="18"/>
              </w:rPr>
            </w:pPr>
            <w:r>
              <w:rPr>
                <w:sz w:val="18"/>
                <w:szCs w:val="18"/>
              </w:rPr>
              <w:t>het verlenen van een subsidie de drempel voor bedrijven verlaagt om activiteiten op de risicovolle Oekraïense markt te kunnen ontplooien.</w:t>
            </w:r>
          </w:p>
          <w:p w:rsidRPr="004A08E1" w:rsidR="00C73D14" w:rsidP="00A32BD6" w:rsidRDefault="00C73D14" w14:paraId="0635B16A" w14:textId="77777777">
            <w:pPr>
              <w:pStyle w:val="TableParagraph"/>
              <w:numPr>
                <w:ilvl w:val="0"/>
                <w:numId w:val="31"/>
              </w:numPr>
              <w:spacing w:before="8" w:line="252" w:lineRule="auto"/>
              <w:rPr>
                <w:sz w:val="18"/>
                <w:szCs w:val="18"/>
              </w:rPr>
            </w:pPr>
            <w:r w:rsidRPr="004A08E1">
              <w:rPr>
                <w:sz w:val="18"/>
                <w:szCs w:val="18"/>
              </w:rPr>
              <w:t>bij bedrijven verwarring heerst over de doelstelling van UPF; is het een humanitair</w:t>
            </w:r>
          </w:p>
          <w:p w:rsidR="00C73D14" w:rsidP="00A32BD6" w:rsidRDefault="00C73D14" w14:paraId="54E3D6FE" w14:textId="77777777">
            <w:pPr>
              <w:pStyle w:val="TableParagraph"/>
              <w:spacing w:before="8" w:line="252" w:lineRule="auto"/>
              <w:ind w:left="720"/>
              <w:rPr>
                <w:sz w:val="18"/>
                <w:szCs w:val="18"/>
              </w:rPr>
            </w:pPr>
            <w:r w:rsidRPr="004A08E1">
              <w:rPr>
                <w:sz w:val="18"/>
                <w:szCs w:val="18"/>
              </w:rPr>
              <w:t>instrument of gericht op private sectorontwikkeling? Een duidelijkere afbakening is nodig</w:t>
            </w:r>
            <w:r>
              <w:rPr>
                <w:sz w:val="18"/>
                <w:szCs w:val="18"/>
              </w:rPr>
              <w:t>;</w:t>
            </w:r>
            <w:r w:rsidRPr="00BB6D45">
              <w:rPr>
                <w:sz w:val="18"/>
                <w:szCs w:val="18"/>
              </w:rPr>
              <w:t xml:space="preserve"> </w:t>
            </w:r>
          </w:p>
          <w:p w:rsidRPr="00C81267" w:rsidR="00C73D14" w:rsidP="00A32BD6" w:rsidRDefault="00C73D14" w14:paraId="43BBC3E9" w14:textId="77777777">
            <w:pPr>
              <w:pStyle w:val="TableParagraph"/>
              <w:numPr>
                <w:ilvl w:val="0"/>
                <w:numId w:val="31"/>
              </w:numPr>
              <w:spacing w:before="8" w:line="252" w:lineRule="auto"/>
              <w:rPr>
                <w:sz w:val="18"/>
                <w:szCs w:val="18"/>
              </w:rPr>
            </w:pPr>
            <w:r>
              <w:rPr>
                <w:sz w:val="18"/>
                <w:szCs w:val="18"/>
              </w:rPr>
              <w:t>o</w:t>
            </w:r>
            <w:r w:rsidRPr="00BB6D45">
              <w:rPr>
                <w:sz w:val="18"/>
                <w:szCs w:val="18"/>
              </w:rPr>
              <w:t>ndanks de nog altijd grote onzekerheden</w:t>
            </w:r>
            <w:r>
              <w:rPr>
                <w:sz w:val="18"/>
                <w:szCs w:val="18"/>
              </w:rPr>
              <w:t xml:space="preserve"> </w:t>
            </w:r>
            <w:r w:rsidRPr="00BB6D45">
              <w:rPr>
                <w:sz w:val="18"/>
                <w:szCs w:val="18"/>
              </w:rPr>
              <w:t xml:space="preserve">als gevolg van de oorlog, bedrijven thans beter inzicht </w:t>
            </w:r>
            <w:r>
              <w:rPr>
                <w:sz w:val="18"/>
                <w:szCs w:val="18"/>
              </w:rPr>
              <w:t xml:space="preserve">hebben </w:t>
            </w:r>
            <w:r w:rsidRPr="00BB6D45">
              <w:rPr>
                <w:sz w:val="18"/>
                <w:szCs w:val="18"/>
              </w:rPr>
              <w:t xml:space="preserve">in de risico’s. Ook maakt het verschil of bedrijven voor de oorlog reeds actief waren in Oekraïne waardoor zij het land en de risico’s beter kennen en een grotere risicobereidheid hebben. </w:t>
            </w:r>
            <w:r>
              <w:rPr>
                <w:sz w:val="18"/>
                <w:szCs w:val="18"/>
              </w:rPr>
              <w:t xml:space="preserve">Mede hierdoor zijn lagere subsidiepercentages mogelijk (NB dit betreft dan voornamelijk B2B projecten die wij niet langer via UPF willen bekostigen). </w:t>
            </w:r>
          </w:p>
          <w:p w:rsidRPr="00AE60C5" w:rsidR="00C73D14" w:rsidP="00A32BD6" w:rsidRDefault="00C73D14" w14:paraId="1557A23B" w14:textId="77777777">
            <w:pPr>
              <w:pStyle w:val="TableParagraph"/>
              <w:spacing w:before="8" w:line="252" w:lineRule="auto"/>
              <w:ind w:left="0"/>
              <w:rPr>
                <w:szCs w:val="18"/>
              </w:rPr>
            </w:pPr>
          </w:p>
        </w:tc>
      </w:tr>
      <w:tr w:rsidRPr="00762A02" w:rsidR="00C73D14" w:rsidTr="00A32BD6" w14:paraId="273C5DCE" w14:textId="77777777">
        <w:trPr>
          <w:trHeight w:val="559"/>
        </w:trPr>
        <w:tc>
          <w:tcPr>
            <w:tcW w:w="1159" w:type="pct"/>
            <w:tcBorders>
              <w:top w:val="nil"/>
              <w:left w:val="nil"/>
              <w:bottom w:val="single" w:color="017BC7" w:sz="8" w:space="0"/>
              <w:right w:val="nil"/>
            </w:tcBorders>
            <w:shd w:val="clear" w:color="auto" w:fill="D6EFF9"/>
          </w:tcPr>
          <w:p w:rsidR="00C73D14" w:rsidP="00A32BD6" w:rsidRDefault="00C73D14" w14:paraId="77AD6764" w14:textId="77777777">
            <w:pPr>
              <w:pStyle w:val="TableParagraph"/>
              <w:spacing w:before="52" w:line="252" w:lineRule="auto"/>
              <w:ind w:left="89"/>
              <w:rPr>
                <w:b/>
                <w:bCs/>
                <w:sz w:val="18"/>
                <w:szCs w:val="18"/>
              </w:rPr>
            </w:pPr>
            <w:r>
              <w:rPr>
                <w:b/>
                <w:bCs/>
                <w:sz w:val="18"/>
                <w:szCs w:val="18"/>
              </w:rPr>
              <w:lastRenderedPageBreak/>
              <w:t>4. Internationale context</w:t>
            </w:r>
          </w:p>
        </w:tc>
        <w:tc>
          <w:tcPr>
            <w:tcW w:w="3841" w:type="pct"/>
            <w:tcBorders>
              <w:top w:val="nil"/>
              <w:left w:val="nil"/>
              <w:bottom w:val="single" w:color="017BC7" w:sz="8" w:space="0"/>
              <w:right w:val="nil"/>
            </w:tcBorders>
          </w:tcPr>
          <w:p w:rsidR="00C73D14" w:rsidP="00A32BD6" w:rsidRDefault="00C73D14" w14:paraId="52645745" w14:textId="77777777">
            <w:pPr>
              <w:autoSpaceDE w:val="0"/>
              <w:autoSpaceDN w:val="0"/>
              <w:spacing w:before="52" w:line="252" w:lineRule="auto"/>
              <w:ind w:left="89"/>
              <w:rPr>
                <w:sz w:val="18"/>
                <w:szCs w:val="18"/>
              </w:rPr>
            </w:pPr>
            <w:r>
              <w:rPr>
                <w:sz w:val="18"/>
                <w:szCs w:val="18"/>
              </w:rPr>
              <w:t xml:space="preserve">Hoe verhoudt het voorstel zich tot internationale en EU-steuninitiatieven? Wat is de additionaliteit? Waarom dient Nederland dit voorstel te financieren? </w:t>
            </w:r>
          </w:p>
          <w:p w:rsidR="00C73D14" w:rsidP="00A32BD6" w:rsidRDefault="00C73D14" w14:paraId="6E74DA4A" w14:textId="77777777">
            <w:pPr>
              <w:autoSpaceDE w:val="0"/>
              <w:autoSpaceDN w:val="0"/>
              <w:spacing w:before="52" w:line="252" w:lineRule="auto"/>
              <w:ind w:left="89"/>
              <w:rPr>
                <w:sz w:val="18"/>
                <w:szCs w:val="18"/>
              </w:rPr>
            </w:pPr>
          </w:p>
          <w:p w:rsidR="00C73D14" w:rsidP="00A32BD6" w:rsidRDefault="00C73D14" w14:paraId="13E73C20" w14:textId="77777777">
            <w:pPr>
              <w:autoSpaceDE w:val="0"/>
              <w:autoSpaceDN w:val="0"/>
              <w:spacing w:before="52" w:line="252" w:lineRule="auto"/>
              <w:ind w:left="89"/>
              <w:rPr>
                <w:sz w:val="18"/>
                <w:szCs w:val="18"/>
              </w:rPr>
            </w:pPr>
            <w:r w:rsidRPr="00A12E82">
              <w:rPr>
                <w:sz w:val="18"/>
                <w:szCs w:val="18"/>
              </w:rPr>
              <w:t>Pillar II</w:t>
            </w:r>
            <w:r w:rsidRPr="00762A02">
              <w:rPr>
                <w:sz w:val="18"/>
                <w:szCs w:val="18"/>
              </w:rPr>
              <w:t xml:space="preserve"> van de EU-financiering bi</w:t>
            </w:r>
            <w:r>
              <w:rPr>
                <w:sz w:val="18"/>
                <w:szCs w:val="18"/>
              </w:rPr>
              <w:t xml:space="preserve">edt mogelijkheden voor Europese investeerders om op bedrijfs- of projectniveau in te schrijven voor het realiseren van projecten t.b.v. ondersteunen en wederopbouwen van de Oekraïense economie, </w:t>
            </w:r>
            <w:r w:rsidRPr="00F66A79">
              <w:rPr>
                <w:sz w:val="18"/>
                <w:szCs w:val="18"/>
              </w:rPr>
              <w:t xml:space="preserve">echter met een instapbedrag van </w:t>
            </w:r>
            <w:r>
              <w:rPr>
                <w:sz w:val="18"/>
                <w:szCs w:val="18"/>
              </w:rPr>
              <w:t>EUR</w:t>
            </w:r>
            <w:r w:rsidRPr="00F66A79">
              <w:rPr>
                <w:sz w:val="18"/>
                <w:szCs w:val="18"/>
              </w:rPr>
              <w:t xml:space="preserve"> 50 mln. </w:t>
            </w:r>
            <w:r>
              <w:rPr>
                <w:sz w:val="18"/>
                <w:szCs w:val="18"/>
              </w:rPr>
              <w:t xml:space="preserve">is de drempelwaarde </w:t>
            </w:r>
            <w:r w:rsidRPr="00F66A79">
              <w:rPr>
                <w:sz w:val="18"/>
                <w:szCs w:val="18"/>
              </w:rPr>
              <w:t>te hoog voor</w:t>
            </w:r>
            <w:r>
              <w:rPr>
                <w:sz w:val="18"/>
                <w:szCs w:val="18"/>
              </w:rPr>
              <w:t xml:space="preserve"> het overgrote deel van</w:t>
            </w:r>
            <w:r w:rsidRPr="00F66A79">
              <w:rPr>
                <w:sz w:val="18"/>
                <w:szCs w:val="18"/>
              </w:rPr>
              <w:t xml:space="preserve"> NLse bedrijven. Ook de tenders van IFI’s zijn (niet uniek voor </w:t>
            </w:r>
            <w:r>
              <w:rPr>
                <w:sz w:val="18"/>
                <w:szCs w:val="18"/>
              </w:rPr>
              <w:t>Oekraïne</w:t>
            </w:r>
            <w:r w:rsidRPr="00F66A79">
              <w:rPr>
                <w:sz w:val="18"/>
                <w:szCs w:val="18"/>
              </w:rPr>
              <w:t xml:space="preserve">) vaak te groot. </w:t>
            </w:r>
            <w:r>
              <w:rPr>
                <w:sz w:val="18"/>
                <w:szCs w:val="18"/>
              </w:rPr>
              <w:t>UPF is daarmee</w:t>
            </w:r>
            <w:r w:rsidRPr="00F66A79">
              <w:rPr>
                <w:sz w:val="18"/>
                <w:szCs w:val="18"/>
              </w:rPr>
              <w:t xml:space="preserve"> een alternatief </w:t>
            </w:r>
            <w:r>
              <w:rPr>
                <w:sz w:val="18"/>
                <w:szCs w:val="18"/>
              </w:rPr>
              <w:t xml:space="preserve">instrument </w:t>
            </w:r>
            <w:r w:rsidRPr="00F66A79">
              <w:rPr>
                <w:sz w:val="18"/>
                <w:szCs w:val="18"/>
              </w:rPr>
              <w:t xml:space="preserve">dat </w:t>
            </w:r>
            <w:r>
              <w:rPr>
                <w:sz w:val="18"/>
                <w:szCs w:val="18"/>
              </w:rPr>
              <w:t>beter</w:t>
            </w:r>
            <w:r w:rsidRPr="00F66A79">
              <w:rPr>
                <w:sz w:val="18"/>
                <w:szCs w:val="18"/>
              </w:rPr>
              <w:t xml:space="preserve"> aansluit bij de structuur van onze </w:t>
            </w:r>
            <w:r>
              <w:rPr>
                <w:sz w:val="18"/>
                <w:szCs w:val="18"/>
              </w:rPr>
              <w:t xml:space="preserve">eigen </w:t>
            </w:r>
            <w:r w:rsidRPr="00F66A79">
              <w:rPr>
                <w:sz w:val="18"/>
                <w:szCs w:val="18"/>
              </w:rPr>
              <w:t>economie</w:t>
            </w:r>
            <w:r>
              <w:rPr>
                <w:sz w:val="18"/>
                <w:szCs w:val="18"/>
              </w:rPr>
              <w:t xml:space="preserve"> en in het bijzonder ook kansen biedt aan NL mkb. UPF voorziet in een behoefte, omdat er voor projecten van kleinere omvang geen programma’s zijn bij multilaterale instellingen zoals de Wereldbank en het IMF.</w:t>
            </w:r>
          </w:p>
          <w:p w:rsidRPr="0038133B" w:rsidR="00C73D14" w:rsidP="00A32BD6" w:rsidRDefault="00C73D14" w14:paraId="28FA5930" w14:textId="77777777">
            <w:pPr>
              <w:autoSpaceDE w:val="0"/>
              <w:autoSpaceDN w:val="0"/>
              <w:spacing w:before="52" w:line="252" w:lineRule="auto"/>
              <w:ind w:left="89"/>
              <w:rPr>
                <w:sz w:val="18"/>
                <w:szCs w:val="18"/>
              </w:rPr>
            </w:pPr>
            <w:r w:rsidRPr="00D6626B">
              <w:rPr>
                <w:sz w:val="18"/>
                <w:szCs w:val="18"/>
              </w:rPr>
              <w:t xml:space="preserve">Andere landen bieden eveneens regelingen om de rol van het eigen bedrijfsleven te stimuleren. </w:t>
            </w:r>
            <w:r>
              <w:rPr>
                <w:sz w:val="18"/>
                <w:szCs w:val="18"/>
              </w:rPr>
              <w:t>Zo</w:t>
            </w:r>
            <w:r w:rsidRPr="00D6626B">
              <w:rPr>
                <w:sz w:val="18"/>
                <w:szCs w:val="18"/>
              </w:rPr>
              <w:t xml:space="preserve"> heeft FRA een schenkingsbedrag van 200 mln</w:t>
            </w:r>
            <w:r>
              <w:rPr>
                <w:sz w:val="18"/>
                <w:szCs w:val="18"/>
              </w:rPr>
              <w:t>.</w:t>
            </w:r>
            <w:r w:rsidRPr="00D6626B">
              <w:rPr>
                <w:sz w:val="18"/>
                <w:szCs w:val="18"/>
              </w:rPr>
              <w:t xml:space="preserve"> euro beschikbaar gesteld voor </w:t>
            </w:r>
            <w:r>
              <w:rPr>
                <w:sz w:val="18"/>
                <w:szCs w:val="18"/>
              </w:rPr>
              <w:t xml:space="preserve">publieke </w:t>
            </w:r>
            <w:r w:rsidRPr="00D6626B">
              <w:rPr>
                <w:sz w:val="18"/>
                <w:szCs w:val="18"/>
              </w:rPr>
              <w:t xml:space="preserve">projecten met deelname van FRA bedrijven </w:t>
            </w:r>
            <w:r>
              <w:rPr>
                <w:sz w:val="18"/>
                <w:szCs w:val="18"/>
              </w:rPr>
              <w:t>waarbij de overheid van Oekraïne de projecten heeft geselecteerd. Zij hanteerden een 100% subsidiepercentage. Zwitserland heeft recentelijk een aanbesteding geopend van CHF 100 mln t.b.v. publieke projecten waar in Oekraïne gevestigde Zwitserse bedrijven op in kunnen schrijven. De Oekraïense overheid is betrokken bij de selectie. Zwitserland hanteert hierbij een 90% subsidiepercentage.</w:t>
            </w:r>
            <w:r w:rsidRPr="00D6626B">
              <w:rPr>
                <w:sz w:val="18"/>
                <w:szCs w:val="18"/>
              </w:rPr>
              <w:t xml:space="preserve"> </w:t>
            </w:r>
            <w:r>
              <w:rPr>
                <w:sz w:val="18"/>
                <w:szCs w:val="18"/>
              </w:rPr>
              <w:t>L</w:t>
            </w:r>
            <w:r w:rsidRPr="00D6626B">
              <w:rPr>
                <w:sz w:val="18"/>
                <w:szCs w:val="18"/>
              </w:rPr>
              <w:t xml:space="preserve">anden als Noorwegen en Zweden hebben een speciale investeringsfaciliteit voor Oekraïne gecreëerd. Denemarken heeft een investerings- en exportfonds waarmee voor 88 miljoen euro aan leningen en garanties aan </w:t>
            </w:r>
            <w:r w:rsidRPr="00A12E82">
              <w:rPr>
                <w:sz w:val="18"/>
                <w:szCs w:val="18"/>
              </w:rPr>
              <w:t>Deense</w:t>
            </w:r>
            <w:r w:rsidRPr="00D6626B">
              <w:rPr>
                <w:sz w:val="18"/>
                <w:szCs w:val="18"/>
              </w:rPr>
              <w:t xml:space="preserve"> bedrijven gegeven kan worden om risico’s af te dekken</w:t>
            </w:r>
            <w:r>
              <w:rPr>
                <w:sz w:val="18"/>
                <w:szCs w:val="18"/>
              </w:rPr>
              <w:t xml:space="preserve">. Ook is een </w:t>
            </w:r>
            <w:r w:rsidRPr="00A12E82">
              <w:rPr>
                <w:sz w:val="18"/>
                <w:szCs w:val="18"/>
              </w:rPr>
              <w:t>Oekraïne</w:t>
            </w:r>
            <w:r w:rsidRPr="00D6626B">
              <w:rPr>
                <w:sz w:val="18"/>
                <w:szCs w:val="18"/>
              </w:rPr>
              <w:t xml:space="preserve"> Fonds ingesteld van </w:t>
            </w:r>
            <w:r>
              <w:rPr>
                <w:sz w:val="18"/>
                <w:szCs w:val="18"/>
              </w:rPr>
              <w:t xml:space="preserve">EUR </w:t>
            </w:r>
            <w:r w:rsidRPr="00D6626B">
              <w:rPr>
                <w:sz w:val="18"/>
                <w:szCs w:val="18"/>
              </w:rPr>
              <w:t xml:space="preserve">115 miljoen om een </w:t>
            </w:r>
            <w:r w:rsidRPr="0038133B">
              <w:rPr>
                <w:sz w:val="18"/>
                <w:szCs w:val="18"/>
              </w:rPr>
              <w:t xml:space="preserve">staatsgarantie te faciliteren van 382 </w:t>
            </w:r>
            <w:r w:rsidRPr="00A12E82">
              <w:rPr>
                <w:sz w:val="18"/>
                <w:szCs w:val="18"/>
              </w:rPr>
              <w:t>miljoen</w:t>
            </w:r>
            <w:r w:rsidRPr="0038133B">
              <w:rPr>
                <w:sz w:val="18"/>
                <w:szCs w:val="18"/>
              </w:rPr>
              <w:t xml:space="preserve"> euro voor een windproject </w:t>
            </w:r>
            <w:r>
              <w:rPr>
                <w:sz w:val="18"/>
                <w:szCs w:val="18"/>
              </w:rPr>
              <w:t xml:space="preserve">in Oekraïne </w:t>
            </w:r>
            <w:r w:rsidRPr="0038133B">
              <w:rPr>
                <w:sz w:val="18"/>
                <w:szCs w:val="18"/>
              </w:rPr>
              <w:t>waaraan Deense bedrijven werken</w:t>
            </w:r>
            <w:r>
              <w:rPr>
                <w:sz w:val="18"/>
                <w:szCs w:val="18"/>
              </w:rPr>
              <w:t>.</w:t>
            </w:r>
          </w:p>
        </w:tc>
      </w:tr>
      <w:tr w:rsidRPr="0060043E" w:rsidR="00C73D14" w:rsidTr="00A32BD6" w14:paraId="69C48A94" w14:textId="77777777">
        <w:trPr>
          <w:trHeight w:val="559"/>
        </w:trPr>
        <w:tc>
          <w:tcPr>
            <w:tcW w:w="1159" w:type="pct"/>
            <w:tcBorders>
              <w:top w:val="nil"/>
              <w:left w:val="nil"/>
              <w:bottom w:val="single" w:color="017BC7" w:sz="8" w:space="0"/>
              <w:right w:val="nil"/>
            </w:tcBorders>
            <w:shd w:val="clear" w:color="auto" w:fill="D6EFF9"/>
            <w:hideMark/>
          </w:tcPr>
          <w:p w:rsidR="00C73D14" w:rsidP="00A32BD6" w:rsidRDefault="00C73D14" w14:paraId="51E779BB" w14:textId="77777777">
            <w:pPr>
              <w:pStyle w:val="TableParagraph"/>
              <w:spacing w:before="52" w:line="252" w:lineRule="auto"/>
              <w:ind w:left="89"/>
              <w:rPr>
                <w:b/>
                <w:bCs/>
                <w:sz w:val="18"/>
                <w:szCs w:val="18"/>
              </w:rPr>
            </w:pPr>
            <w:r>
              <w:rPr>
                <w:b/>
                <w:bCs/>
                <w:sz w:val="18"/>
                <w:szCs w:val="18"/>
              </w:rPr>
              <w:t>5</w:t>
            </w:r>
            <w:r w:rsidRPr="0060043E">
              <w:rPr>
                <w:b/>
                <w:bCs/>
                <w:sz w:val="18"/>
                <w:szCs w:val="18"/>
              </w:rPr>
              <w:t>. A. Financiële gevolgen voor het Rijk</w:t>
            </w:r>
          </w:p>
          <w:p w:rsidRPr="0060043E" w:rsidR="00C73D14" w:rsidP="00A32BD6" w:rsidRDefault="00C73D14" w14:paraId="3835E93B" w14:textId="77777777">
            <w:pPr>
              <w:pStyle w:val="TableParagraph"/>
              <w:spacing w:before="52" w:line="252" w:lineRule="auto"/>
              <w:ind w:left="89"/>
              <w:rPr>
                <w:b/>
                <w:bCs/>
                <w:sz w:val="18"/>
                <w:szCs w:val="18"/>
              </w:rPr>
            </w:pPr>
          </w:p>
        </w:tc>
        <w:tc>
          <w:tcPr>
            <w:tcW w:w="3841" w:type="pct"/>
            <w:tcBorders>
              <w:top w:val="nil"/>
              <w:left w:val="nil"/>
              <w:bottom w:val="single" w:color="017BC7" w:sz="8" w:space="0"/>
              <w:right w:val="nil"/>
            </w:tcBorders>
            <w:hideMark/>
          </w:tcPr>
          <w:p w:rsidRPr="0060043E" w:rsidR="00C73D14" w:rsidP="00A32BD6" w:rsidRDefault="00C73D14" w14:paraId="07413E4D" w14:textId="77777777">
            <w:pPr>
              <w:spacing w:before="52"/>
              <w:ind w:left="89"/>
              <w:rPr>
                <w:sz w:val="18"/>
                <w:szCs w:val="18"/>
              </w:rPr>
            </w:pPr>
            <w:r w:rsidRPr="0060043E">
              <w:rPr>
                <w:sz w:val="18"/>
                <w:szCs w:val="18"/>
              </w:rPr>
              <w:t>Welke financiële gevolgen heeft het voorstel voor de Rijksbegroting?</w:t>
            </w:r>
          </w:p>
          <w:p w:rsidR="00C73D14" w:rsidP="00A32BD6" w:rsidRDefault="00C73D14" w14:paraId="6CFFB67C" w14:textId="77777777">
            <w:pPr>
              <w:spacing w:before="52"/>
              <w:ind w:left="89"/>
              <w:rPr>
                <w:sz w:val="18"/>
                <w:szCs w:val="18"/>
              </w:rPr>
            </w:pPr>
          </w:p>
          <w:p w:rsidR="00C73D14" w:rsidP="00A32BD6" w:rsidRDefault="00C73D14" w14:paraId="29089AD3" w14:textId="77777777">
            <w:pPr>
              <w:pStyle w:val="TableParagraph"/>
              <w:spacing w:before="8" w:line="252" w:lineRule="auto"/>
              <w:rPr>
                <w:sz w:val="18"/>
                <w:szCs w:val="18"/>
              </w:rPr>
            </w:pPr>
            <w:r>
              <w:rPr>
                <w:sz w:val="18"/>
                <w:szCs w:val="18"/>
              </w:rPr>
              <w:t>Het geschatte uitgavenritme is:</w:t>
            </w:r>
          </w:p>
          <w:p w:rsidRPr="00315C2B" w:rsidR="00C73D14" w:rsidP="00A32BD6" w:rsidRDefault="00C73D14" w14:paraId="4A285A28" w14:textId="77777777">
            <w:pPr>
              <w:pStyle w:val="TableParagraph"/>
              <w:spacing w:before="8" w:line="252" w:lineRule="auto"/>
              <w:rPr>
                <w:sz w:val="18"/>
                <w:szCs w:val="18"/>
              </w:rPr>
            </w:pPr>
            <w:r w:rsidRPr="00315C2B">
              <w:rPr>
                <w:sz w:val="18"/>
                <w:szCs w:val="18"/>
              </w:rPr>
              <w:t>2026: EUR 1</w:t>
            </w:r>
            <w:r>
              <w:rPr>
                <w:sz w:val="18"/>
                <w:szCs w:val="18"/>
              </w:rPr>
              <w:t>5</w:t>
            </w:r>
            <w:r w:rsidRPr="00315C2B">
              <w:rPr>
                <w:sz w:val="18"/>
                <w:szCs w:val="18"/>
              </w:rPr>
              <w:t xml:space="preserve"> mln </w:t>
            </w:r>
          </w:p>
          <w:p w:rsidRPr="00315C2B" w:rsidR="00C73D14" w:rsidP="00A32BD6" w:rsidRDefault="00C73D14" w14:paraId="091791A4" w14:textId="77777777">
            <w:pPr>
              <w:pStyle w:val="TableParagraph"/>
              <w:spacing w:before="8" w:line="252" w:lineRule="auto"/>
              <w:rPr>
                <w:sz w:val="18"/>
                <w:szCs w:val="18"/>
              </w:rPr>
            </w:pPr>
            <w:r w:rsidRPr="00315C2B">
              <w:rPr>
                <w:sz w:val="18"/>
                <w:szCs w:val="18"/>
              </w:rPr>
              <w:t>2027: EUR 1</w:t>
            </w:r>
            <w:r>
              <w:rPr>
                <w:sz w:val="18"/>
                <w:szCs w:val="18"/>
              </w:rPr>
              <w:t>0</w:t>
            </w:r>
            <w:r w:rsidRPr="00315C2B">
              <w:rPr>
                <w:sz w:val="18"/>
                <w:szCs w:val="18"/>
              </w:rPr>
              <w:t xml:space="preserve"> mln</w:t>
            </w:r>
          </w:p>
          <w:p w:rsidRPr="00315C2B" w:rsidR="00C73D14" w:rsidP="00A32BD6" w:rsidRDefault="00C73D14" w14:paraId="683B03A3" w14:textId="77777777">
            <w:pPr>
              <w:pStyle w:val="TableParagraph"/>
              <w:spacing w:before="8" w:line="252" w:lineRule="auto"/>
              <w:rPr>
                <w:sz w:val="18"/>
                <w:szCs w:val="18"/>
              </w:rPr>
            </w:pPr>
            <w:r w:rsidRPr="00315C2B">
              <w:rPr>
                <w:sz w:val="18"/>
                <w:szCs w:val="18"/>
              </w:rPr>
              <w:t>2028: EUR 5 mln.</w:t>
            </w:r>
          </w:p>
          <w:p w:rsidRPr="00315C2B" w:rsidR="00C73D14" w:rsidP="00A32BD6" w:rsidRDefault="00C73D14" w14:paraId="3B0773DC" w14:textId="77777777">
            <w:pPr>
              <w:pStyle w:val="TableParagraph"/>
              <w:spacing w:before="8" w:line="252" w:lineRule="auto"/>
              <w:rPr>
                <w:sz w:val="18"/>
                <w:szCs w:val="18"/>
              </w:rPr>
            </w:pPr>
          </w:p>
          <w:p w:rsidRPr="0080447E" w:rsidR="00C73D14" w:rsidP="00A32BD6" w:rsidRDefault="00C73D14" w14:paraId="27F48B20" w14:textId="77777777">
            <w:pPr>
              <w:pStyle w:val="TableParagraph"/>
              <w:spacing w:before="8" w:line="252" w:lineRule="auto"/>
              <w:rPr>
                <w:sz w:val="18"/>
                <w:szCs w:val="18"/>
                <w:u w:val="single"/>
              </w:rPr>
            </w:pPr>
            <w:r w:rsidRPr="0080447E">
              <w:rPr>
                <w:sz w:val="18"/>
                <w:szCs w:val="18"/>
                <w:u w:val="single"/>
              </w:rPr>
              <w:t>Toelichting:</w:t>
            </w:r>
          </w:p>
          <w:p w:rsidRPr="0080447E" w:rsidR="00C73D14" w:rsidP="00A32BD6" w:rsidRDefault="00C73D14" w14:paraId="6B8A1A0C" w14:textId="77777777">
            <w:pPr>
              <w:pStyle w:val="TableParagraph"/>
              <w:spacing w:before="8" w:line="252" w:lineRule="auto"/>
              <w:rPr>
                <w:sz w:val="18"/>
                <w:szCs w:val="18"/>
              </w:rPr>
            </w:pPr>
            <w:r>
              <w:rPr>
                <w:sz w:val="18"/>
                <w:szCs w:val="18"/>
              </w:rPr>
              <w:t xml:space="preserve">Gelet op de benodigde voorbereidingstijd van uitvoerder RVO (opstellen van het beleidskader, uitvoeren van de risico-analyse, publicatie en openstelling van de regeling), </w:t>
            </w:r>
            <w:r w:rsidRPr="00D46C1B">
              <w:rPr>
                <w:sz w:val="18"/>
                <w:szCs w:val="18"/>
              </w:rPr>
              <w:t xml:space="preserve">is de verwachting dat UPF 3 in het </w:t>
            </w:r>
            <w:r>
              <w:rPr>
                <w:sz w:val="18"/>
                <w:szCs w:val="18"/>
              </w:rPr>
              <w:t>voorjaar</w:t>
            </w:r>
            <w:r w:rsidRPr="00D46C1B">
              <w:rPr>
                <w:sz w:val="18"/>
                <w:szCs w:val="18"/>
              </w:rPr>
              <w:t xml:space="preserve"> van 202</w:t>
            </w:r>
            <w:r>
              <w:rPr>
                <w:sz w:val="18"/>
                <w:szCs w:val="18"/>
              </w:rPr>
              <w:t>6</w:t>
            </w:r>
            <w:r w:rsidRPr="00D46C1B">
              <w:rPr>
                <w:sz w:val="18"/>
                <w:szCs w:val="18"/>
              </w:rPr>
              <w:t xml:space="preserve"> tot committeringen en uitgaven zal leiden. </w:t>
            </w:r>
            <w:r>
              <w:rPr>
                <w:sz w:val="18"/>
                <w:szCs w:val="18"/>
              </w:rPr>
              <w:t xml:space="preserve">Het verplichtingenbudget staat daarom geraamd in 2026. </w:t>
            </w:r>
            <w:r w:rsidRPr="00D46C1B">
              <w:rPr>
                <w:sz w:val="18"/>
                <w:szCs w:val="18"/>
              </w:rPr>
              <w:t>Het zwaartepunt van de uitgaven zal in 2026 liggen</w:t>
            </w:r>
            <w:r>
              <w:rPr>
                <w:sz w:val="18"/>
                <w:szCs w:val="18"/>
              </w:rPr>
              <w:t xml:space="preserve">, </w:t>
            </w:r>
            <w:r w:rsidRPr="00D46C1B">
              <w:rPr>
                <w:sz w:val="18"/>
                <w:szCs w:val="18"/>
              </w:rPr>
              <w:t xml:space="preserve">een </w:t>
            </w:r>
            <w:r>
              <w:rPr>
                <w:sz w:val="18"/>
                <w:szCs w:val="18"/>
              </w:rPr>
              <w:t xml:space="preserve">substantieel </w:t>
            </w:r>
            <w:r w:rsidRPr="00D46C1B">
              <w:rPr>
                <w:sz w:val="18"/>
                <w:szCs w:val="18"/>
              </w:rPr>
              <w:t>resterend deel in 2027</w:t>
            </w:r>
            <w:r>
              <w:rPr>
                <w:sz w:val="18"/>
                <w:szCs w:val="18"/>
              </w:rPr>
              <w:t xml:space="preserve"> en nog een klein bedrag in 2028</w:t>
            </w:r>
            <w:r w:rsidRPr="00D46C1B">
              <w:rPr>
                <w:sz w:val="18"/>
                <w:szCs w:val="18"/>
              </w:rPr>
              <w:t>.</w:t>
            </w:r>
            <w:r>
              <w:rPr>
                <w:sz w:val="18"/>
                <w:szCs w:val="18"/>
              </w:rPr>
              <w:t xml:space="preserve"> Dit heeft te maken met de aard en doorlooptijd van de projecten.</w:t>
            </w:r>
          </w:p>
          <w:p w:rsidRPr="0060043E" w:rsidR="00C73D14" w:rsidP="00A32BD6" w:rsidRDefault="00C73D14" w14:paraId="2C162CE1" w14:textId="77777777">
            <w:pPr>
              <w:spacing w:before="52"/>
              <w:ind w:left="89"/>
              <w:rPr>
                <w:sz w:val="18"/>
                <w:szCs w:val="18"/>
              </w:rPr>
            </w:pPr>
          </w:p>
        </w:tc>
      </w:tr>
      <w:tr w:rsidRPr="0060043E" w:rsidR="00C73D14" w:rsidTr="00A32BD6" w14:paraId="1EE942C4" w14:textId="77777777">
        <w:trPr>
          <w:trHeight w:val="559"/>
        </w:trPr>
        <w:tc>
          <w:tcPr>
            <w:tcW w:w="1159" w:type="pct"/>
            <w:tcBorders>
              <w:top w:val="nil"/>
              <w:left w:val="nil"/>
              <w:bottom w:val="single" w:color="017BC7" w:sz="8" w:space="0"/>
              <w:right w:val="nil"/>
            </w:tcBorders>
            <w:shd w:val="clear" w:color="auto" w:fill="D6EFF9"/>
            <w:hideMark/>
          </w:tcPr>
          <w:p w:rsidR="00C73D14" w:rsidP="00A32BD6" w:rsidRDefault="00C73D14" w14:paraId="34053D9D" w14:textId="77777777">
            <w:pPr>
              <w:pStyle w:val="TableParagraph"/>
              <w:spacing w:before="52"/>
              <w:rPr>
                <w:b/>
                <w:bCs/>
                <w:sz w:val="18"/>
                <w:szCs w:val="18"/>
              </w:rPr>
            </w:pPr>
            <w:r w:rsidRPr="0060043E">
              <w:rPr>
                <w:b/>
                <w:bCs/>
                <w:sz w:val="18"/>
                <w:szCs w:val="18"/>
              </w:rPr>
              <w:lastRenderedPageBreak/>
              <w:t>B. Financiële gevolgen voor maatschappelijke sectoren</w:t>
            </w:r>
          </w:p>
          <w:p w:rsidRPr="0060043E" w:rsidR="00C73D14" w:rsidP="00A32BD6" w:rsidRDefault="00C73D14" w14:paraId="48196E73" w14:textId="77777777">
            <w:pPr>
              <w:pStyle w:val="TableParagraph"/>
              <w:spacing w:before="52"/>
              <w:rPr>
                <w:b/>
                <w:bCs/>
                <w:sz w:val="18"/>
                <w:szCs w:val="18"/>
              </w:rPr>
            </w:pPr>
          </w:p>
        </w:tc>
        <w:tc>
          <w:tcPr>
            <w:tcW w:w="3841" w:type="pct"/>
            <w:tcBorders>
              <w:top w:val="nil"/>
              <w:left w:val="nil"/>
              <w:bottom w:val="single" w:color="017BC7" w:sz="8" w:space="0"/>
              <w:right w:val="nil"/>
            </w:tcBorders>
            <w:hideMark/>
          </w:tcPr>
          <w:p w:rsidR="00C73D14" w:rsidP="00A32BD6" w:rsidRDefault="00C73D14" w14:paraId="12AF1762" w14:textId="77777777">
            <w:pPr>
              <w:spacing w:before="52"/>
              <w:ind w:left="89"/>
              <w:rPr>
                <w:sz w:val="18"/>
                <w:szCs w:val="18"/>
              </w:rPr>
            </w:pPr>
            <w:r w:rsidRPr="0060043E">
              <w:rPr>
                <w:sz w:val="18"/>
                <w:szCs w:val="18"/>
              </w:rPr>
              <w:t>Welke financiële gevolgen heeft het voorstel voor maatschappelijke sectoren (als van toepassing)?</w:t>
            </w:r>
          </w:p>
          <w:p w:rsidRPr="0060043E" w:rsidR="00C73D14" w:rsidP="00A32BD6" w:rsidRDefault="00C73D14" w14:paraId="6220C9C4" w14:textId="77777777">
            <w:pPr>
              <w:spacing w:before="52"/>
              <w:ind w:left="89"/>
              <w:rPr>
                <w:sz w:val="18"/>
                <w:szCs w:val="18"/>
              </w:rPr>
            </w:pPr>
            <w:r>
              <w:rPr>
                <w:sz w:val="18"/>
                <w:szCs w:val="18"/>
              </w:rPr>
              <w:t>N.v.t.</w:t>
            </w:r>
          </w:p>
        </w:tc>
      </w:tr>
      <w:tr w:rsidRPr="0060043E" w:rsidR="00C73D14" w:rsidTr="00A32BD6" w14:paraId="1443C561" w14:textId="77777777">
        <w:trPr>
          <w:trHeight w:val="759"/>
        </w:trPr>
        <w:tc>
          <w:tcPr>
            <w:tcW w:w="1159" w:type="pct"/>
            <w:tcBorders>
              <w:top w:val="nil"/>
              <w:left w:val="nil"/>
              <w:bottom w:val="single" w:color="017BC7" w:sz="8" w:space="0"/>
              <w:right w:val="nil"/>
            </w:tcBorders>
            <w:shd w:val="clear" w:color="auto" w:fill="D6EFF9"/>
            <w:hideMark/>
          </w:tcPr>
          <w:p w:rsidRPr="0060043E" w:rsidR="00C73D14" w:rsidP="00A32BD6" w:rsidRDefault="00C73D14" w14:paraId="75B31584" w14:textId="77777777">
            <w:pPr>
              <w:pStyle w:val="TableParagraph"/>
              <w:spacing w:before="52" w:line="252" w:lineRule="auto"/>
              <w:ind w:left="89"/>
              <w:rPr>
                <w:b/>
                <w:bCs/>
                <w:sz w:val="18"/>
                <w:szCs w:val="18"/>
                <w:lang w:val="en-US"/>
              </w:rPr>
            </w:pPr>
            <w:r>
              <w:rPr>
                <w:b/>
                <w:bCs/>
                <w:sz w:val="18"/>
                <w:szCs w:val="18"/>
                <w:lang w:val="en-US"/>
              </w:rPr>
              <w:t>6</w:t>
            </w:r>
            <w:r w:rsidRPr="0060043E">
              <w:rPr>
                <w:b/>
                <w:bCs/>
                <w:sz w:val="18"/>
                <w:szCs w:val="18"/>
                <w:lang w:val="en-US"/>
              </w:rPr>
              <w:t>. Nagestreefde doeltreffendheid</w:t>
            </w:r>
          </w:p>
        </w:tc>
        <w:tc>
          <w:tcPr>
            <w:tcW w:w="3841" w:type="pct"/>
            <w:tcBorders>
              <w:top w:val="nil"/>
              <w:left w:val="nil"/>
              <w:bottom w:val="single" w:color="017BC7" w:sz="8" w:space="0"/>
              <w:right w:val="nil"/>
            </w:tcBorders>
            <w:hideMark/>
          </w:tcPr>
          <w:p w:rsidR="00C73D14" w:rsidP="00A32BD6" w:rsidRDefault="00C73D14" w14:paraId="724D719F" w14:textId="77777777">
            <w:pPr>
              <w:pStyle w:val="TableParagraph"/>
              <w:spacing w:before="4" w:line="252" w:lineRule="auto"/>
              <w:rPr>
                <w:sz w:val="18"/>
                <w:szCs w:val="18"/>
              </w:rPr>
            </w:pPr>
            <w:r w:rsidRPr="0060043E">
              <w:rPr>
                <w:sz w:val="18"/>
                <w:szCs w:val="18"/>
              </w:rPr>
              <w:t>Op welke wijze en in welke mate wordt verwacht dat het beleidsinstrumentarium gaat bijdragen aan de beoogde prestaties en effecten?</w:t>
            </w:r>
          </w:p>
          <w:p w:rsidR="00C73D14" w:rsidP="00A32BD6" w:rsidRDefault="00C73D14" w14:paraId="200CC697" w14:textId="77777777">
            <w:pPr>
              <w:pStyle w:val="TableParagraph"/>
              <w:spacing w:before="4" w:line="252" w:lineRule="auto"/>
              <w:ind w:left="0"/>
              <w:rPr>
                <w:sz w:val="18"/>
                <w:szCs w:val="18"/>
              </w:rPr>
            </w:pPr>
          </w:p>
          <w:p w:rsidR="00C73D14" w:rsidP="00A32BD6" w:rsidRDefault="00C73D14" w14:paraId="252B6300" w14:textId="77777777">
            <w:pPr>
              <w:pStyle w:val="TableParagraph"/>
              <w:spacing w:before="4" w:line="252" w:lineRule="auto"/>
              <w:rPr>
                <w:sz w:val="18"/>
                <w:szCs w:val="18"/>
              </w:rPr>
            </w:pPr>
            <w:r>
              <w:rPr>
                <w:sz w:val="18"/>
                <w:szCs w:val="18"/>
              </w:rPr>
              <w:t xml:space="preserve">De projecten zullen allemaal een publiek karakter hebben en voldoen aan de mede door de Oekraïense overheid vastgestelde selectiecriteria. Daarmee dragen de projecten direct bij aan de door de Oekraïense overheid gestelde prioriteiten van wederopbouw en herstel. </w:t>
            </w:r>
          </w:p>
          <w:p w:rsidR="00C73D14" w:rsidP="00A32BD6" w:rsidRDefault="00C73D14" w14:paraId="0C81D02B" w14:textId="77777777">
            <w:pPr>
              <w:pStyle w:val="TableParagraph"/>
              <w:spacing w:before="4" w:line="252" w:lineRule="auto"/>
              <w:rPr>
                <w:sz w:val="18"/>
                <w:szCs w:val="18"/>
              </w:rPr>
            </w:pPr>
          </w:p>
          <w:p w:rsidR="00C73D14" w:rsidP="00A32BD6" w:rsidRDefault="00C73D14" w14:paraId="6B1BBAF0" w14:textId="77777777">
            <w:pPr>
              <w:pStyle w:val="TableParagraph"/>
              <w:spacing w:before="4" w:line="252" w:lineRule="auto"/>
              <w:rPr>
                <w:sz w:val="18"/>
                <w:szCs w:val="18"/>
              </w:rPr>
            </w:pPr>
            <w:r>
              <w:rPr>
                <w:sz w:val="18"/>
                <w:szCs w:val="18"/>
              </w:rPr>
              <w:t>Afhankelijk van de ingediende projectvoorstellen zal het instrument bijdragen aan  energievoorziening, reconstructie van economisch relevante infrastructuur, verbetering van kwaliteit en toegang tot zorg, verbeterde en verhoogde toegang tot drinkwatervoorzieningen, werkgelegenheid, niveau van kennis en expertise van Oekraïense inwoners,  e.d.</w:t>
            </w:r>
          </w:p>
          <w:p w:rsidR="00C73D14" w:rsidP="00A32BD6" w:rsidRDefault="00C73D14" w14:paraId="21DF87AB" w14:textId="77777777">
            <w:pPr>
              <w:pStyle w:val="TableParagraph"/>
              <w:spacing w:before="4" w:line="252" w:lineRule="auto"/>
              <w:rPr>
                <w:sz w:val="18"/>
                <w:szCs w:val="18"/>
              </w:rPr>
            </w:pPr>
            <w:r>
              <w:rPr>
                <w:sz w:val="18"/>
                <w:szCs w:val="18"/>
              </w:rPr>
              <w:t xml:space="preserve">Omdat niet op voorhand bekend is wat voor projecten worden aangevraagd is een kwantificering van de impact vooraf niet mogelijk. Er is geen kwantitatieve ondergrens opgenomen om de beoogde impact van een project te beoordelen omdat de regeling veel ruimte laat voor verschillende typen projecten. De selectiecriteria, de puntentoekenning per criterium en de ondergrens per categorie en voor het totaal sturen gezamenlijk op het behalen van </w:t>
            </w:r>
            <w:r w:rsidRPr="59A9A1C5">
              <w:rPr>
                <w:i/>
                <w:iCs/>
                <w:sz w:val="18"/>
                <w:szCs w:val="18"/>
              </w:rPr>
              <w:t>value for money</w:t>
            </w:r>
            <w:r>
              <w:rPr>
                <w:sz w:val="18"/>
                <w:szCs w:val="18"/>
              </w:rPr>
              <w:t>.</w:t>
            </w:r>
          </w:p>
          <w:p w:rsidR="00C73D14" w:rsidP="00A32BD6" w:rsidRDefault="00C73D14" w14:paraId="176475FA" w14:textId="77777777">
            <w:pPr>
              <w:pStyle w:val="TableParagraph"/>
              <w:spacing w:before="4" w:line="252" w:lineRule="auto"/>
              <w:rPr>
                <w:sz w:val="18"/>
                <w:szCs w:val="18"/>
              </w:rPr>
            </w:pPr>
          </w:p>
          <w:p w:rsidR="00C73D14" w:rsidP="00A32BD6" w:rsidRDefault="00C73D14" w14:paraId="040EBCE8" w14:textId="77777777">
            <w:pPr>
              <w:pStyle w:val="TableParagraph"/>
              <w:spacing w:before="4" w:line="252" w:lineRule="auto"/>
              <w:rPr>
                <w:sz w:val="18"/>
                <w:szCs w:val="18"/>
              </w:rPr>
            </w:pPr>
            <w:r>
              <w:rPr>
                <w:sz w:val="18"/>
                <w:szCs w:val="18"/>
              </w:rPr>
              <w:t xml:space="preserve">Daarnaast draagt een subsidie onder UPF3 ertoe bij dat: </w:t>
            </w:r>
          </w:p>
          <w:p w:rsidR="00C73D14" w:rsidP="00A32BD6" w:rsidRDefault="00C73D14" w14:paraId="4471D5E4" w14:textId="77777777">
            <w:pPr>
              <w:pStyle w:val="TableParagraph"/>
              <w:numPr>
                <w:ilvl w:val="0"/>
                <w:numId w:val="32"/>
              </w:numPr>
              <w:spacing w:before="4" w:line="252" w:lineRule="auto"/>
              <w:rPr>
                <w:sz w:val="18"/>
                <w:szCs w:val="18"/>
              </w:rPr>
            </w:pPr>
            <w:r>
              <w:rPr>
                <w:sz w:val="18"/>
                <w:szCs w:val="18"/>
              </w:rPr>
              <w:t xml:space="preserve">meer NLse bedrijven de Oekraïense markt betreden, terwijl zij middels de projecten bijdragen aan de noden in Oekraïne; </w:t>
            </w:r>
          </w:p>
          <w:p w:rsidR="00C73D14" w:rsidP="00A32BD6" w:rsidRDefault="00C73D14" w14:paraId="5E275BDA" w14:textId="77777777">
            <w:pPr>
              <w:pStyle w:val="TableParagraph"/>
              <w:numPr>
                <w:ilvl w:val="0"/>
                <w:numId w:val="32"/>
              </w:numPr>
              <w:spacing w:before="4" w:line="252" w:lineRule="auto"/>
              <w:rPr>
                <w:sz w:val="18"/>
                <w:szCs w:val="18"/>
              </w:rPr>
            </w:pPr>
            <w:r>
              <w:rPr>
                <w:sz w:val="18"/>
                <w:szCs w:val="18"/>
              </w:rPr>
              <w:t xml:space="preserve">reeds aanwezige NLse bedrijven activiteiten en ondernemingen t.b.v. wederopbouw verder uitbouwen; </w:t>
            </w:r>
          </w:p>
          <w:p w:rsidRPr="00D411C5" w:rsidR="00C73D14" w:rsidP="00A32BD6" w:rsidRDefault="00C73D14" w14:paraId="26FB93BD" w14:textId="77777777">
            <w:pPr>
              <w:pStyle w:val="TableParagraph"/>
              <w:numPr>
                <w:ilvl w:val="0"/>
                <w:numId w:val="32"/>
              </w:numPr>
              <w:spacing w:before="4" w:line="252" w:lineRule="auto"/>
              <w:rPr>
                <w:sz w:val="18"/>
                <w:szCs w:val="18"/>
              </w:rPr>
            </w:pPr>
            <w:r>
              <w:rPr>
                <w:sz w:val="18"/>
                <w:szCs w:val="18"/>
              </w:rPr>
              <w:t>op de langere termijn het aandeel van de bijdrage van de NLse private sector in de prioriteitssectoren (water, landbouw, LSH, energie, circulaire bouw) aan de wederopbouw in OEK wordt vergroot en de (economische) veerkracht van Oekraïense partners in deze projecten wordt versterkt.</w:t>
            </w:r>
          </w:p>
          <w:p w:rsidRPr="0060043E" w:rsidR="00C73D14" w:rsidP="00A32BD6" w:rsidRDefault="00C73D14" w14:paraId="1C5F6F76" w14:textId="77777777">
            <w:pPr>
              <w:pStyle w:val="TableParagraph"/>
              <w:spacing w:before="4" w:line="252" w:lineRule="auto"/>
              <w:rPr>
                <w:sz w:val="18"/>
                <w:szCs w:val="18"/>
              </w:rPr>
            </w:pPr>
          </w:p>
        </w:tc>
      </w:tr>
      <w:tr w:rsidRPr="0060043E" w:rsidR="00C73D14" w:rsidTr="00A32BD6" w14:paraId="4067928C" w14:textId="77777777">
        <w:trPr>
          <w:trHeight w:val="559"/>
        </w:trPr>
        <w:tc>
          <w:tcPr>
            <w:tcW w:w="1159" w:type="pct"/>
            <w:tcBorders>
              <w:top w:val="nil"/>
              <w:left w:val="nil"/>
              <w:bottom w:val="single" w:color="017BC7" w:sz="8" w:space="0"/>
              <w:right w:val="nil"/>
            </w:tcBorders>
            <w:shd w:val="clear" w:color="auto" w:fill="D6EFF9"/>
            <w:hideMark/>
          </w:tcPr>
          <w:p w:rsidRPr="0060043E" w:rsidR="00C73D14" w:rsidP="00A32BD6" w:rsidRDefault="00C73D14" w14:paraId="06F7E6F8" w14:textId="77777777">
            <w:pPr>
              <w:pStyle w:val="TableParagraph"/>
              <w:spacing w:before="52" w:line="252" w:lineRule="auto"/>
              <w:ind w:left="89"/>
              <w:rPr>
                <w:b/>
                <w:bCs/>
                <w:sz w:val="18"/>
                <w:szCs w:val="18"/>
                <w:lang w:val="en-US"/>
              </w:rPr>
            </w:pPr>
            <w:r>
              <w:rPr>
                <w:b/>
                <w:bCs/>
                <w:sz w:val="18"/>
                <w:szCs w:val="18"/>
                <w:lang w:val="en-US"/>
              </w:rPr>
              <w:t>7</w:t>
            </w:r>
            <w:r w:rsidRPr="0060043E">
              <w:rPr>
                <w:b/>
                <w:bCs/>
                <w:sz w:val="18"/>
                <w:szCs w:val="18"/>
                <w:lang w:val="en-US"/>
              </w:rPr>
              <w:t>. Nagestreefde doelmatigheid</w:t>
            </w:r>
          </w:p>
        </w:tc>
        <w:tc>
          <w:tcPr>
            <w:tcW w:w="3841" w:type="pct"/>
            <w:tcBorders>
              <w:top w:val="nil"/>
              <w:left w:val="nil"/>
              <w:bottom w:val="single" w:color="017BC7" w:sz="8" w:space="0"/>
              <w:right w:val="nil"/>
            </w:tcBorders>
            <w:hideMark/>
          </w:tcPr>
          <w:p w:rsidR="00C73D14" w:rsidP="00A32BD6" w:rsidRDefault="00C73D14" w14:paraId="6F646B91" w14:textId="77777777">
            <w:pPr>
              <w:spacing w:before="52"/>
              <w:ind w:left="89"/>
              <w:rPr>
                <w:sz w:val="18"/>
                <w:szCs w:val="18"/>
              </w:rPr>
            </w:pPr>
            <w:r w:rsidRPr="0060043E">
              <w:rPr>
                <w:sz w:val="18"/>
                <w:szCs w:val="18"/>
              </w:rPr>
              <w:t>Waarom is het voorgestelde instrumentarium een efficiënte manier om de beoogde prestaties en effecten te bereiken?</w:t>
            </w:r>
          </w:p>
          <w:p w:rsidR="00C73D14" w:rsidP="00A32BD6" w:rsidRDefault="00C73D14" w14:paraId="7A7F91B5" w14:textId="77777777">
            <w:pPr>
              <w:spacing w:before="52"/>
              <w:ind w:left="89"/>
              <w:rPr>
                <w:sz w:val="18"/>
                <w:szCs w:val="18"/>
              </w:rPr>
            </w:pPr>
          </w:p>
          <w:p w:rsidR="00C73D14" w:rsidP="00A32BD6" w:rsidRDefault="00C73D14" w14:paraId="0B05CCA9" w14:textId="77777777">
            <w:pPr>
              <w:spacing w:before="52"/>
              <w:ind w:left="89"/>
              <w:rPr>
                <w:sz w:val="18"/>
                <w:szCs w:val="18"/>
              </w:rPr>
            </w:pPr>
            <w:r>
              <w:rPr>
                <w:sz w:val="18"/>
                <w:szCs w:val="18"/>
              </w:rPr>
              <w:t xml:space="preserve">De publieke </w:t>
            </w:r>
            <w:r w:rsidRPr="00A3365F">
              <w:rPr>
                <w:sz w:val="18"/>
                <w:szCs w:val="18"/>
              </w:rPr>
              <w:t xml:space="preserve">sector kan de benodigde inspanningen niet alleen bekostigen, het mobiliseren van privaat kapitaal is nodig. </w:t>
            </w:r>
            <w:r>
              <w:rPr>
                <w:sz w:val="18"/>
                <w:szCs w:val="18"/>
              </w:rPr>
              <w:t>Voor de 3</w:t>
            </w:r>
            <w:r w:rsidRPr="00183CC9">
              <w:rPr>
                <w:sz w:val="18"/>
                <w:szCs w:val="18"/>
                <w:vertAlign w:val="superscript"/>
              </w:rPr>
              <w:t>e</w:t>
            </w:r>
            <w:r>
              <w:rPr>
                <w:sz w:val="18"/>
                <w:szCs w:val="18"/>
              </w:rPr>
              <w:t xml:space="preserve"> ronde van </w:t>
            </w:r>
            <w:r w:rsidRPr="00183CC9">
              <w:rPr>
                <w:sz w:val="18"/>
                <w:szCs w:val="18"/>
              </w:rPr>
              <w:t>UPF</w:t>
            </w:r>
            <w:r>
              <w:rPr>
                <w:sz w:val="18"/>
                <w:szCs w:val="18"/>
              </w:rPr>
              <w:t xml:space="preserve"> worden de volgende</w:t>
            </w:r>
            <w:r w:rsidRPr="00183CC9">
              <w:rPr>
                <w:sz w:val="18"/>
                <w:szCs w:val="18"/>
              </w:rPr>
              <w:t xml:space="preserve"> maatregelen </w:t>
            </w:r>
            <w:r>
              <w:rPr>
                <w:sz w:val="18"/>
                <w:szCs w:val="18"/>
              </w:rPr>
              <w:t>genomen</w:t>
            </w:r>
            <w:r w:rsidRPr="00183CC9">
              <w:rPr>
                <w:sz w:val="18"/>
                <w:szCs w:val="18"/>
              </w:rPr>
              <w:t xml:space="preserve"> om de efficiency te verhogen</w:t>
            </w:r>
            <w:r>
              <w:rPr>
                <w:sz w:val="18"/>
                <w:szCs w:val="18"/>
              </w:rPr>
              <w:t>: we verlagen</w:t>
            </w:r>
            <w:r w:rsidRPr="00183CC9">
              <w:rPr>
                <w:sz w:val="18"/>
                <w:szCs w:val="18"/>
              </w:rPr>
              <w:t xml:space="preserve"> het subsidiepercentage</w:t>
            </w:r>
            <w:r>
              <w:rPr>
                <w:sz w:val="18"/>
                <w:szCs w:val="18"/>
              </w:rPr>
              <w:t xml:space="preserve"> en we gaan middels een getrapte aanvraagprocedure de kwaliteit van de aanvragen vergroten waardoor de beoordelingsfase sneller zal verlopen. Dit bevordert de doelmatigheid van de middelen  doordat het aandeel van bedrijven in dede cofinanciering wordt versterkt en ook zal de beoordelingsfase naar verwachting sneller en efficiënter verlopen. Daarnaast subsidiëren we uitsluitend nog projecten die gericht zijn op de publieke sector en we geven de Oekraïense overheid een stem bij de selectie van de projecten. Hierdoor zullen de projecten maximaal aansluiten bij de prioriteit van Oekraïne.</w:t>
            </w:r>
          </w:p>
          <w:p w:rsidRPr="0060043E" w:rsidR="00C73D14" w:rsidP="00A32BD6" w:rsidRDefault="00C73D14" w14:paraId="78892544" w14:textId="77777777">
            <w:pPr>
              <w:spacing w:before="52"/>
              <w:ind w:left="89"/>
              <w:rPr>
                <w:sz w:val="18"/>
                <w:szCs w:val="18"/>
              </w:rPr>
            </w:pPr>
          </w:p>
        </w:tc>
      </w:tr>
      <w:tr w:rsidRPr="0060043E" w:rsidR="00C73D14" w:rsidTr="00A32BD6" w14:paraId="167B67F2" w14:textId="77777777">
        <w:trPr>
          <w:trHeight w:val="354"/>
        </w:trPr>
        <w:tc>
          <w:tcPr>
            <w:tcW w:w="1159" w:type="pct"/>
            <w:tcBorders>
              <w:top w:val="single" w:color="017BC7" w:sz="8" w:space="0"/>
              <w:left w:val="nil"/>
              <w:bottom w:val="single" w:color="017BC7" w:sz="8" w:space="0"/>
              <w:right w:val="nil"/>
            </w:tcBorders>
            <w:shd w:val="clear" w:color="auto" w:fill="D6EFF9"/>
            <w:hideMark/>
          </w:tcPr>
          <w:p w:rsidRPr="0060043E" w:rsidR="00C73D14" w:rsidP="00A32BD6" w:rsidRDefault="00C73D14" w14:paraId="606DCD9D" w14:textId="77777777">
            <w:pPr>
              <w:pStyle w:val="TableParagraph"/>
              <w:spacing w:before="52" w:line="252" w:lineRule="auto"/>
              <w:ind w:left="89"/>
              <w:rPr>
                <w:b/>
                <w:bCs/>
                <w:sz w:val="18"/>
                <w:szCs w:val="18"/>
                <w:lang w:val="en-US"/>
              </w:rPr>
            </w:pPr>
            <w:r>
              <w:rPr>
                <w:b/>
                <w:bCs/>
                <w:sz w:val="18"/>
                <w:szCs w:val="18"/>
                <w:lang w:val="en-US"/>
              </w:rPr>
              <w:t>8</w:t>
            </w:r>
            <w:r w:rsidRPr="0060043E">
              <w:rPr>
                <w:b/>
                <w:bCs/>
                <w:sz w:val="18"/>
                <w:szCs w:val="18"/>
                <w:lang w:val="en-US"/>
              </w:rPr>
              <w:t>. Evaluatieparagraaf</w:t>
            </w:r>
          </w:p>
        </w:tc>
        <w:tc>
          <w:tcPr>
            <w:tcW w:w="3841" w:type="pct"/>
            <w:tcBorders>
              <w:top w:val="single" w:color="017BC7" w:sz="8" w:space="0"/>
              <w:left w:val="nil"/>
              <w:bottom w:val="single" w:color="017BC7" w:sz="8" w:space="0"/>
              <w:right w:val="nil"/>
            </w:tcBorders>
            <w:hideMark/>
          </w:tcPr>
          <w:p w:rsidR="00C73D14" w:rsidP="00A32BD6" w:rsidRDefault="00C73D14" w14:paraId="6F75E82F" w14:textId="77777777">
            <w:pPr>
              <w:autoSpaceDE w:val="0"/>
              <w:autoSpaceDN w:val="0"/>
              <w:spacing w:before="52" w:line="252" w:lineRule="auto"/>
              <w:ind w:left="89"/>
              <w:rPr>
                <w:sz w:val="18"/>
                <w:szCs w:val="18"/>
              </w:rPr>
            </w:pPr>
            <w:r w:rsidRPr="0060043E">
              <w:rPr>
                <w:sz w:val="18"/>
                <w:szCs w:val="18"/>
              </w:rPr>
              <w:t>Hoe wordt het voorstel gemonitord en geëvalueerd?</w:t>
            </w:r>
            <w:r>
              <w:rPr>
                <w:sz w:val="18"/>
                <w:szCs w:val="18"/>
              </w:rPr>
              <w:t xml:space="preserve"> </w:t>
            </w:r>
          </w:p>
          <w:p w:rsidR="00C73D14" w:rsidP="00A32BD6" w:rsidRDefault="00C73D14" w14:paraId="19593F59" w14:textId="77777777">
            <w:pPr>
              <w:autoSpaceDE w:val="0"/>
              <w:autoSpaceDN w:val="0"/>
              <w:spacing w:before="52" w:line="252" w:lineRule="auto"/>
              <w:rPr>
                <w:sz w:val="18"/>
                <w:szCs w:val="18"/>
              </w:rPr>
            </w:pPr>
          </w:p>
          <w:p w:rsidRPr="0060043E" w:rsidR="00C73D14" w:rsidP="00A32BD6" w:rsidRDefault="00C73D14" w14:paraId="0FDFFEF2" w14:textId="77777777">
            <w:pPr>
              <w:autoSpaceDE w:val="0"/>
              <w:autoSpaceDN w:val="0"/>
              <w:spacing w:before="52" w:line="252" w:lineRule="auto"/>
              <w:ind w:left="89"/>
              <w:rPr>
                <w:sz w:val="18"/>
                <w:szCs w:val="18"/>
              </w:rPr>
            </w:pPr>
            <w:r>
              <w:rPr>
                <w:sz w:val="18"/>
                <w:szCs w:val="18"/>
              </w:rPr>
              <w:t xml:space="preserve">Gedurende de implementatiefase van de projecten monitort de Nederlandse ambassade in Oekraïne en de verantwoordelijke themadirectie op het Ministerie van Buitenlandse Zaken de voortgang, mede op basis van inhoudelijke en financiële rapportage door de uitvoerder. </w:t>
            </w:r>
            <w:r>
              <w:rPr>
                <w:sz w:val="18"/>
                <w:szCs w:val="18"/>
              </w:rPr>
              <w:lastRenderedPageBreak/>
              <w:t>Na afsluiting van een project vindt een evaluatie van de behaalde resultaten plaats. Na realisatie van alle projecten wordt een programma-evaluatie uitgevoerd.</w:t>
            </w:r>
          </w:p>
          <w:p w:rsidRPr="0060043E" w:rsidR="00C73D14" w:rsidP="00A32BD6" w:rsidRDefault="00C73D14" w14:paraId="1F443394" w14:textId="77777777">
            <w:pPr>
              <w:rPr>
                <w:sz w:val="18"/>
                <w:szCs w:val="18"/>
              </w:rPr>
            </w:pPr>
          </w:p>
        </w:tc>
      </w:tr>
      <w:tr w:rsidRPr="0060043E" w:rsidR="00C73D14" w:rsidTr="00A32BD6" w14:paraId="16457290" w14:textId="77777777">
        <w:trPr>
          <w:trHeight w:val="354"/>
        </w:trPr>
        <w:tc>
          <w:tcPr>
            <w:tcW w:w="1159" w:type="pct"/>
            <w:tcBorders>
              <w:top w:val="single" w:color="017BC7" w:sz="8" w:space="0"/>
              <w:left w:val="nil"/>
              <w:bottom w:val="single" w:color="017BC7" w:sz="8" w:space="0"/>
              <w:right w:val="nil"/>
            </w:tcBorders>
            <w:shd w:val="clear" w:color="auto" w:fill="D6EFF9"/>
          </w:tcPr>
          <w:p w:rsidRPr="00B03318" w:rsidR="00C73D14" w:rsidP="00A32BD6" w:rsidRDefault="00C73D14" w14:paraId="174F64B7" w14:textId="77777777">
            <w:pPr>
              <w:pStyle w:val="TableParagraph"/>
              <w:spacing w:before="52" w:line="252" w:lineRule="auto"/>
              <w:ind w:left="89"/>
              <w:rPr>
                <w:b/>
                <w:bCs/>
                <w:sz w:val="18"/>
                <w:szCs w:val="18"/>
              </w:rPr>
            </w:pPr>
            <w:r>
              <w:rPr>
                <w:b/>
                <w:bCs/>
                <w:sz w:val="18"/>
                <w:szCs w:val="18"/>
              </w:rPr>
              <w:lastRenderedPageBreak/>
              <w:t xml:space="preserve">9. Risicoparagraaf </w:t>
            </w:r>
          </w:p>
        </w:tc>
        <w:tc>
          <w:tcPr>
            <w:tcW w:w="3841" w:type="pct"/>
            <w:tcBorders>
              <w:top w:val="single" w:color="017BC7" w:sz="8" w:space="0"/>
              <w:left w:val="nil"/>
              <w:bottom w:val="single" w:color="017BC7" w:sz="8" w:space="0"/>
              <w:right w:val="nil"/>
            </w:tcBorders>
          </w:tcPr>
          <w:p w:rsidRPr="00D6626B" w:rsidR="00C73D14" w:rsidP="00A32BD6" w:rsidRDefault="00C73D14" w14:paraId="5BD783FD" w14:textId="77777777">
            <w:pPr>
              <w:autoSpaceDE w:val="0"/>
              <w:autoSpaceDN w:val="0"/>
              <w:spacing w:before="52" w:line="252" w:lineRule="auto"/>
              <w:ind w:left="89"/>
              <w:rPr>
                <w:sz w:val="18"/>
                <w:szCs w:val="18"/>
              </w:rPr>
            </w:pPr>
            <w:r w:rsidRPr="00D6626B">
              <w:rPr>
                <w:sz w:val="18"/>
                <w:szCs w:val="18"/>
              </w:rPr>
              <w:t xml:space="preserve">Hoe worden anti-fraude en anti-corruptie risico’s gemitigeerd? </w:t>
            </w:r>
          </w:p>
          <w:p w:rsidR="00C73D14" w:rsidP="00A32BD6" w:rsidRDefault="00C73D14" w14:paraId="75EF73FF" w14:textId="77777777">
            <w:pPr>
              <w:autoSpaceDE w:val="0"/>
              <w:autoSpaceDN w:val="0"/>
              <w:spacing w:before="52" w:line="252" w:lineRule="auto"/>
              <w:ind w:left="89"/>
              <w:rPr>
                <w:sz w:val="18"/>
                <w:szCs w:val="18"/>
              </w:rPr>
            </w:pPr>
            <w:r w:rsidRPr="00D6626B">
              <w:rPr>
                <w:sz w:val="18"/>
                <w:szCs w:val="18"/>
              </w:rPr>
              <w:t xml:space="preserve">In de beoordelingsfase zitten diverse </w:t>
            </w:r>
            <w:r>
              <w:rPr>
                <w:sz w:val="18"/>
                <w:szCs w:val="18"/>
              </w:rPr>
              <w:t>controles</w:t>
            </w:r>
            <w:r w:rsidRPr="00D6626B">
              <w:rPr>
                <w:sz w:val="18"/>
                <w:szCs w:val="18"/>
              </w:rPr>
              <w:t xml:space="preserve"> ingebouwd waarbij RVO en de </w:t>
            </w:r>
            <w:r>
              <w:rPr>
                <w:sz w:val="18"/>
                <w:szCs w:val="18"/>
              </w:rPr>
              <w:t>ambassade</w:t>
            </w:r>
            <w:r w:rsidRPr="00D6626B">
              <w:rPr>
                <w:sz w:val="18"/>
                <w:szCs w:val="18"/>
              </w:rPr>
              <w:t xml:space="preserve"> betrokken organisaties én het ingediende projectvoorstel </w:t>
            </w:r>
            <w:r>
              <w:rPr>
                <w:sz w:val="18"/>
                <w:szCs w:val="18"/>
              </w:rPr>
              <w:t>beoordelen op (mogelijke) risico’s</w:t>
            </w:r>
            <w:r w:rsidRPr="00D6626B">
              <w:rPr>
                <w:sz w:val="18"/>
                <w:szCs w:val="18"/>
              </w:rPr>
              <w:t>. Zo wordt er bijv. gebruik gemaakt van een database om bedrijfsregistratie- en activiteiten van organisaties in Oekraïne te controleren en is voor het leveren van goederen (hardware) juridisch advies ingewonnen bij een Oekraïense accountant hoe dit proces te borgen.</w:t>
            </w:r>
            <w:r>
              <w:rPr>
                <w:sz w:val="18"/>
                <w:szCs w:val="18"/>
              </w:rPr>
              <w:t xml:space="preserve"> Ook is er een  medewerker van de ambassade specifiek ingezet op het beoordelen van de betrokken Oekraïense partners.</w:t>
            </w:r>
          </w:p>
          <w:p w:rsidR="00C73D14" w:rsidP="00A32BD6" w:rsidRDefault="00C73D14" w14:paraId="7E41FDD6" w14:textId="77777777">
            <w:pPr>
              <w:autoSpaceDE w:val="0"/>
              <w:autoSpaceDN w:val="0"/>
              <w:spacing w:before="52" w:line="252" w:lineRule="auto"/>
              <w:ind w:left="89"/>
              <w:rPr>
                <w:sz w:val="18"/>
                <w:szCs w:val="18"/>
              </w:rPr>
            </w:pPr>
          </w:p>
          <w:p w:rsidRPr="00D6626B" w:rsidR="00C73D14" w:rsidP="00A32BD6" w:rsidRDefault="00C73D14" w14:paraId="44B3F2DA" w14:textId="77777777">
            <w:pPr>
              <w:autoSpaceDE w:val="0"/>
              <w:autoSpaceDN w:val="0"/>
              <w:spacing w:before="52" w:line="252" w:lineRule="auto"/>
              <w:ind w:left="89"/>
              <w:rPr>
                <w:sz w:val="18"/>
                <w:szCs w:val="18"/>
              </w:rPr>
            </w:pPr>
            <w:r>
              <w:rPr>
                <w:sz w:val="18"/>
                <w:szCs w:val="18"/>
              </w:rPr>
              <w:t xml:space="preserve">Tot slot zullen de selectiecommissie en het selectieproces zodanig worden ingericht en geleid dat de Oekraïense overheid niet eigenhandig kan besluiten welke projecten financiering gaan ontvangen.  </w:t>
            </w:r>
          </w:p>
          <w:p w:rsidRPr="00D6626B" w:rsidR="00C73D14" w:rsidP="00A32BD6" w:rsidRDefault="00C73D14" w14:paraId="467875A1" w14:textId="77777777">
            <w:pPr>
              <w:autoSpaceDE w:val="0"/>
              <w:autoSpaceDN w:val="0"/>
              <w:spacing w:before="52" w:line="252" w:lineRule="auto"/>
              <w:ind w:left="89"/>
              <w:rPr>
                <w:sz w:val="18"/>
                <w:szCs w:val="18"/>
              </w:rPr>
            </w:pPr>
          </w:p>
        </w:tc>
      </w:tr>
      <w:tr w:rsidRPr="0060043E" w:rsidR="00C73D14" w:rsidTr="00A32BD6" w14:paraId="6FABE55C" w14:textId="77777777">
        <w:trPr>
          <w:trHeight w:val="354"/>
        </w:trPr>
        <w:tc>
          <w:tcPr>
            <w:tcW w:w="1159" w:type="pct"/>
            <w:tcBorders>
              <w:top w:val="single" w:color="017BC7" w:sz="8" w:space="0"/>
              <w:left w:val="nil"/>
              <w:bottom w:val="single" w:color="017BC7" w:sz="8" w:space="0"/>
              <w:right w:val="nil"/>
            </w:tcBorders>
            <w:shd w:val="clear" w:color="auto" w:fill="D6EFF9"/>
          </w:tcPr>
          <w:p w:rsidRPr="00B03318" w:rsidR="00C73D14" w:rsidP="00A32BD6" w:rsidRDefault="00C73D14" w14:paraId="0148C653" w14:textId="77777777">
            <w:pPr>
              <w:pStyle w:val="TableParagraph"/>
              <w:spacing w:before="52" w:line="252" w:lineRule="auto"/>
              <w:ind w:left="89"/>
              <w:rPr>
                <w:b/>
                <w:bCs/>
                <w:sz w:val="18"/>
                <w:szCs w:val="18"/>
              </w:rPr>
            </w:pPr>
            <w:r>
              <w:rPr>
                <w:b/>
                <w:bCs/>
                <w:sz w:val="18"/>
                <w:szCs w:val="18"/>
              </w:rPr>
              <w:t>10. Publiekscommunicatie</w:t>
            </w:r>
          </w:p>
        </w:tc>
        <w:tc>
          <w:tcPr>
            <w:tcW w:w="3841" w:type="pct"/>
            <w:tcBorders>
              <w:top w:val="single" w:color="017BC7" w:sz="8" w:space="0"/>
              <w:left w:val="nil"/>
              <w:bottom w:val="single" w:color="017BC7" w:sz="8" w:space="0"/>
              <w:right w:val="nil"/>
            </w:tcBorders>
          </w:tcPr>
          <w:p w:rsidR="00C73D14" w:rsidP="00A32BD6" w:rsidRDefault="00C73D14" w14:paraId="5FED009E" w14:textId="77777777">
            <w:pPr>
              <w:autoSpaceDE w:val="0"/>
              <w:autoSpaceDN w:val="0"/>
              <w:spacing w:before="52" w:line="252" w:lineRule="auto"/>
              <w:ind w:left="89"/>
              <w:rPr>
                <w:sz w:val="18"/>
                <w:szCs w:val="18"/>
              </w:rPr>
            </w:pPr>
            <w:r>
              <w:rPr>
                <w:sz w:val="18"/>
                <w:szCs w:val="18"/>
              </w:rPr>
              <w:t xml:space="preserve">Hoe kan het voorstel gebruikt worden in de bredere publiekscommunicatie rondom de steun aan Oekraïne zowel in Nederland, Oekraïne en internationaal? </w:t>
            </w:r>
          </w:p>
          <w:p w:rsidR="00C73D14" w:rsidP="00A32BD6" w:rsidRDefault="00C73D14" w14:paraId="223D9C85" w14:textId="77777777">
            <w:pPr>
              <w:autoSpaceDE w:val="0"/>
              <w:autoSpaceDN w:val="0"/>
              <w:spacing w:before="52" w:line="252" w:lineRule="auto"/>
              <w:ind w:left="89"/>
              <w:rPr>
                <w:sz w:val="18"/>
                <w:szCs w:val="18"/>
              </w:rPr>
            </w:pPr>
          </w:p>
          <w:p w:rsidR="00C73D14" w:rsidP="00A32BD6" w:rsidRDefault="00C73D14" w14:paraId="30AA6792" w14:textId="77777777">
            <w:pPr>
              <w:autoSpaceDE w:val="0"/>
              <w:autoSpaceDN w:val="0"/>
              <w:spacing w:before="52" w:line="252" w:lineRule="auto"/>
              <w:ind w:left="89"/>
              <w:rPr>
                <w:sz w:val="18"/>
                <w:szCs w:val="18"/>
              </w:rPr>
            </w:pPr>
            <w:r>
              <w:rPr>
                <w:sz w:val="18"/>
                <w:szCs w:val="18"/>
              </w:rPr>
              <w:t>Een belangrijk communicatief aspect van de UPF regeling is de betrokkenheid van het Nederlandse bedrijfsleven. Door de betrokkenheid van Nederlandse bedrijven kan het Nederlandse aandeel in de internationale hulpinspanning expliciet zichtbaar gemaakt worden. Er wordt regelmatig een artikel gepubliceerd en via diverse mediakanalen gedeeld over gerealiseerde UPF-projecten.</w:t>
            </w:r>
          </w:p>
          <w:p w:rsidR="00C73D14" w:rsidP="00A32BD6" w:rsidRDefault="00C73D14" w14:paraId="145409EF" w14:textId="77777777">
            <w:pPr>
              <w:autoSpaceDE w:val="0"/>
              <w:autoSpaceDN w:val="0"/>
              <w:spacing w:before="52" w:line="252" w:lineRule="auto"/>
              <w:ind w:left="89"/>
              <w:rPr>
                <w:sz w:val="18"/>
                <w:szCs w:val="18"/>
              </w:rPr>
            </w:pPr>
          </w:p>
          <w:p w:rsidR="00C73D14" w:rsidP="00A32BD6" w:rsidRDefault="00C73D14" w14:paraId="770DCAA5" w14:textId="77777777">
            <w:pPr>
              <w:autoSpaceDE w:val="0"/>
              <w:autoSpaceDN w:val="0"/>
              <w:spacing w:before="52" w:line="252" w:lineRule="auto"/>
              <w:ind w:left="89"/>
              <w:rPr>
                <w:sz w:val="18"/>
                <w:szCs w:val="18"/>
              </w:rPr>
            </w:pPr>
            <w:r>
              <w:rPr>
                <w:sz w:val="18"/>
                <w:szCs w:val="18"/>
              </w:rPr>
              <w:t>Daarnaast zijn wij voornemens om – na besluitvorming over de beschikbaarstelling van middelen voor een 3</w:t>
            </w:r>
            <w:r w:rsidRPr="004C2FED">
              <w:rPr>
                <w:sz w:val="18"/>
                <w:szCs w:val="18"/>
                <w:vertAlign w:val="superscript"/>
              </w:rPr>
              <w:t>e</w:t>
            </w:r>
            <w:r>
              <w:rPr>
                <w:sz w:val="18"/>
                <w:szCs w:val="18"/>
              </w:rPr>
              <w:t xml:space="preserve"> ronde – een MoU te tekenen met Oekraïne waarin de totale ondersteuning aan wederopbouw via UPF (1, 2 en 3) wordt meegenomen en breed bekend gemaakt.</w:t>
            </w:r>
          </w:p>
          <w:p w:rsidRPr="0060043E" w:rsidR="00C73D14" w:rsidP="00A32BD6" w:rsidRDefault="00C73D14" w14:paraId="67241E51" w14:textId="77777777">
            <w:pPr>
              <w:autoSpaceDE w:val="0"/>
              <w:autoSpaceDN w:val="0"/>
              <w:spacing w:before="52" w:line="252" w:lineRule="auto"/>
              <w:ind w:left="89"/>
              <w:rPr>
                <w:sz w:val="18"/>
                <w:szCs w:val="18"/>
              </w:rPr>
            </w:pPr>
          </w:p>
        </w:tc>
      </w:tr>
      <w:tr w:rsidRPr="0060043E" w:rsidR="00C73D14" w:rsidTr="00A32BD6" w14:paraId="2B805159" w14:textId="77777777">
        <w:trPr>
          <w:trHeight w:val="354"/>
        </w:trPr>
        <w:tc>
          <w:tcPr>
            <w:tcW w:w="1159" w:type="pct"/>
            <w:tcBorders>
              <w:top w:val="single" w:color="017BC7" w:sz="8" w:space="0"/>
              <w:left w:val="nil"/>
              <w:bottom w:val="single" w:color="017BC7" w:sz="8" w:space="0"/>
              <w:right w:val="nil"/>
            </w:tcBorders>
            <w:shd w:val="clear" w:color="auto" w:fill="D6EFF9"/>
          </w:tcPr>
          <w:p w:rsidR="00C73D14" w:rsidP="00A32BD6" w:rsidRDefault="00C73D14" w14:paraId="308AF5C1" w14:textId="77777777">
            <w:pPr>
              <w:pStyle w:val="TableParagraph"/>
              <w:spacing w:before="52" w:line="252" w:lineRule="auto"/>
              <w:ind w:left="89"/>
              <w:rPr>
                <w:b/>
                <w:bCs/>
                <w:sz w:val="18"/>
                <w:szCs w:val="18"/>
              </w:rPr>
            </w:pPr>
            <w:r>
              <w:rPr>
                <w:b/>
                <w:bCs/>
                <w:sz w:val="18"/>
                <w:szCs w:val="18"/>
              </w:rPr>
              <w:t xml:space="preserve">Indien relevant: </w:t>
            </w:r>
          </w:p>
        </w:tc>
        <w:tc>
          <w:tcPr>
            <w:tcW w:w="3841" w:type="pct"/>
            <w:tcBorders>
              <w:top w:val="single" w:color="017BC7" w:sz="8" w:space="0"/>
              <w:left w:val="nil"/>
              <w:bottom w:val="single" w:color="017BC7" w:sz="8" w:space="0"/>
              <w:right w:val="nil"/>
            </w:tcBorders>
          </w:tcPr>
          <w:p w:rsidR="00C73D14" w:rsidP="00A32BD6" w:rsidRDefault="00C73D14" w14:paraId="5E02C65A" w14:textId="77777777">
            <w:pPr>
              <w:autoSpaceDE w:val="0"/>
              <w:autoSpaceDN w:val="0"/>
              <w:spacing w:before="52" w:line="252" w:lineRule="auto"/>
              <w:ind w:left="89"/>
              <w:rPr>
                <w:sz w:val="18"/>
                <w:szCs w:val="18"/>
              </w:rPr>
            </w:pPr>
          </w:p>
        </w:tc>
      </w:tr>
      <w:tr w:rsidRPr="0060043E" w:rsidR="00C73D14" w:rsidTr="00A32BD6" w14:paraId="0FDCB4D8" w14:textId="77777777">
        <w:trPr>
          <w:trHeight w:val="354"/>
        </w:trPr>
        <w:tc>
          <w:tcPr>
            <w:tcW w:w="1159" w:type="pct"/>
            <w:tcBorders>
              <w:top w:val="single" w:color="017BC7" w:sz="8" w:space="0"/>
              <w:left w:val="nil"/>
              <w:bottom w:val="single" w:color="017BC7" w:sz="8" w:space="0"/>
              <w:right w:val="nil"/>
            </w:tcBorders>
            <w:shd w:val="clear" w:color="auto" w:fill="D6EFF9"/>
          </w:tcPr>
          <w:p w:rsidRPr="00B03318" w:rsidR="00C73D14" w:rsidP="00A32BD6" w:rsidRDefault="00C73D14" w14:paraId="74BD9753" w14:textId="77777777">
            <w:pPr>
              <w:pStyle w:val="TableParagraph"/>
              <w:spacing w:before="52" w:line="252" w:lineRule="auto"/>
              <w:ind w:left="89"/>
              <w:rPr>
                <w:b/>
                <w:bCs/>
                <w:sz w:val="18"/>
                <w:szCs w:val="18"/>
              </w:rPr>
            </w:pPr>
            <w:r>
              <w:rPr>
                <w:b/>
                <w:bCs/>
                <w:sz w:val="18"/>
                <w:szCs w:val="18"/>
              </w:rPr>
              <w:t xml:space="preserve">11. Rol participatie private sector </w:t>
            </w:r>
          </w:p>
        </w:tc>
        <w:tc>
          <w:tcPr>
            <w:tcW w:w="3841" w:type="pct"/>
            <w:tcBorders>
              <w:top w:val="single" w:color="017BC7" w:sz="8" w:space="0"/>
              <w:left w:val="nil"/>
              <w:bottom w:val="single" w:color="017BC7" w:sz="8" w:space="0"/>
              <w:right w:val="nil"/>
            </w:tcBorders>
          </w:tcPr>
          <w:p w:rsidR="00C73D14" w:rsidP="00A32BD6" w:rsidRDefault="00C73D14" w14:paraId="28633CBF" w14:textId="77777777">
            <w:pPr>
              <w:autoSpaceDE w:val="0"/>
              <w:autoSpaceDN w:val="0"/>
              <w:spacing w:before="52" w:line="252" w:lineRule="auto"/>
              <w:ind w:left="89"/>
              <w:rPr>
                <w:sz w:val="18"/>
                <w:szCs w:val="18"/>
              </w:rPr>
            </w:pPr>
            <w:r>
              <w:rPr>
                <w:sz w:val="18"/>
                <w:szCs w:val="18"/>
              </w:rPr>
              <w:t xml:space="preserve">Wat zijn de mogelijkheden om de Nederlandse (private) partners te betrekken bij het voorstel? </w:t>
            </w:r>
          </w:p>
          <w:p w:rsidR="00C73D14" w:rsidP="00A32BD6" w:rsidRDefault="00C73D14" w14:paraId="021E2CF4" w14:textId="77777777">
            <w:pPr>
              <w:autoSpaceDE w:val="0"/>
              <w:autoSpaceDN w:val="0"/>
              <w:spacing w:before="52" w:line="252" w:lineRule="auto"/>
              <w:ind w:left="89"/>
              <w:rPr>
                <w:sz w:val="18"/>
                <w:szCs w:val="18"/>
              </w:rPr>
            </w:pPr>
          </w:p>
          <w:p w:rsidRPr="0060043E" w:rsidR="00C73D14" w:rsidP="00A32BD6" w:rsidRDefault="00C73D14" w14:paraId="5AAF3DA4" w14:textId="77777777">
            <w:pPr>
              <w:autoSpaceDE w:val="0"/>
              <w:autoSpaceDN w:val="0"/>
              <w:spacing w:before="52" w:line="252" w:lineRule="auto"/>
              <w:ind w:left="89"/>
              <w:rPr>
                <w:sz w:val="18"/>
                <w:szCs w:val="18"/>
              </w:rPr>
            </w:pPr>
            <w:r>
              <w:rPr>
                <w:sz w:val="18"/>
                <w:szCs w:val="18"/>
              </w:rPr>
              <w:t>100%, de regeling dient mede dat doel.</w:t>
            </w:r>
          </w:p>
        </w:tc>
      </w:tr>
      <w:tr w:rsidRPr="0060043E" w:rsidR="00C73D14" w:rsidTr="00A32BD6" w14:paraId="36B23762" w14:textId="77777777">
        <w:trPr>
          <w:trHeight w:val="354"/>
        </w:trPr>
        <w:tc>
          <w:tcPr>
            <w:tcW w:w="1159" w:type="pct"/>
            <w:tcBorders>
              <w:top w:val="single" w:color="017BC7" w:sz="8" w:space="0"/>
              <w:left w:val="nil"/>
              <w:bottom w:val="single" w:color="017BC7" w:sz="8" w:space="0"/>
              <w:right w:val="nil"/>
            </w:tcBorders>
            <w:shd w:val="clear" w:color="auto" w:fill="D6EFF9"/>
          </w:tcPr>
          <w:p w:rsidR="00C73D14" w:rsidP="00A32BD6" w:rsidRDefault="00C73D14" w14:paraId="21127B0B" w14:textId="77777777">
            <w:pPr>
              <w:pStyle w:val="TableParagraph"/>
              <w:spacing w:before="52" w:line="252" w:lineRule="auto"/>
              <w:ind w:left="89"/>
              <w:rPr>
                <w:b/>
                <w:bCs/>
                <w:sz w:val="18"/>
                <w:szCs w:val="18"/>
              </w:rPr>
            </w:pPr>
            <w:r>
              <w:rPr>
                <w:b/>
                <w:bCs/>
                <w:sz w:val="18"/>
                <w:szCs w:val="18"/>
              </w:rPr>
              <w:t>12. Mogelijke rol terugkeer ontheemden</w:t>
            </w:r>
          </w:p>
          <w:p w:rsidR="00C73D14" w:rsidP="00A32BD6" w:rsidRDefault="00C73D14" w14:paraId="5D070DCA" w14:textId="77777777">
            <w:pPr>
              <w:pStyle w:val="TableParagraph"/>
              <w:spacing w:before="52" w:line="252" w:lineRule="auto"/>
              <w:ind w:left="89"/>
              <w:rPr>
                <w:b/>
                <w:bCs/>
                <w:sz w:val="18"/>
                <w:szCs w:val="18"/>
              </w:rPr>
            </w:pPr>
          </w:p>
        </w:tc>
        <w:tc>
          <w:tcPr>
            <w:tcW w:w="3841" w:type="pct"/>
            <w:tcBorders>
              <w:top w:val="single" w:color="017BC7" w:sz="8" w:space="0"/>
              <w:left w:val="nil"/>
              <w:bottom w:val="single" w:color="017BC7" w:sz="8" w:space="0"/>
              <w:right w:val="nil"/>
            </w:tcBorders>
          </w:tcPr>
          <w:p w:rsidR="00C73D14" w:rsidP="00A32BD6" w:rsidRDefault="00C73D14" w14:paraId="72A8F272" w14:textId="77777777">
            <w:pPr>
              <w:autoSpaceDE w:val="0"/>
              <w:autoSpaceDN w:val="0"/>
              <w:spacing w:before="52" w:line="252" w:lineRule="auto"/>
              <w:ind w:left="89"/>
              <w:rPr>
                <w:sz w:val="18"/>
                <w:szCs w:val="18"/>
              </w:rPr>
            </w:pPr>
            <w:r>
              <w:rPr>
                <w:sz w:val="18"/>
                <w:szCs w:val="18"/>
              </w:rPr>
              <w:t xml:space="preserve">Draagt het voorstel bij aan het voorbereiden van Oekraïense vluchtelingen om bij te kunnen dragen aan de herstelopgave bij terugkeer?  </w:t>
            </w:r>
          </w:p>
          <w:p w:rsidR="00C73D14" w:rsidP="00A32BD6" w:rsidRDefault="00C73D14" w14:paraId="5669E71D" w14:textId="77777777">
            <w:pPr>
              <w:autoSpaceDE w:val="0"/>
              <w:autoSpaceDN w:val="0"/>
              <w:spacing w:before="52" w:line="252" w:lineRule="auto"/>
              <w:ind w:left="89"/>
              <w:rPr>
                <w:sz w:val="18"/>
                <w:szCs w:val="18"/>
              </w:rPr>
            </w:pPr>
          </w:p>
          <w:p w:rsidR="00C73D14" w:rsidP="00A32BD6" w:rsidRDefault="00C73D14" w14:paraId="37D42C5C" w14:textId="77777777">
            <w:pPr>
              <w:autoSpaceDE w:val="0"/>
              <w:autoSpaceDN w:val="0"/>
              <w:spacing w:before="52" w:line="252" w:lineRule="auto"/>
              <w:ind w:left="89"/>
              <w:rPr>
                <w:sz w:val="18"/>
                <w:szCs w:val="18"/>
              </w:rPr>
            </w:pPr>
            <w:r>
              <w:rPr>
                <w:sz w:val="18"/>
                <w:szCs w:val="18"/>
              </w:rPr>
              <w:t>Ja. De projectindieners zal worden gevraagd om de deelname van Oekraïense ontheemden aan de bedrijfsactviteiten te expliciteren. De mate waarin het bedrijf dan wel de organisatie Oekraïense ontheemden bij de activiteiten betrekt, zal meewegen in de beoordeling van het project.</w:t>
            </w:r>
          </w:p>
          <w:p w:rsidRPr="0060043E" w:rsidR="00C73D14" w:rsidP="00A32BD6" w:rsidRDefault="00C73D14" w14:paraId="61B6A3AE" w14:textId="77777777">
            <w:pPr>
              <w:autoSpaceDE w:val="0"/>
              <w:autoSpaceDN w:val="0"/>
              <w:spacing w:before="52" w:line="252" w:lineRule="auto"/>
              <w:ind w:left="89"/>
              <w:rPr>
                <w:sz w:val="18"/>
                <w:szCs w:val="18"/>
              </w:rPr>
            </w:pPr>
          </w:p>
        </w:tc>
      </w:tr>
      <w:tr w:rsidRPr="0060043E" w:rsidR="00C73D14" w:rsidTr="00A32BD6" w14:paraId="3971EC3E" w14:textId="77777777">
        <w:trPr>
          <w:trHeight w:val="354"/>
        </w:trPr>
        <w:tc>
          <w:tcPr>
            <w:tcW w:w="1159" w:type="pct"/>
            <w:tcBorders>
              <w:top w:val="single" w:color="017BC7" w:sz="8" w:space="0"/>
              <w:left w:val="nil"/>
              <w:bottom w:val="single" w:color="017BC7" w:sz="8" w:space="0"/>
              <w:right w:val="nil"/>
            </w:tcBorders>
            <w:shd w:val="clear" w:color="auto" w:fill="D6EFF9"/>
          </w:tcPr>
          <w:p w:rsidR="00C73D14" w:rsidP="00A32BD6" w:rsidRDefault="00C73D14" w14:paraId="6E037707" w14:textId="77777777">
            <w:pPr>
              <w:pStyle w:val="TableParagraph"/>
              <w:spacing w:before="52" w:line="252" w:lineRule="auto"/>
              <w:ind w:left="89"/>
              <w:rPr>
                <w:b/>
                <w:bCs/>
                <w:sz w:val="18"/>
                <w:szCs w:val="18"/>
              </w:rPr>
            </w:pPr>
          </w:p>
        </w:tc>
        <w:tc>
          <w:tcPr>
            <w:tcW w:w="3841" w:type="pct"/>
            <w:tcBorders>
              <w:top w:val="single" w:color="017BC7" w:sz="8" w:space="0"/>
              <w:left w:val="nil"/>
              <w:bottom w:val="single" w:color="017BC7" w:sz="8" w:space="0"/>
              <w:right w:val="nil"/>
            </w:tcBorders>
          </w:tcPr>
          <w:p w:rsidR="00C73D14" w:rsidP="00A32BD6" w:rsidRDefault="00C73D14" w14:paraId="15FA2BE0" w14:textId="77777777">
            <w:pPr>
              <w:autoSpaceDE w:val="0"/>
              <w:autoSpaceDN w:val="0"/>
              <w:spacing w:before="52" w:line="252" w:lineRule="auto"/>
              <w:ind w:left="89"/>
              <w:rPr>
                <w:sz w:val="18"/>
                <w:szCs w:val="18"/>
              </w:rPr>
            </w:pPr>
          </w:p>
        </w:tc>
      </w:tr>
    </w:tbl>
    <w:p w:rsidRPr="00B902C5" w:rsidR="00C73D14" w:rsidP="00C73D14" w:rsidRDefault="00C73D14" w14:paraId="6280E562" w14:textId="77777777">
      <w:pPr>
        <w:spacing w:after="160" w:line="259" w:lineRule="auto"/>
        <w:rPr>
          <w:rFonts w:ascii="Verdana" w:hAnsi="Verdana"/>
          <w:sz w:val="18"/>
          <w:szCs w:val="18"/>
        </w:rPr>
      </w:pPr>
    </w:p>
    <w:p w:rsidRPr="00C73D14" w:rsidR="003131DD" w:rsidP="00C73D14" w:rsidRDefault="003131DD" w14:paraId="5BF869B3" w14:textId="77777777"/>
    <w:sectPr w:rsidRPr="00C73D14" w:rsidR="003131DD" w:rsidSect="00F80132">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pgNumType w:fmt="lowerRoman"/>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D0B36" w14:textId="77777777" w:rsidR="0050638D" w:rsidRDefault="0050638D" w:rsidP="00AD0168">
      <w:r>
        <w:separator/>
      </w:r>
    </w:p>
  </w:endnote>
  <w:endnote w:type="continuationSeparator" w:id="0">
    <w:p w14:paraId="7D2011EF" w14:textId="77777777" w:rsidR="0050638D" w:rsidRDefault="0050638D" w:rsidP="00AD0168">
      <w:r>
        <w:continuationSeparator/>
      </w:r>
    </w:p>
  </w:endnote>
  <w:endnote w:type="continuationNotice" w:id="1">
    <w:p w14:paraId="5148982E" w14:textId="77777777" w:rsidR="0050638D" w:rsidRDefault="00506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22BA7" w14:textId="77777777" w:rsidR="00404E67" w:rsidRDefault="00404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034080"/>
      <w:docPartObj>
        <w:docPartGallery w:val="Page Numbers (Bottom of Page)"/>
        <w:docPartUnique/>
      </w:docPartObj>
    </w:sdtPr>
    <w:sdtContent>
      <w:p w14:paraId="357EFF62" w14:textId="58501F88" w:rsidR="00F01E85" w:rsidRDefault="00F01E85">
        <w:pPr>
          <w:pStyle w:val="Footer"/>
          <w:jc w:val="right"/>
        </w:pPr>
        <w:r>
          <w:fldChar w:fldCharType="begin"/>
        </w:r>
        <w:r>
          <w:instrText>PAGE   \* MERGEFORMAT</w:instrText>
        </w:r>
        <w:r>
          <w:fldChar w:fldCharType="separate"/>
        </w:r>
        <w:r w:rsidR="00801F23">
          <w:rPr>
            <w:noProof/>
          </w:rPr>
          <w:t>viii</w:t>
        </w:r>
        <w:r>
          <w:fldChar w:fldCharType="end"/>
        </w:r>
      </w:p>
    </w:sdtContent>
  </w:sdt>
  <w:p w14:paraId="2A6E5307" w14:textId="77777777" w:rsidR="00F01E85" w:rsidRDefault="00F01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E3C4" w14:textId="77777777" w:rsidR="00404E67" w:rsidRDefault="00404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08F42" w14:textId="77777777" w:rsidR="0050638D" w:rsidRDefault="0050638D" w:rsidP="00AD0168">
      <w:r>
        <w:separator/>
      </w:r>
    </w:p>
  </w:footnote>
  <w:footnote w:type="continuationSeparator" w:id="0">
    <w:p w14:paraId="42A8D892" w14:textId="77777777" w:rsidR="0050638D" w:rsidRDefault="0050638D" w:rsidP="00AD0168">
      <w:r>
        <w:continuationSeparator/>
      </w:r>
    </w:p>
  </w:footnote>
  <w:footnote w:type="continuationNotice" w:id="1">
    <w:p w14:paraId="41C87D86" w14:textId="77777777" w:rsidR="0050638D" w:rsidRDefault="00506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4884" w14:textId="77777777" w:rsidR="00404E67" w:rsidRDefault="00404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610872"/>
      <w:docPartObj>
        <w:docPartGallery w:val="Page Numbers (Top of Page)"/>
        <w:docPartUnique/>
      </w:docPartObj>
    </w:sdtPr>
    <w:sdtContent>
      <w:p w14:paraId="2153F2FE" w14:textId="461CB720" w:rsidR="00F01E85" w:rsidRDefault="00F01E85">
        <w:pPr>
          <w:pStyle w:val="Header"/>
          <w:jc w:val="right"/>
        </w:pPr>
        <w:r>
          <w:fldChar w:fldCharType="begin"/>
        </w:r>
        <w:r>
          <w:instrText>PAGE   \* MERGEFORMAT</w:instrText>
        </w:r>
        <w:r>
          <w:fldChar w:fldCharType="separate"/>
        </w:r>
        <w:r w:rsidR="00801F23">
          <w:rPr>
            <w:noProof/>
          </w:rPr>
          <w:t>viii</w:t>
        </w:r>
        <w:r>
          <w:fldChar w:fldCharType="end"/>
        </w:r>
      </w:p>
    </w:sdtContent>
  </w:sdt>
  <w:p w14:paraId="1DE1C92A" w14:textId="77777777" w:rsidR="00F01E85" w:rsidRDefault="00F01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A812" w14:textId="77777777" w:rsidR="00404E67" w:rsidRDefault="00404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8D7"/>
    <w:multiLevelType w:val="hybridMultilevel"/>
    <w:tmpl w:val="81587744"/>
    <w:lvl w:ilvl="0" w:tplc="016AB5D8">
      <w:start w:val="1"/>
      <w:numFmt w:val="decimal"/>
      <w:lvlText w:val="%1)"/>
      <w:lvlJc w:val="left"/>
      <w:pPr>
        <w:ind w:left="473" w:hanging="360"/>
      </w:pPr>
      <w:rPr>
        <w:rFonts w:ascii="Calibri" w:eastAsiaTheme="minorHAnsi" w:hAnsi="Calibri" w:cs="Calibri"/>
      </w:rPr>
    </w:lvl>
    <w:lvl w:ilvl="1" w:tplc="04130003">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1" w15:restartNumberingAfterBreak="0">
    <w:nsid w:val="03D82ACF"/>
    <w:multiLevelType w:val="hybridMultilevel"/>
    <w:tmpl w:val="0B0622E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2F2BA1"/>
    <w:multiLevelType w:val="hybridMultilevel"/>
    <w:tmpl w:val="F9D283C6"/>
    <w:lvl w:ilvl="0" w:tplc="04130001">
      <w:start w:val="1"/>
      <w:numFmt w:val="bullet"/>
      <w:lvlText w:val=""/>
      <w:lvlJc w:val="left"/>
      <w:pPr>
        <w:ind w:left="501" w:hanging="360"/>
      </w:pPr>
      <w:rPr>
        <w:rFonts w:ascii="Symbol" w:hAnsi="Symbol" w:hint="default"/>
      </w:rPr>
    </w:lvl>
    <w:lvl w:ilvl="1" w:tplc="04130003">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3" w15:restartNumberingAfterBreak="0">
    <w:nsid w:val="098741E8"/>
    <w:multiLevelType w:val="hybridMultilevel"/>
    <w:tmpl w:val="D004CC08"/>
    <w:lvl w:ilvl="0" w:tplc="90988A36">
      <w:start w:val="1"/>
      <w:numFmt w:val="decimal"/>
      <w:lvlText w:val="%1."/>
      <w:lvlJc w:val="left"/>
      <w:pPr>
        <w:ind w:left="473" w:hanging="360"/>
      </w:pPr>
      <w:rPr>
        <w:rFonts w:hint="default"/>
      </w:rPr>
    </w:lvl>
    <w:lvl w:ilvl="1" w:tplc="04130019">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4" w15:restartNumberingAfterBreak="0">
    <w:nsid w:val="10EC61D9"/>
    <w:multiLevelType w:val="hybridMultilevel"/>
    <w:tmpl w:val="2BF0EDF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7845036"/>
    <w:multiLevelType w:val="hybridMultilevel"/>
    <w:tmpl w:val="ABF20DE2"/>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9DC5363"/>
    <w:multiLevelType w:val="hybridMultilevel"/>
    <w:tmpl w:val="AE1AC996"/>
    <w:lvl w:ilvl="0" w:tplc="34400566">
      <w:numFmt w:val="bullet"/>
      <w:lvlText w:val="•"/>
      <w:lvlJc w:val="left"/>
      <w:pPr>
        <w:ind w:left="226" w:hanging="114"/>
      </w:pPr>
      <w:rPr>
        <w:rFonts w:ascii="Calibri" w:eastAsia="Calibri" w:hAnsi="Calibri" w:cs="Calibri" w:hint="default"/>
        <w:w w:val="57"/>
        <w:sz w:val="16"/>
        <w:szCs w:val="16"/>
        <w:lang w:val="nl-NL" w:eastAsia="en-US" w:bidi="ar-SA"/>
      </w:rPr>
    </w:lvl>
    <w:lvl w:ilvl="1" w:tplc="8A8A5628">
      <w:numFmt w:val="bullet"/>
      <w:lvlText w:val="•"/>
      <w:lvlJc w:val="left"/>
      <w:pPr>
        <w:ind w:left="1092" w:hanging="114"/>
      </w:pPr>
      <w:rPr>
        <w:lang w:val="nl-NL" w:eastAsia="en-US" w:bidi="ar-SA"/>
      </w:rPr>
    </w:lvl>
    <w:lvl w:ilvl="2" w:tplc="C53E9124">
      <w:numFmt w:val="bullet"/>
      <w:lvlText w:val="•"/>
      <w:lvlJc w:val="left"/>
      <w:pPr>
        <w:ind w:left="1965" w:hanging="114"/>
      </w:pPr>
      <w:rPr>
        <w:lang w:val="nl-NL" w:eastAsia="en-US" w:bidi="ar-SA"/>
      </w:rPr>
    </w:lvl>
    <w:lvl w:ilvl="3" w:tplc="9A40F4BE">
      <w:numFmt w:val="bullet"/>
      <w:lvlText w:val="•"/>
      <w:lvlJc w:val="left"/>
      <w:pPr>
        <w:ind w:left="2838" w:hanging="114"/>
      </w:pPr>
      <w:rPr>
        <w:lang w:val="nl-NL" w:eastAsia="en-US" w:bidi="ar-SA"/>
      </w:rPr>
    </w:lvl>
    <w:lvl w:ilvl="4" w:tplc="CC6825D6">
      <w:numFmt w:val="bullet"/>
      <w:lvlText w:val="•"/>
      <w:lvlJc w:val="left"/>
      <w:pPr>
        <w:ind w:left="3711" w:hanging="114"/>
      </w:pPr>
      <w:rPr>
        <w:lang w:val="nl-NL" w:eastAsia="en-US" w:bidi="ar-SA"/>
      </w:rPr>
    </w:lvl>
    <w:lvl w:ilvl="5" w:tplc="D5162320">
      <w:numFmt w:val="bullet"/>
      <w:lvlText w:val="•"/>
      <w:lvlJc w:val="left"/>
      <w:pPr>
        <w:ind w:left="4584" w:hanging="114"/>
      </w:pPr>
      <w:rPr>
        <w:lang w:val="nl-NL" w:eastAsia="en-US" w:bidi="ar-SA"/>
      </w:rPr>
    </w:lvl>
    <w:lvl w:ilvl="6" w:tplc="D19AAD9E">
      <w:numFmt w:val="bullet"/>
      <w:lvlText w:val="•"/>
      <w:lvlJc w:val="left"/>
      <w:pPr>
        <w:ind w:left="5457" w:hanging="114"/>
      </w:pPr>
      <w:rPr>
        <w:lang w:val="nl-NL" w:eastAsia="en-US" w:bidi="ar-SA"/>
      </w:rPr>
    </w:lvl>
    <w:lvl w:ilvl="7" w:tplc="F6246372">
      <w:numFmt w:val="bullet"/>
      <w:lvlText w:val="•"/>
      <w:lvlJc w:val="left"/>
      <w:pPr>
        <w:ind w:left="6330" w:hanging="114"/>
      </w:pPr>
      <w:rPr>
        <w:lang w:val="nl-NL" w:eastAsia="en-US" w:bidi="ar-SA"/>
      </w:rPr>
    </w:lvl>
    <w:lvl w:ilvl="8" w:tplc="8BB0734E">
      <w:numFmt w:val="bullet"/>
      <w:lvlText w:val="•"/>
      <w:lvlJc w:val="left"/>
      <w:pPr>
        <w:ind w:left="7203" w:hanging="114"/>
      </w:pPr>
      <w:rPr>
        <w:lang w:val="nl-NL" w:eastAsia="en-US" w:bidi="ar-SA"/>
      </w:rPr>
    </w:lvl>
  </w:abstractNum>
  <w:abstractNum w:abstractNumId="7" w15:restartNumberingAfterBreak="0">
    <w:nsid w:val="1F59568A"/>
    <w:multiLevelType w:val="hybridMultilevel"/>
    <w:tmpl w:val="5ECC53C8"/>
    <w:lvl w:ilvl="0" w:tplc="6ACED79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6B3E1D"/>
    <w:multiLevelType w:val="hybridMultilevel"/>
    <w:tmpl w:val="503C7640"/>
    <w:lvl w:ilvl="0" w:tplc="04130001">
      <w:start w:val="1"/>
      <w:numFmt w:val="bullet"/>
      <w:lvlText w:val=""/>
      <w:lvlJc w:val="left"/>
      <w:pPr>
        <w:ind w:left="472" w:hanging="360"/>
      </w:pPr>
      <w:rPr>
        <w:rFonts w:ascii="Symbol" w:hAnsi="Symbol" w:hint="default"/>
      </w:rPr>
    </w:lvl>
    <w:lvl w:ilvl="1" w:tplc="04130003" w:tentative="1">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9" w15:restartNumberingAfterBreak="0">
    <w:nsid w:val="24BB579A"/>
    <w:multiLevelType w:val="hybridMultilevel"/>
    <w:tmpl w:val="CEDA0F0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EF2B6A"/>
    <w:multiLevelType w:val="hybridMultilevel"/>
    <w:tmpl w:val="2D1879FA"/>
    <w:lvl w:ilvl="0" w:tplc="07E8B812">
      <w:start w:val="1"/>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98051AB"/>
    <w:multiLevelType w:val="hybridMultilevel"/>
    <w:tmpl w:val="B5841670"/>
    <w:lvl w:ilvl="0" w:tplc="06FAF7C4">
      <w:start w:val="1"/>
      <w:numFmt w:val="decimal"/>
      <w:lvlText w:val="%1."/>
      <w:lvlJc w:val="left"/>
      <w:pPr>
        <w:ind w:left="1020" w:hanging="360"/>
      </w:pPr>
    </w:lvl>
    <w:lvl w:ilvl="1" w:tplc="A7D65432">
      <w:start w:val="1"/>
      <w:numFmt w:val="decimal"/>
      <w:lvlText w:val="%2."/>
      <w:lvlJc w:val="left"/>
      <w:pPr>
        <w:ind w:left="1020" w:hanging="360"/>
      </w:pPr>
    </w:lvl>
    <w:lvl w:ilvl="2" w:tplc="84BEDDCA">
      <w:start w:val="1"/>
      <w:numFmt w:val="decimal"/>
      <w:lvlText w:val="%3."/>
      <w:lvlJc w:val="left"/>
      <w:pPr>
        <w:ind w:left="1020" w:hanging="360"/>
      </w:pPr>
    </w:lvl>
    <w:lvl w:ilvl="3" w:tplc="43101A8A">
      <w:start w:val="1"/>
      <w:numFmt w:val="decimal"/>
      <w:lvlText w:val="%4."/>
      <w:lvlJc w:val="left"/>
      <w:pPr>
        <w:ind w:left="1020" w:hanging="360"/>
      </w:pPr>
    </w:lvl>
    <w:lvl w:ilvl="4" w:tplc="A48073A4">
      <w:start w:val="1"/>
      <w:numFmt w:val="decimal"/>
      <w:lvlText w:val="%5."/>
      <w:lvlJc w:val="left"/>
      <w:pPr>
        <w:ind w:left="1020" w:hanging="360"/>
      </w:pPr>
    </w:lvl>
    <w:lvl w:ilvl="5" w:tplc="FFD4F746">
      <w:start w:val="1"/>
      <w:numFmt w:val="decimal"/>
      <w:lvlText w:val="%6."/>
      <w:lvlJc w:val="left"/>
      <w:pPr>
        <w:ind w:left="1020" w:hanging="360"/>
      </w:pPr>
    </w:lvl>
    <w:lvl w:ilvl="6" w:tplc="CE2E3614">
      <w:start w:val="1"/>
      <w:numFmt w:val="decimal"/>
      <w:lvlText w:val="%7."/>
      <w:lvlJc w:val="left"/>
      <w:pPr>
        <w:ind w:left="1020" w:hanging="360"/>
      </w:pPr>
    </w:lvl>
    <w:lvl w:ilvl="7" w:tplc="08A27760">
      <w:start w:val="1"/>
      <w:numFmt w:val="decimal"/>
      <w:lvlText w:val="%8."/>
      <w:lvlJc w:val="left"/>
      <w:pPr>
        <w:ind w:left="1020" w:hanging="360"/>
      </w:pPr>
    </w:lvl>
    <w:lvl w:ilvl="8" w:tplc="F95CCAD0">
      <w:start w:val="1"/>
      <w:numFmt w:val="decimal"/>
      <w:lvlText w:val="%9."/>
      <w:lvlJc w:val="left"/>
      <w:pPr>
        <w:ind w:left="1020" w:hanging="360"/>
      </w:pPr>
    </w:lvl>
  </w:abstractNum>
  <w:abstractNum w:abstractNumId="12" w15:restartNumberingAfterBreak="0">
    <w:nsid w:val="2A675D8D"/>
    <w:multiLevelType w:val="hybridMultilevel"/>
    <w:tmpl w:val="1280289C"/>
    <w:lvl w:ilvl="0" w:tplc="5BBE0A86">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C102D29"/>
    <w:multiLevelType w:val="hybridMultilevel"/>
    <w:tmpl w:val="E33C06F2"/>
    <w:lvl w:ilvl="0" w:tplc="CEE2514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CD51E08"/>
    <w:multiLevelType w:val="hybridMultilevel"/>
    <w:tmpl w:val="F3FCB9EC"/>
    <w:lvl w:ilvl="0" w:tplc="EED857F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154C6C"/>
    <w:multiLevelType w:val="hybridMultilevel"/>
    <w:tmpl w:val="0C9AECC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EB33D74"/>
    <w:multiLevelType w:val="hybridMultilevel"/>
    <w:tmpl w:val="83305030"/>
    <w:lvl w:ilvl="0" w:tplc="8BC48692">
      <w:start w:val="2025"/>
      <w:numFmt w:val="bullet"/>
      <w:lvlText w:val=""/>
      <w:lvlJc w:val="left"/>
      <w:pPr>
        <w:ind w:left="473"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F14A50"/>
    <w:multiLevelType w:val="hybridMultilevel"/>
    <w:tmpl w:val="55B0C2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A1448B1"/>
    <w:multiLevelType w:val="hybridMultilevel"/>
    <w:tmpl w:val="DCFAEA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3A8377F3"/>
    <w:multiLevelType w:val="hybridMultilevel"/>
    <w:tmpl w:val="E164521A"/>
    <w:lvl w:ilvl="0" w:tplc="31D05AE6">
      <w:numFmt w:val="bullet"/>
      <w:lvlText w:val="•"/>
      <w:lvlJc w:val="left"/>
      <w:pPr>
        <w:ind w:left="226" w:hanging="114"/>
      </w:pPr>
      <w:rPr>
        <w:rFonts w:ascii="Calibri" w:eastAsia="Calibri" w:hAnsi="Calibri" w:cs="Calibri" w:hint="default"/>
        <w:w w:val="57"/>
        <w:sz w:val="16"/>
        <w:szCs w:val="16"/>
        <w:lang w:val="nl-NL" w:eastAsia="en-US" w:bidi="ar-SA"/>
      </w:rPr>
    </w:lvl>
    <w:lvl w:ilvl="1" w:tplc="A8A4458E">
      <w:numFmt w:val="bullet"/>
      <w:lvlText w:val="•"/>
      <w:lvlJc w:val="left"/>
      <w:pPr>
        <w:ind w:left="1092" w:hanging="114"/>
      </w:pPr>
      <w:rPr>
        <w:lang w:val="nl-NL" w:eastAsia="en-US" w:bidi="ar-SA"/>
      </w:rPr>
    </w:lvl>
    <w:lvl w:ilvl="2" w:tplc="DC00AB1E">
      <w:numFmt w:val="bullet"/>
      <w:lvlText w:val="•"/>
      <w:lvlJc w:val="left"/>
      <w:pPr>
        <w:ind w:left="1965" w:hanging="114"/>
      </w:pPr>
      <w:rPr>
        <w:lang w:val="nl-NL" w:eastAsia="en-US" w:bidi="ar-SA"/>
      </w:rPr>
    </w:lvl>
    <w:lvl w:ilvl="3" w:tplc="26ECA45C">
      <w:numFmt w:val="bullet"/>
      <w:lvlText w:val="•"/>
      <w:lvlJc w:val="left"/>
      <w:pPr>
        <w:ind w:left="2838" w:hanging="114"/>
      </w:pPr>
      <w:rPr>
        <w:lang w:val="nl-NL" w:eastAsia="en-US" w:bidi="ar-SA"/>
      </w:rPr>
    </w:lvl>
    <w:lvl w:ilvl="4" w:tplc="D8B8A70E">
      <w:numFmt w:val="bullet"/>
      <w:lvlText w:val="•"/>
      <w:lvlJc w:val="left"/>
      <w:pPr>
        <w:ind w:left="3711" w:hanging="114"/>
      </w:pPr>
      <w:rPr>
        <w:lang w:val="nl-NL" w:eastAsia="en-US" w:bidi="ar-SA"/>
      </w:rPr>
    </w:lvl>
    <w:lvl w:ilvl="5" w:tplc="6786172C">
      <w:numFmt w:val="bullet"/>
      <w:lvlText w:val="•"/>
      <w:lvlJc w:val="left"/>
      <w:pPr>
        <w:ind w:left="4584" w:hanging="114"/>
      </w:pPr>
      <w:rPr>
        <w:lang w:val="nl-NL" w:eastAsia="en-US" w:bidi="ar-SA"/>
      </w:rPr>
    </w:lvl>
    <w:lvl w:ilvl="6" w:tplc="321A812E">
      <w:numFmt w:val="bullet"/>
      <w:lvlText w:val="•"/>
      <w:lvlJc w:val="left"/>
      <w:pPr>
        <w:ind w:left="5457" w:hanging="114"/>
      </w:pPr>
      <w:rPr>
        <w:lang w:val="nl-NL" w:eastAsia="en-US" w:bidi="ar-SA"/>
      </w:rPr>
    </w:lvl>
    <w:lvl w:ilvl="7" w:tplc="559EDFC2">
      <w:numFmt w:val="bullet"/>
      <w:lvlText w:val="•"/>
      <w:lvlJc w:val="left"/>
      <w:pPr>
        <w:ind w:left="6330" w:hanging="114"/>
      </w:pPr>
      <w:rPr>
        <w:lang w:val="nl-NL" w:eastAsia="en-US" w:bidi="ar-SA"/>
      </w:rPr>
    </w:lvl>
    <w:lvl w:ilvl="8" w:tplc="BCA4717C">
      <w:numFmt w:val="bullet"/>
      <w:lvlText w:val="•"/>
      <w:lvlJc w:val="left"/>
      <w:pPr>
        <w:ind w:left="7203" w:hanging="114"/>
      </w:pPr>
      <w:rPr>
        <w:lang w:val="nl-NL" w:eastAsia="en-US" w:bidi="ar-SA"/>
      </w:rPr>
    </w:lvl>
  </w:abstractNum>
  <w:abstractNum w:abstractNumId="20" w15:restartNumberingAfterBreak="0">
    <w:nsid w:val="3D54715C"/>
    <w:multiLevelType w:val="hybridMultilevel"/>
    <w:tmpl w:val="342041B2"/>
    <w:lvl w:ilvl="0" w:tplc="6C9C1C90">
      <w:start w:val="8"/>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1" w15:restartNumberingAfterBreak="0">
    <w:nsid w:val="3FD20B77"/>
    <w:multiLevelType w:val="hybridMultilevel"/>
    <w:tmpl w:val="2940D8B4"/>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2" w15:restartNumberingAfterBreak="0">
    <w:nsid w:val="55EE4EE1"/>
    <w:multiLevelType w:val="hybridMultilevel"/>
    <w:tmpl w:val="2BF0ED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AFD6C83"/>
    <w:multiLevelType w:val="hybridMultilevel"/>
    <w:tmpl w:val="360CF860"/>
    <w:lvl w:ilvl="0" w:tplc="04130001">
      <w:start w:val="1"/>
      <w:numFmt w:val="bullet"/>
      <w:lvlText w:val=""/>
      <w:lvlJc w:val="left"/>
      <w:pPr>
        <w:ind w:left="472" w:hanging="360"/>
      </w:pPr>
      <w:rPr>
        <w:rFonts w:ascii="Symbol" w:hAnsi="Symbol" w:hint="default"/>
      </w:rPr>
    </w:lvl>
    <w:lvl w:ilvl="1" w:tplc="04130003">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24" w15:restartNumberingAfterBreak="0">
    <w:nsid w:val="5C742389"/>
    <w:multiLevelType w:val="multilevel"/>
    <w:tmpl w:val="D1846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4528A5"/>
    <w:multiLevelType w:val="hybridMultilevel"/>
    <w:tmpl w:val="1B4C9466"/>
    <w:lvl w:ilvl="0" w:tplc="CEE2514E">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67B0241E"/>
    <w:multiLevelType w:val="hybridMultilevel"/>
    <w:tmpl w:val="7E12192A"/>
    <w:lvl w:ilvl="0" w:tplc="FFFFFFFF">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8491318"/>
    <w:multiLevelType w:val="hybridMultilevel"/>
    <w:tmpl w:val="E68E829A"/>
    <w:lvl w:ilvl="0" w:tplc="08726616">
      <w:start w:val="1"/>
      <w:numFmt w:val="lowerLetter"/>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28" w15:restartNumberingAfterBreak="0">
    <w:nsid w:val="70693851"/>
    <w:multiLevelType w:val="hybridMultilevel"/>
    <w:tmpl w:val="62C239CC"/>
    <w:lvl w:ilvl="0" w:tplc="FFFFFFFF">
      <w:start w:val="1"/>
      <w:numFmt w:val="lowerLetter"/>
      <w:lvlText w:val="%1)"/>
      <w:lvlJc w:val="left"/>
      <w:pPr>
        <w:ind w:left="833" w:hanging="360"/>
      </w:pPr>
      <w:rPr>
        <w:rFonts w:hint="default"/>
      </w:rPr>
    </w:lvl>
    <w:lvl w:ilvl="1" w:tplc="04130019" w:tentative="1">
      <w:start w:val="1"/>
      <w:numFmt w:val="lowerLetter"/>
      <w:lvlText w:val="%2."/>
      <w:lvlJc w:val="left"/>
      <w:pPr>
        <w:ind w:left="1553" w:hanging="360"/>
      </w:pPr>
    </w:lvl>
    <w:lvl w:ilvl="2" w:tplc="0413001B" w:tentative="1">
      <w:start w:val="1"/>
      <w:numFmt w:val="lowerRoman"/>
      <w:lvlText w:val="%3."/>
      <w:lvlJc w:val="right"/>
      <w:pPr>
        <w:ind w:left="2273" w:hanging="180"/>
      </w:pPr>
    </w:lvl>
    <w:lvl w:ilvl="3" w:tplc="0413000F" w:tentative="1">
      <w:start w:val="1"/>
      <w:numFmt w:val="decimal"/>
      <w:lvlText w:val="%4."/>
      <w:lvlJc w:val="left"/>
      <w:pPr>
        <w:ind w:left="2993" w:hanging="360"/>
      </w:pPr>
    </w:lvl>
    <w:lvl w:ilvl="4" w:tplc="04130019" w:tentative="1">
      <w:start w:val="1"/>
      <w:numFmt w:val="lowerLetter"/>
      <w:lvlText w:val="%5."/>
      <w:lvlJc w:val="left"/>
      <w:pPr>
        <w:ind w:left="3713" w:hanging="360"/>
      </w:pPr>
    </w:lvl>
    <w:lvl w:ilvl="5" w:tplc="0413001B" w:tentative="1">
      <w:start w:val="1"/>
      <w:numFmt w:val="lowerRoman"/>
      <w:lvlText w:val="%6."/>
      <w:lvlJc w:val="right"/>
      <w:pPr>
        <w:ind w:left="4433" w:hanging="180"/>
      </w:pPr>
    </w:lvl>
    <w:lvl w:ilvl="6" w:tplc="0413000F" w:tentative="1">
      <w:start w:val="1"/>
      <w:numFmt w:val="decimal"/>
      <w:lvlText w:val="%7."/>
      <w:lvlJc w:val="left"/>
      <w:pPr>
        <w:ind w:left="5153" w:hanging="360"/>
      </w:pPr>
    </w:lvl>
    <w:lvl w:ilvl="7" w:tplc="04130019" w:tentative="1">
      <w:start w:val="1"/>
      <w:numFmt w:val="lowerLetter"/>
      <w:lvlText w:val="%8."/>
      <w:lvlJc w:val="left"/>
      <w:pPr>
        <w:ind w:left="5873" w:hanging="360"/>
      </w:pPr>
    </w:lvl>
    <w:lvl w:ilvl="8" w:tplc="0413001B" w:tentative="1">
      <w:start w:val="1"/>
      <w:numFmt w:val="lowerRoman"/>
      <w:lvlText w:val="%9."/>
      <w:lvlJc w:val="right"/>
      <w:pPr>
        <w:ind w:left="6593" w:hanging="180"/>
      </w:pPr>
    </w:lvl>
  </w:abstractNum>
  <w:abstractNum w:abstractNumId="29" w15:restartNumberingAfterBreak="0">
    <w:nsid w:val="744E1590"/>
    <w:multiLevelType w:val="hybridMultilevel"/>
    <w:tmpl w:val="EEE69312"/>
    <w:lvl w:ilvl="0" w:tplc="04130001">
      <w:start w:val="1"/>
      <w:numFmt w:val="bullet"/>
      <w:lvlText w:val=""/>
      <w:lvlJc w:val="left"/>
      <w:pPr>
        <w:ind w:left="501" w:hanging="360"/>
      </w:pPr>
      <w:rPr>
        <w:rFonts w:ascii="Symbol" w:hAnsi="Symbol"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30" w15:restartNumberingAfterBreak="0">
    <w:nsid w:val="76696F4D"/>
    <w:multiLevelType w:val="hybridMultilevel"/>
    <w:tmpl w:val="8E0E50D0"/>
    <w:lvl w:ilvl="0" w:tplc="8084CC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AAB5101"/>
    <w:multiLevelType w:val="hybridMultilevel"/>
    <w:tmpl w:val="BD6C5D78"/>
    <w:lvl w:ilvl="0" w:tplc="04130001">
      <w:start w:val="1"/>
      <w:numFmt w:val="bullet"/>
      <w:lvlText w:val=""/>
      <w:lvlJc w:val="left"/>
      <w:pPr>
        <w:ind w:left="501" w:hanging="360"/>
      </w:pPr>
      <w:rPr>
        <w:rFonts w:ascii="Symbol" w:hAnsi="Symbol"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32" w15:restartNumberingAfterBreak="0">
    <w:nsid w:val="7AC53B99"/>
    <w:multiLevelType w:val="hybridMultilevel"/>
    <w:tmpl w:val="0B0622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8D6318"/>
    <w:multiLevelType w:val="hybridMultilevel"/>
    <w:tmpl w:val="C3A64FEE"/>
    <w:lvl w:ilvl="0" w:tplc="04130019">
      <w:start w:val="1"/>
      <w:numFmt w:val="lowerLetter"/>
      <w:lvlText w:val="%1."/>
      <w:lvlJc w:val="left"/>
      <w:pPr>
        <w:ind w:left="833" w:hanging="360"/>
      </w:pPr>
    </w:lvl>
    <w:lvl w:ilvl="1" w:tplc="04130019" w:tentative="1">
      <w:start w:val="1"/>
      <w:numFmt w:val="lowerLetter"/>
      <w:lvlText w:val="%2."/>
      <w:lvlJc w:val="left"/>
      <w:pPr>
        <w:ind w:left="1553" w:hanging="360"/>
      </w:pPr>
    </w:lvl>
    <w:lvl w:ilvl="2" w:tplc="0413001B" w:tentative="1">
      <w:start w:val="1"/>
      <w:numFmt w:val="lowerRoman"/>
      <w:lvlText w:val="%3."/>
      <w:lvlJc w:val="right"/>
      <w:pPr>
        <w:ind w:left="2273" w:hanging="180"/>
      </w:pPr>
    </w:lvl>
    <w:lvl w:ilvl="3" w:tplc="0413000F" w:tentative="1">
      <w:start w:val="1"/>
      <w:numFmt w:val="decimal"/>
      <w:lvlText w:val="%4."/>
      <w:lvlJc w:val="left"/>
      <w:pPr>
        <w:ind w:left="2993" w:hanging="360"/>
      </w:pPr>
    </w:lvl>
    <w:lvl w:ilvl="4" w:tplc="04130019" w:tentative="1">
      <w:start w:val="1"/>
      <w:numFmt w:val="lowerLetter"/>
      <w:lvlText w:val="%5."/>
      <w:lvlJc w:val="left"/>
      <w:pPr>
        <w:ind w:left="3713" w:hanging="360"/>
      </w:pPr>
    </w:lvl>
    <w:lvl w:ilvl="5" w:tplc="0413001B" w:tentative="1">
      <w:start w:val="1"/>
      <w:numFmt w:val="lowerRoman"/>
      <w:lvlText w:val="%6."/>
      <w:lvlJc w:val="right"/>
      <w:pPr>
        <w:ind w:left="4433" w:hanging="180"/>
      </w:pPr>
    </w:lvl>
    <w:lvl w:ilvl="6" w:tplc="0413000F" w:tentative="1">
      <w:start w:val="1"/>
      <w:numFmt w:val="decimal"/>
      <w:lvlText w:val="%7."/>
      <w:lvlJc w:val="left"/>
      <w:pPr>
        <w:ind w:left="5153" w:hanging="360"/>
      </w:pPr>
    </w:lvl>
    <w:lvl w:ilvl="7" w:tplc="04130019" w:tentative="1">
      <w:start w:val="1"/>
      <w:numFmt w:val="lowerLetter"/>
      <w:lvlText w:val="%8."/>
      <w:lvlJc w:val="left"/>
      <w:pPr>
        <w:ind w:left="5873" w:hanging="360"/>
      </w:pPr>
    </w:lvl>
    <w:lvl w:ilvl="8" w:tplc="0413001B" w:tentative="1">
      <w:start w:val="1"/>
      <w:numFmt w:val="lowerRoman"/>
      <w:lvlText w:val="%9."/>
      <w:lvlJc w:val="right"/>
      <w:pPr>
        <w:ind w:left="6593" w:hanging="180"/>
      </w:pPr>
    </w:lvl>
  </w:abstractNum>
  <w:abstractNum w:abstractNumId="34" w15:restartNumberingAfterBreak="0">
    <w:nsid w:val="7DE50D05"/>
    <w:multiLevelType w:val="hybridMultilevel"/>
    <w:tmpl w:val="716CBEBA"/>
    <w:lvl w:ilvl="0" w:tplc="79229C76">
      <w:start w:val="2"/>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87588495">
    <w:abstractNumId w:val="5"/>
  </w:num>
  <w:num w:numId="2" w16cid:durableId="192352325">
    <w:abstractNumId w:val="6"/>
  </w:num>
  <w:num w:numId="3" w16cid:durableId="1653368349">
    <w:abstractNumId w:val="19"/>
  </w:num>
  <w:num w:numId="4" w16cid:durableId="953901657">
    <w:abstractNumId w:val="8"/>
  </w:num>
  <w:num w:numId="5" w16cid:durableId="1449547648">
    <w:abstractNumId w:val="23"/>
  </w:num>
  <w:num w:numId="6" w16cid:durableId="938023384">
    <w:abstractNumId w:val="21"/>
  </w:num>
  <w:num w:numId="7" w16cid:durableId="1400058906">
    <w:abstractNumId w:val="25"/>
  </w:num>
  <w:num w:numId="8" w16cid:durableId="725377612">
    <w:abstractNumId w:val="20"/>
  </w:num>
  <w:num w:numId="9" w16cid:durableId="650250528">
    <w:abstractNumId w:val="18"/>
  </w:num>
  <w:num w:numId="10" w16cid:durableId="309604167">
    <w:abstractNumId w:val="9"/>
  </w:num>
  <w:num w:numId="11" w16cid:durableId="1668092425">
    <w:abstractNumId w:val="13"/>
  </w:num>
  <w:num w:numId="12" w16cid:durableId="1655912166">
    <w:abstractNumId w:val="7"/>
  </w:num>
  <w:num w:numId="13" w16cid:durableId="1478035928">
    <w:abstractNumId w:val="14"/>
  </w:num>
  <w:num w:numId="14" w16cid:durableId="1188906478">
    <w:abstractNumId w:val="30"/>
  </w:num>
  <w:num w:numId="15" w16cid:durableId="3101389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0596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2236741">
    <w:abstractNumId w:val="0"/>
  </w:num>
  <w:num w:numId="18" w16cid:durableId="513423348">
    <w:abstractNumId w:val="3"/>
  </w:num>
  <w:num w:numId="19" w16cid:durableId="1753164489">
    <w:abstractNumId w:val="10"/>
  </w:num>
  <w:num w:numId="20" w16cid:durableId="4349095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9621108">
    <w:abstractNumId w:val="16"/>
  </w:num>
  <w:num w:numId="22" w16cid:durableId="1755279044">
    <w:abstractNumId w:val="0"/>
  </w:num>
  <w:num w:numId="23" w16cid:durableId="1273587016">
    <w:abstractNumId w:val="17"/>
  </w:num>
  <w:num w:numId="24" w16cid:durableId="482626869">
    <w:abstractNumId w:val="15"/>
  </w:num>
  <w:num w:numId="25" w16cid:durableId="147943609">
    <w:abstractNumId w:val="12"/>
  </w:num>
  <w:num w:numId="26" w16cid:durableId="461382487">
    <w:abstractNumId w:val="31"/>
  </w:num>
  <w:num w:numId="27" w16cid:durableId="1752267206">
    <w:abstractNumId w:val="29"/>
  </w:num>
  <w:num w:numId="28" w16cid:durableId="2113276074">
    <w:abstractNumId w:val="2"/>
  </w:num>
  <w:num w:numId="29" w16cid:durableId="561528590">
    <w:abstractNumId w:val="11"/>
  </w:num>
  <w:num w:numId="30" w16cid:durableId="1853495826">
    <w:abstractNumId w:val="34"/>
  </w:num>
  <w:num w:numId="31" w16cid:durableId="1478493347">
    <w:abstractNumId w:val="1"/>
  </w:num>
  <w:num w:numId="32" w16cid:durableId="1679307822">
    <w:abstractNumId w:val="33"/>
  </w:num>
  <w:num w:numId="33" w16cid:durableId="539518865">
    <w:abstractNumId w:val="27"/>
  </w:num>
  <w:num w:numId="34" w16cid:durableId="719790772">
    <w:abstractNumId w:val="32"/>
  </w:num>
  <w:num w:numId="35" w16cid:durableId="658582118">
    <w:abstractNumId w:val="22"/>
  </w:num>
  <w:num w:numId="36" w16cid:durableId="1645819643">
    <w:abstractNumId w:val="26"/>
  </w:num>
  <w:num w:numId="37" w16cid:durableId="19747522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06"/>
    <w:rsid w:val="0000068F"/>
    <w:rsid w:val="00003D06"/>
    <w:rsid w:val="0000515D"/>
    <w:rsid w:val="00007D03"/>
    <w:rsid w:val="00010320"/>
    <w:rsid w:val="000123D6"/>
    <w:rsid w:val="00012541"/>
    <w:rsid w:val="000146B4"/>
    <w:rsid w:val="000152CF"/>
    <w:rsid w:val="000156BD"/>
    <w:rsid w:val="0001632F"/>
    <w:rsid w:val="00017C4C"/>
    <w:rsid w:val="00017C58"/>
    <w:rsid w:val="00024727"/>
    <w:rsid w:val="00024F71"/>
    <w:rsid w:val="00025E6A"/>
    <w:rsid w:val="00037F85"/>
    <w:rsid w:val="00041DBA"/>
    <w:rsid w:val="00042E7E"/>
    <w:rsid w:val="00055210"/>
    <w:rsid w:val="00056959"/>
    <w:rsid w:val="00057E0B"/>
    <w:rsid w:val="00064573"/>
    <w:rsid w:val="000655C9"/>
    <w:rsid w:val="00066186"/>
    <w:rsid w:val="0007094E"/>
    <w:rsid w:val="0007399D"/>
    <w:rsid w:val="00077AFE"/>
    <w:rsid w:val="00087BAB"/>
    <w:rsid w:val="000901FC"/>
    <w:rsid w:val="000A063A"/>
    <w:rsid w:val="000B31CD"/>
    <w:rsid w:val="000D1804"/>
    <w:rsid w:val="000D332D"/>
    <w:rsid w:val="000D4B06"/>
    <w:rsid w:val="000D5E27"/>
    <w:rsid w:val="000D768E"/>
    <w:rsid w:val="000E2B09"/>
    <w:rsid w:val="000E6A35"/>
    <w:rsid w:val="000E73B0"/>
    <w:rsid w:val="000E7580"/>
    <w:rsid w:val="000F19CA"/>
    <w:rsid w:val="000F5501"/>
    <w:rsid w:val="000F738A"/>
    <w:rsid w:val="00101970"/>
    <w:rsid w:val="001054D7"/>
    <w:rsid w:val="00115875"/>
    <w:rsid w:val="00117F99"/>
    <w:rsid w:val="00123271"/>
    <w:rsid w:val="00125C5A"/>
    <w:rsid w:val="00131CC3"/>
    <w:rsid w:val="001341C8"/>
    <w:rsid w:val="001406E9"/>
    <w:rsid w:val="00145FC3"/>
    <w:rsid w:val="00145FD2"/>
    <w:rsid w:val="00146FC0"/>
    <w:rsid w:val="001519D2"/>
    <w:rsid w:val="00154433"/>
    <w:rsid w:val="00155BF7"/>
    <w:rsid w:val="0016133D"/>
    <w:rsid w:val="001752D3"/>
    <w:rsid w:val="00176927"/>
    <w:rsid w:val="0018177C"/>
    <w:rsid w:val="001825A8"/>
    <w:rsid w:val="00183482"/>
    <w:rsid w:val="00183637"/>
    <w:rsid w:val="00183CC9"/>
    <w:rsid w:val="00185775"/>
    <w:rsid w:val="00186F47"/>
    <w:rsid w:val="00191822"/>
    <w:rsid w:val="001931CE"/>
    <w:rsid w:val="001A14D5"/>
    <w:rsid w:val="001A6EC5"/>
    <w:rsid w:val="001B5785"/>
    <w:rsid w:val="001B73EE"/>
    <w:rsid w:val="001C0C40"/>
    <w:rsid w:val="001C2514"/>
    <w:rsid w:val="001C40AC"/>
    <w:rsid w:val="001C4995"/>
    <w:rsid w:val="001C72F6"/>
    <w:rsid w:val="001C7FF6"/>
    <w:rsid w:val="001D066F"/>
    <w:rsid w:val="001D1895"/>
    <w:rsid w:val="001D19AF"/>
    <w:rsid w:val="001F34EA"/>
    <w:rsid w:val="002014FA"/>
    <w:rsid w:val="002030E4"/>
    <w:rsid w:val="00203190"/>
    <w:rsid w:val="0020332A"/>
    <w:rsid w:val="00205A18"/>
    <w:rsid w:val="0021120F"/>
    <w:rsid w:val="00211372"/>
    <w:rsid w:val="00216E05"/>
    <w:rsid w:val="00222118"/>
    <w:rsid w:val="0022217E"/>
    <w:rsid w:val="00230415"/>
    <w:rsid w:val="00236849"/>
    <w:rsid w:val="002368E9"/>
    <w:rsid w:val="002450E7"/>
    <w:rsid w:val="002539FF"/>
    <w:rsid w:val="002603FA"/>
    <w:rsid w:val="00262258"/>
    <w:rsid w:val="002628DA"/>
    <w:rsid w:val="00262B1C"/>
    <w:rsid w:val="00270677"/>
    <w:rsid w:val="00283865"/>
    <w:rsid w:val="00284750"/>
    <w:rsid w:val="002A258C"/>
    <w:rsid w:val="002A49E8"/>
    <w:rsid w:val="002C0AAF"/>
    <w:rsid w:val="002C1C5D"/>
    <w:rsid w:val="002C582D"/>
    <w:rsid w:val="002D10BB"/>
    <w:rsid w:val="002D6885"/>
    <w:rsid w:val="002E6524"/>
    <w:rsid w:val="002F2B11"/>
    <w:rsid w:val="002F5BB9"/>
    <w:rsid w:val="002F6A02"/>
    <w:rsid w:val="00307FCB"/>
    <w:rsid w:val="003131DD"/>
    <w:rsid w:val="003142DE"/>
    <w:rsid w:val="00314A95"/>
    <w:rsid w:val="00315C2B"/>
    <w:rsid w:val="00330A4E"/>
    <w:rsid w:val="003332AB"/>
    <w:rsid w:val="00334027"/>
    <w:rsid w:val="003361EF"/>
    <w:rsid w:val="00352400"/>
    <w:rsid w:val="00353866"/>
    <w:rsid w:val="00354E6D"/>
    <w:rsid w:val="00357AF9"/>
    <w:rsid w:val="003633A7"/>
    <w:rsid w:val="0036736B"/>
    <w:rsid w:val="00370155"/>
    <w:rsid w:val="003738A8"/>
    <w:rsid w:val="0038133B"/>
    <w:rsid w:val="00390138"/>
    <w:rsid w:val="0039164F"/>
    <w:rsid w:val="0039177A"/>
    <w:rsid w:val="0039449D"/>
    <w:rsid w:val="00394D4C"/>
    <w:rsid w:val="00394E25"/>
    <w:rsid w:val="003A2E5E"/>
    <w:rsid w:val="003A4725"/>
    <w:rsid w:val="003A4BBF"/>
    <w:rsid w:val="003A6A56"/>
    <w:rsid w:val="003B3B5C"/>
    <w:rsid w:val="003B4353"/>
    <w:rsid w:val="003B5F99"/>
    <w:rsid w:val="003E4B45"/>
    <w:rsid w:val="003F45EB"/>
    <w:rsid w:val="003F6149"/>
    <w:rsid w:val="00400657"/>
    <w:rsid w:val="0040243C"/>
    <w:rsid w:val="00404E67"/>
    <w:rsid w:val="00407462"/>
    <w:rsid w:val="00417A58"/>
    <w:rsid w:val="004260BF"/>
    <w:rsid w:val="004275A6"/>
    <w:rsid w:val="00430E7F"/>
    <w:rsid w:val="0043339A"/>
    <w:rsid w:val="004525D1"/>
    <w:rsid w:val="00452DC0"/>
    <w:rsid w:val="00457E42"/>
    <w:rsid w:val="004615FD"/>
    <w:rsid w:val="00464D2A"/>
    <w:rsid w:val="004729E6"/>
    <w:rsid w:val="00493A45"/>
    <w:rsid w:val="004960E1"/>
    <w:rsid w:val="00496626"/>
    <w:rsid w:val="004A08E1"/>
    <w:rsid w:val="004A38C3"/>
    <w:rsid w:val="004A5081"/>
    <w:rsid w:val="004B0939"/>
    <w:rsid w:val="004B5AAD"/>
    <w:rsid w:val="004C0FFB"/>
    <w:rsid w:val="004C2FED"/>
    <w:rsid w:val="004C559F"/>
    <w:rsid w:val="004D2D77"/>
    <w:rsid w:val="004D31DA"/>
    <w:rsid w:val="004E1E3F"/>
    <w:rsid w:val="004E7E5C"/>
    <w:rsid w:val="004F4B5C"/>
    <w:rsid w:val="00503ABD"/>
    <w:rsid w:val="00504246"/>
    <w:rsid w:val="0050638D"/>
    <w:rsid w:val="005069D7"/>
    <w:rsid w:val="0051031C"/>
    <w:rsid w:val="0051251D"/>
    <w:rsid w:val="005233F2"/>
    <w:rsid w:val="00526D1C"/>
    <w:rsid w:val="00531A17"/>
    <w:rsid w:val="00532F3D"/>
    <w:rsid w:val="00535227"/>
    <w:rsid w:val="00542318"/>
    <w:rsid w:val="0054721C"/>
    <w:rsid w:val="00550841"/>
    <w:rsid w:val="005541BC"/>
    <w:rsid w:val="005626D0"/>
    <w:rsid w:val="005677F8"/>
    <w:rsid w:val="005701F7"/>
    <w:rsid w:val="00574272"/>
    <w:rsid w:val="0057468E"/>
    <w:rsid w:val="0057790A"/>
    <w:rsid w:val="00584313"/>
    <w:rsid w:val="00585E38"/>
    <w:rsid w:val="00590146"/>
    <w:rsid w:val="00592333"/>
    <w:rsid w:val="005A0FB7"/>
    <w:rsid w:val="005A13F6"/>
    <w:rsid w:val="005A21FC"/>
    <w:rsid w:val="005A301B"/>
    <w:rsid w:val="005A7792"/>
    <w:rsid w:val="005A7988"/>
    <w:rsid w:val="005B23F7"/>
    <w:rsid w:val="005B3AB9"/>
    <w:rsid w:val="005C0A40"/>
    <w:rsid w:val="005C5C02"/>
    <w:rsid w:val="005C7104"/>
    <w:rsid w:val="005C7B73"/>
    <w:rsid w:val="005D089E"/>
    <w:rsid w:val="005D51C9"/>
    <w:rsid w:val="005D7900"/>
    <w:rsid w:val="005E1FE2"/>
    <w:rsid w:val="005E7037"/>
    <w:rsid w:val="005F6140"/>
    <w:rsid w:val="0060043E"/>
    <w:rsid w:val="006112F2"/>
    <w:rsid w:val="006132DB"/>
    <w:rsid w:val="006256FC"/>
    <w:rsid w:val="00637952"/>
    <w:rsid w:val="00640AE5"/>
    <w:rsid w:val="00642D5C"/>
    <w:rsid w:val="00645F0F"/>
    <w:rsid w:val="00646EE6"/>
    <w:rsid w:val="0064719E"/>
    <w:rsid w:val="00660F71"/>
    <w:rsid w:val="006700AA"/>
    <w:rsid w:val="0067385F"/>
    <w:rsid w:val="006755F2"/>
    <w:rsid w:val="00676311"/>
    <w:rsid w:val="00677683"/>
    <w:rsid w:val="006812E3"/>
    <w:rsid w:val="006908E6"/>
    <w:rsid w:val="00695B1C"/>
    <w:rsid w:val="006A19E4"/>
    <w:rsid w:val="006A49A1"/>
    <w:rsid w:val="006B1760"/>
    <w:rsid w:val="006B46A7"/>
    <w:rsid w:val="006B4DEF"/>
    <w:rsid w:val="006C3D17"/>
    <w:rsid w:val="006D175C"/>
    <w:rsid w:val="006D242C"/>
    <w:rsid w:val="006D6B78"/>
    <w:rsid w:val="006E598C"/>
    <w:rsid w:val="006E662E"/>
    <w:rsid w:val="006E78CD"/>
    <w:rsid w:val="006F030A"/>
    <w:rsid w:val="007066A0"/>
    <w:rsid w:val="0070731D"/>
    <w:rsid w:val="0070754A"/>
    <w:rsid w:val="00715479"/>
    <w:rsid w:val="00721975"/>
    <w:rsid w:val="00726B06"/>
    <w:rsid w:val="00726DF1"/>
    <w:rsid w:val="00731D78"/>
    <w:rsid w:val="00735109"/>
    <w:rsid w:val="007432E8"/>
    <w:rsid w:val="00745692"/>
    <w:rsid w:val="00753F16"/>
    <w:rsid w:val="00755261"/>
    <w:rsid w:val="00757B14"/>
    <w:rsid w:val="00757BBD"/>
    <w:rsid w:val="00762A02"/>
    <w:rsid w:val="00762F36"/>
    <w:rsid w:val="0077100F"/>
    <w:rsid w:val="00773920"/>
    <w:rsid w:val="00777FB2"/>
    <w:rsid w:val="007807BF"/>
    <w:rsid w:val="007858E0"/>
    <w:rsid w:val="00791ABB"/>
    <w:rsid w:val="007974E1"/>
    <w:rsid w:val="00797952"/>
    <w:rsid w:val="00797F65"/>
    <w:rsid w:val="007A2EA6"/>
    <w:rsid w:val="007A6FBD"/>
    <w:rsid w:val="007B5E9D"/>
    <w:rsid w:val="007B6A3E"/>
    <w:rsid w:val="007C3908"/>
    <w:rsid w:val="007D2373"/>
    <w:rsid w:val="007D3E8C"/>
    <w:rsid w:val="007D6837"/>
    <w:rsid w:val="007E3AF0"/>
    <w:rsid w:val="007E7793"/>
    <w:rsid w:val="007F0778"/>
    <w:rsid w:val="007F0A8E"/>
    <w:rsid w:val="007F30FC"/>
    <w:rsid w:val="007F33EC"/>
    <w:rsid w:val="007F7981"/>
    <w:rsid w:val="00801F23"/>
    <w:rsid w:val="0080447E"/>
    <w:rsid w:val="00804BD1"/>
    <w:rsid w:val="0080538F"/>
    <w:rsid w:val="00823BA7"/>
    <w:rsid w:val="008403C6"/>
    <w:rsid w:val="00842622"/>
    <w:rsid w:val="00843D9C"/>
    <w:rsid w:val="0084738B"/>
    <w:rsid w:val="00855435"/>
    <w:rsid w:val="008609E5"/>
    <w:rsid w:val="008764A4"/>
    <w:rsid w:val="00894DB8"/>
    <w:rsid w:val="00895661"/>
    <w:rsid w:val="008A241C"/>
    <w:rsid w:val="008A2CC7"/>
    <w:rsid w:val="008A3695"/>
    <w:rsid w:val="008A43ED"/>
    <w:rsid w:val="008A44A1"/>
    <w:rsid w:val="008A6691"/>
    <w:rsid w:val="008A7BD7"/>
    <w:rsid w:val="008B2A8A"/>
    <w:rsid w:val="008D0913"/>
    <w:rsid w:val="008D2808"/>
    <w:rsid w:val="008D4570"/>
    <w:rsid w:val="008D5B6B"/>
    <w:rsid w:val="008D6347"/>
    <w:rsid w:val="008E5FD2"/>
    <w:rsid w:val="008E65E6"/>
    <w:rsid w:val="008E71E2"/>
    <w:rsid w:val="008F363F"/>
    <w:rsid w:val="00900B7E"/>
    <w:rsid w:val="00903380"/>
    <w:rsid w:val="00903A34"/>
    <w:rsid w:val="0090614D"/>
    <w:rsid w:val="00906206"/>
    <w:rsid w:val="009121B9"/>
    <w:rsid w:val="00913ACE"/>
    <w:rsid w:val="009217B7"/>
    <w:rsid w:val="00926E1D"/>
    <w:rsid w:val="00930D23"/>
    <w:rsid w:val="0094244E"/>
    <w:rsid w:val="00946A77"/>
    <w:rsid w:val="0095541A"/>
    <w:rsid w:val="009560AE"/>
    <w:rsid w:val="00962A1D"/>
    <w:rsid w:val="0096442B"/>
    <w:rsid w:val="009648E9"/>
    <w:rsid w:val="0096537F"/>
    <w:rsid w:val="00967FDC"/>
    <w:rsid w:val="00980406"/>
    <w:rsid w:val="00985187"/>
    <w:rsid w:val="00985E91"/>
    <w:rsid w:val="009913F4"/>
    <w:rsid w:val="0099253B"/>
    <w:rsid w:val="009A4030"/>
    <w:rsid w:val="009A449C"/>
    <w:rsid w:val="009A7BAC"/>
    <w:rsid w:val="009B19C3"/>
    <w:rsid w:val="009B4C10"/>
    <w:rsid w:val="009B4E97"/>
    <w:rsid w:val="009C2BD4"/>
    <w:rsid w:val="009C7E7A"/>
    <w:rsid w:val="009C7F9B"/>
    <w:rsid w:val="009D0259"/>
    <w:rsid w:val="009E1F1B"/>
    <w:rsid w:val="009E5FA0"/>
    <w:rsid w:val="009F02CC"/>
    <w:rsid w:val="009F2881"/>
    <w:rsid w:val="009F6332"/>
    <w:rsid w:val="00A002E7"/>
    <w:rsid w:val="00A03487"/>
    <w:rsid w:val="00A044FE"/>
    <w:rsid w:val="00A1005A"/>
    <w:rsid w:val="00A11B60"/>
    <w:rsid w:val="00A12E82"/>
    <w:rsid w:val="00A273A2"/>
    <w:rsid w:val="00A279B8"/>
    <w:rsid w:val="00A3365F"/>
    <w:rsid w:val="00A46D04"/>
    <w:rsid w:val="00A52CD2"/>
    <w:rsid w:val="00A555D8"/>
    <w:rsid w:val="00A56783"/>
    <w:rsid w:val="00A6050C"/>
    <w:rsid w:val="00A615FB"/>
    <w:rsid w:val="00A6476F"/>
    <w:rsid w:val="00A6564D"/>
    <w:rsid w:val="00A85778"/>
    <w:rsid w:val="00A875F7"/>
    <w:rsid w:val="00A87CAF"/>
    <w:rsid w:val="00AA43BC"/>
    <w:rsid w:val="00AA68A6"/>
    <w:rsid w:val="00AB5AC2"/>
    <w:rsid w:val="00AD0168"/>
    <w:rsid w:val="00AD1F0D"/>
    <w:rsid w:val="00AD4AB0"/>
    <w:rsid w:val="00AD5783"/>
    <w:rsid w:val="00AD67E1"/>
    <w:rsid w:val="00AE60C5"/>
    <w:rsid w:val="00AF29AD"/>
    <w:rsid w:val="00AF5ACE"/>
    <w:rsid w:val="00AF60E3"/>
    <w:rsid w:val="00AF6653"/>
    <w:rsid w:val="00B00811"/>
    <w:rsid w:val="00B01BD3"/>
    <w:rsid w:val="00B03318"/>
    <w:rsid w:val="00B03C13"/>
    <w:rsid w:val="00B063DA"/>
    <w:rsid w:val="00B17F0A"/>
    <w:rsid w:val="00B23684"/>
    <w:rsid w:val="00B3035B"/>
    <w:rsid w:val="00B32F90"/>
    <w:rsid w:val="00B33510"/>
    <w:rsid w:val="00B40053"/>
    <w:rsid w:val="00B41432"/>
    <w:rsid w:val="00B53159"/>
    <w:rsid w:val="00B55790"/>
    <w:rsid w:val="00B62E94"/>
    <w:rsid w:val="00B65832"/>
    <w:rsid w:val="00B72D19"/>
    <w:rsid w:val="00B902C5"/>
    <w:rsid w:val="00B92501"/>
    <w:rsid w:val="00B94CC3"/>
    <w:rsid w:val="00B9769D"/>
    <w:rsid w:val="00BA3EE5"/>
    <w:rsid w:val="00BB2629"/>
    <w:rsid w:val="00BB3C94"/>
    <w:rsid w:val="00BB6591"/>
    <w:rsid w:val="00BB6D1A"/>
    <w:rsid w:val="00BB6D45"/>
    <w:rsid w:val="00BC1DC8"/>
    <w:rsid w:val="00BC29EA"/>
    <w:rsid w:val="00BD001D"/>
    <w:rsid w:val="00BD310C"/>
    <w:rsid w:val="00BE24AB"/>
    <w:rsid w:val="00BE5BF2"/>
    <w:rsid w:val="00BE6918"/>
    <w:rsid w:val="00BE6D3A"/>
    <w:rsid w:val="00BF1B64"/>
    <w:rsid w:val="00BF2F25"/>
    <w:rsid w:val="00C14CED"/>
    <w:rsid w:val="00C23E1C"/>
    <w:rsid w:val="00C429D8"/>
    <w:rsid w:val="00C450A6"/>
    <w:rsid w:val="00C472A3"/>
    <w:rsid w:val="00C5348F"/>
    <w:rsid w:val="00C53532"/>
    <w:rsid w:val="00C5395E"/>
    <w:rsid w:val="00C54545"/>
    <w:rsid w:val="00C56A78"/>
    <w:rsid w:val="00C6416E"/>
    <w:rsid w:val="00C64E67"/>
    <w:rsid w:val="00C664C4"/>
    <w:rsid w:val="00C73D14"/>
    <w:rsid w:val="00C80781"/>
    <w:rsid w:val="00C80CBC"/>
    <w:rsid w:val="00C81267"/>
    <w:rsid w:val="00C836E2"/>
    <w:rsid w:val="00C842D9"/>
    <w:rsid w:val="00C85EA8"/>
    <w:rsid w:val="00C92951"/>
    <w:rsid w:val="00C94137"/>
    <w:rsid w:val="00C94F67"/>
    <w:rsid w:val="00CA05E7"/>
    <w:rsid w:val="00CA0E31"/>
    <w:rsid w:val="00CA104F"/>
    <w:rsid w:val="00CA1201"/>
    <w:rsid w:val="00CA1729"/>
    <w:rsid w:val="00CA2AF4"/>
    <w:rsid w:val="00CA531C"/>
    <w:rsid w:val="00CB27B0"/>
    <w:rsid w:val="00CB3650"/>
    <w:rsid w:val="00CB6CF2"/>
    <w:rsid w:val="00CC5A1C"/>
    <w:rsid w:val="00CD6E97"/>
    <w:rsid w:val="00CD7296"/>
    <w:rsid w:val="00CE0136"/>
    <w:rsid w:val="00CF2A36"/>
    <w:rsid w:val="00CF7879"/>
    <w:rsid w:val="00D07F2F"/>
    <w:rsid w:val="00D12013"/>
    <w:rsid w:val="00D23FD5"/>
    <w:rsid w:val="00D33400"/>
    <w:rsid w:val="00D361FF"/>
    <w:rsid w:val="00D4059B"/>
    <w:rsid w:val="00D40CC9"/>
    <w:rsid w:val="00D41088"/>
    <w:rsid w:val="00D411C5"/>
    <w:rsid w:val="00D4251E"/>
    <w:rsid w:val="00D46C1B"/>
    <w:rsid w:val="00D519F4"/>
    <w:rsid w:val="00D5532E"/>
    <w:rsid w:val="00D62BE8"/>
    <w:rsid w:val="00D6626B"/>
    <w:rsid w:val="00D67431"/>
    <w:rsid w:val="00D81665"/>
    <w:rsid w:val="00D8403E"/>
    <w:rsid w:val="00D91CC2"/>
    <w:rsid w:val="00DA09D5"/>
    <w:rsid w:val="00DB18F5"/>
    <w:rsid w:val="00DE1ED5"/>
    <w:rsid w:val="00DE738A"/>
    <w:rsid w:val="00DF1234"/>
    <w:rsid w:val="00DF2B5B"/>
    <w:rsid w:val="00E043AD"/>
    <w:rsid w:val="00E10248"/>
    <w:rsid w:val="00E120C7"/>
    <w:rsid w:val="00E13234"/>
    <w:rsid w:val="00E14825"/>
    <w:rsid w:val="00E258F5"/>
    <w:rsid w:val="00E26E82"/>
    <w:rsid w:val="00E36C41"/>
    <w:rsid w:val="00E3765F"/>
    <w:rsid w:val="00E37D52"/>
    <w:rsid w:val="00E44BCB"/>
    <w:rsid w:val="00E45A5C"/>
    <w:rsid w:val="00E45AB1"/>
    <w:rsid w:val="00E46978"/>
    <w:rsid w:val="00E620D0"/>
    <w:rsid w:val="00E648EC"/>
    <w:rsid w:val="00E80FB6"/>
    <w:rsid w:val="00E8427B"/>
    <w:rsid w:val="00E862C7"/>
    <w:rsid w:val="00E90DE5"/>
    <w:rsid w:val="00E91933"/>
    <w:rsid w:val="00E92FCA"/>
    <w:rsid w:val="00E96867"/>
    <w:rsid w:val="00EA0506"/>
    <w:rsid w:val="00EA43C0"/>
    <w:rsid w:val="00EA4878"/>
    <w:rsid w:val="00EB1DA4"/>
    <w:rsid w:val="00EB63BD"/>
    <w:rsid w:val="00EB6BEB"/>
    <w:rsid w:val="00EB726E"/>
    <w:rsid w:val="00ED6134"/>
    <w:rsid w:val="00EE1D0D"/>
    <w:rsid w:val="00EE2BDB"/>
    <w:rsid w:val="00EE35B9"/>
    <w:rsid w:val="00EE740E"/>
    <w:rsid w:val="00EF12AB"/>
    <w:rsid w:val="00EF6DF9"/>
    <w:rsid w:val="00EF6EF0"/>
    <w:rsid w:val="00EF785F"/>
    <w:rsid w:val="00F01E85"/>
    <w:rsid w:val="00F04A29"/>
    <w:rsid w:val="00F13947"/>
    <w:rsid w:val="00F14D8F"/>
    <w:rsid w:val="00F172DE"/>
    <w:rsid w:val="00F21906"/>
    <w:rsid w:val="00F2432D"/>
    <w:rsid w:val="00F245A2"/>
    <w:rsid w:val="00F31779"/>
    <w:rsid w:val="00F47242"/>
    <w:rsid w:val="00F5009D"/>
    <w:rsid w:val="00F523DD"/>
    <w:rsid w:val="00F55C85"/>
    <w:rsid w:val="00F56B3F"/>
    <w:rsid w:val="00F61A1A"/>
    <w:rsid w:val="00F6412B"/>
    <w:rsid w:val="00F64F91"/>
    <w:rsid w:val="00F66A79"/>
    <w:rsid w:val="00F80132"/>
    <w:rsid w:val="00F81EAF"/>
    <w:rsid w:val="00F830CC"/>
    <w:rsid w:val="00F8762C"/>
    <w:rsid w:val="00F93968"/>
    <w:rsid w:val="00FA5721"/>
    <w:rsid w:val="00FA63D5"/>
    <w:rsid w:val="00FB374C"/>
    <w:rsid w:val="00FB75C9"/>
    <w:rsid w:val="00FD2DA2"/>
    <w:rsid w:val="00FD3A49"/>
    <w:rsid w:val="00FD67A9"/>
    <w:rsid w:val="00FE595F"/>
    <w:rsid w:val="00FF3379"/>
    <w:rsid w:val="00FF3403"/>
    <w:rsid w:val="00FF5EC8"/>
    <w:rsid w:val="0B9B80D4"/>
    <w:rsid w:val="249060AD"/>
    <w:rsid w:val="314403AD"/>
    <w:rsid w:val="3D1B06CA"/>
    <w:rsid w:val="4E85A626"/>
    <w:rsid w:val="59A9A1C5"/>
    <w:rsid w:val="61A63B5A"/>
    <w:rsid w:val="61B2E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7E5F"/>
  <w15:chartTrackingRefBased/>
  <w15:docId w15:val="{DE1498E2-CB42-4009-B0C5-55D234D4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7E"/>
    <w:pPr>
      <w:spacing w:after="0" w:line="240" w:lineRule="auto"/>
    </w:pPr>
    <w:rPr>
      <w:rFonts w:ascii="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2217E"/>
  </w:style>
  <w:style w:type="paragraph" w:customStyle="1" w:styleId="TableParagraph">
    <w:name w:val="Table Paragraph"/>
    <w:basedOn w:val="Normal"/>
    <w:uiPriority w:val="1"/>
    <w:rsid w:val="0022217E"/>
    <w:pPr>
      <w:autoSpaceDE w:val="0"/>
      <w:autoSpaceDN w:val="0"/>
      <w:spacing w:before="82"/>
      <w:ind w:left="113"/>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2217E"/>
    <w:pPr>
      <w:spacing w:line="240" w:lineRule="atLeast"/>
      <w:ind w:left="720"/>
      <w:contextualSpacing/>
    </w:pPr>
    <w:rPr>
      <w:rFonts w:ascii="Verdana" w:eastAsia="Times New Roman" w:hAnsi="Verdana" w:cs="Times New Roman"/>
      <w:sz w:val="18"/>
      <w:szCs w:val="24"/>
      <w:lang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22217E"/>
    <w:rPr>
      <w:rFonts w:ascii="Verdana" w:eastAsia="Times New Roman" w:hAnsi="Verdana" w:cs="Times New Roman"/>
      <w:sz w:val="18"/>
      <w:szCs w:val="24"/>
      <w:lang w:val="nl-NL" w:eastAsia="nl-NL"/>
    </w:rPr>
  </w:style>
  <w:style w:type="character" w:styleId="Hyperlink">
    <w:name w:val="Hyperlink"/>
    <w:basedOn w:val="DefaultParagraphFont"/>
    <w:uiPriority w:val="99"/>
    <w:unhideWhenUsed/>
    <w:rsid w:val="0022217E"/>
    <w:rPr>
      <w:color w:val="0563C1"/>
      <w:u w:val="single"/>
    </w:rPr>
  </w:style>
  <w:style w:type="paragraph" w:styleId="Header">
    <w:name w:val="header"/>
    <w:basedOn w:val="Normal"/>
    <w:link w:val="HeaderChar"/>
    <w:uiPriority w:val="99"/>
    <w:unhideWhenUsed/>
    <w:rsid w:val="00AD0168"/>
    <w:pPr>
      <w:tabs>
        <w:tab w:val="center" w:pos="4513"/>
        <w:tab w:val="right" w:pos="9026"/>
      </w:tabs>
    </w:pPr>
  </w:style>
  <w:style w:type="character" w:customStyle="1" w:styleId="HeaderChar">
    <w:name w:val="Header Char"/>
    <w:basedOn w:val="DefaultParagraphFont"/>
    <w:link w:val="Header"/>
    <w:uiPriority w:val="99"/>
    <w:rsid w:val="00AD0168"/>
    <w:rPr>
      <w:rFonts w:ascii="Calibri" w:hAnsi="Calibri" w:cs="Calibri"/>
      <w:lang w:val="nl-NL"/>
    </w:rPr>
  </w:style>
  <w:style w:type="paragraph" w:styleId="Footer">
    <w:name w:val="footer"/>
    <w:basedOn w:val="Normal"/>
    <w:link w:val="FooterChar"/>
    <w:uiPriority w:val="99"/>
    <w:unhideWhenUsed/>
    <w:rsid w:val="00AD0168"/>
    <w:pPr>
      <w:tabs>
        <w:tab w:val="center" w:pos="4513"/>
        <w:tab w:val="right" w:pos="9026"/>
      </w:tabs>
    </w:pPr>
  </w:style>
  <w:style w:type="character" w:customStyle="1" w:styleId="FooterChar">
    <w:name w:val="Footer Char"/>
    <w:basedOn w:val="DefaultParagraphFont"/>
    <w:link w:val="Footer"/>
    <w:uiPriority w:val="99"/>
    <w:rsid w:val="00AD0168"/>
    <w:rPr>
      <w:rFonts w:ascii="Calibri" w:hAnsi="Calibri" w:cs="Calibri"/>
      <w:lang w:val="nl-NL"/>
    </w:rPr>
  </w:style>
  <w:style w:type="character" w:styleId="CommentReference">
    <w:name w:val="annotation reference"/>
    <w:basedOn w:val="DefaultParagraphFont"/>
    <w:uiPriority w:val="99"/>
    <w:semiHidden/>
    <w:unhideWhenUsed/>
    <w:rsid w:val="00DE1ED5"/>
    <w:rPr>
      <w:sz w:val="16"/>
      <w:szCs w:val="16"/>
    </w:rPr>
  </w:style>
  <w:style w:type="paragraph" w:styleId="CommentText">
    <w:name w:val="annotation text"/>
    <w:basedOn w:val="Normal"/>
    <w:link w:val="CommentTextChar"/>
    <w:uiPriority w:val="99"/>
    <w:unhideWhenUsed/>
    <w:rsid w:val="00DE1ED5"/>
    <w:rPr>
      <w:sz w:val="20"/>
      <w:szCs w:val="20"/>
    </w:rPr>
  </w:style>
  <w:style w:type="character" w:customStyle="1" w:styleId="CommentTextChar">
    <w:name w:val="Comment Text Char"/>
    <w:basedOn w:val="DefaultParagraphFont"/>
    <w:link w:val="CommentText"/>
    <w:uiPriority w:val="99"/>
    <w:rsid w:val="00DE1ED5"/>
    <w:rPr>
      <w:rFonts w:ascii="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DE1ED5"/>
    <w:rPr>
      <w:b/>
      <w:bCs/>
    </w:rPr>
  </w:style>
  <w:style w:type="character" w:customStyle="1" w:styleId="CommentSubjectChar">
    <w:name w:val="Comment Subject Char"/>
    <w:basedOn w:val="CommentTextChar"/>
    <w:link w:val="CommentSubject"/>
    <w:uiPriority w:val="99"/>
    <w:semiHidden/>
    <w:rsid w:val="00DE1ED5"/>
    <w:rPr>
      <w:rFonts w:ascii="Calibri" w:hAnsi="Calibri" w:cs="Calibri"/>
      <w:b/>
      <w:bCs/>
      <w:sz w:val="20"/>
      <w:szCs w:val="20"/>
      <w:lang w:val="nl-NL"/>
    </w:rPr>
  </w:style>
  <w:style w:type="paragraph" w:styleId="BalloonText">
    <w:name w:val="Balloon Text"/>
    <w:basedOn w:val="Normal"/>
    <w:link w:val="BalloonTextChar"/>
    <w:uiPriority w:val="99"/>
    <w:semiHidden/>
    <w:unhideWhenUsed/>
    <w:rsid w:val="00DE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ED5"/>
    <w:rPr>
      <w:rFonts w:ascii="Segoe UI" w:hAnsi="Segoe UI" w:cs="Segoe UI"/>
      <w:sz w:val="18"/>
      <w:szCs w:val="18"/>
      <w:lang w:val="nl-NL"/>
    </w:rPr>
  </w:style>
  <w:style w:type="character" w:styleId="Strong">
    <w:name w:val="Strong"/>
    <w:basedOn w:val="DefaultParagraphFont"/>
    <w:uiPriority w:val="22"/>
    <w:qFormat/>
    <w:rsid w:val="006E78CD"/>
    <w:rPr>
      <w:b/>
      <w:bCs/>
    </w:rPr>
  </w:style>
  <w:style w:type="paragraph" w:styleId="Revision">
    <w:name w:val="Revision"/>
    <w:hidden/>
    <w:uiPriority w:val="99"/>
    <w:semiHidden/>
    <w:rsid w:val="00AD67E1"/>
    <w:pPr>
      <w:spacing w:after="0" w:line="240" w:lineRule="auto"/>
    </w:pPr>
    <w:rPr>
      <w:rFonts w:ascii="Calibri" w:hAnsi="Calibri" w:cs="Calibri"/>
      <w:lang w:val="nl-NL"/>
    </w:rPr>
  </w:style>
  <w:style w:type="paragraph" w:styleId="FootnoteText">
    <w:name w:val="footnote text"/>
    <w:basedOn w:val="Normal"/>
    <w:link w:val="FootnoteTextChar"/>
    <w:uiPriority w:val="99"/>
    <w:semiHidden/>
    <w:unhideWhenUsed/>
    <w:rsid w:val="009B19C3"/>
    <w:rPr>
      <w:rFonts w:ascii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9B19C3"/>
    <w:rPr>
      <w:kern w:val="2"/>
      <w:sz w:val="20"/>
      <w:szCs w:val="20"/>
      <w:lang w:val="nl-NL"/>
      <w14:ligatures w14:val="standardContextual"/>
    </w:rPr>
  </w:style>
  <w:style w:type="character" w:styleId="FootnoteReference">
    <w:name w:val="footnote reference"/>
    <w:basedOn w:val="DefaultParagraphFont"/>
    <w:uiPriority w:val="99"/>
    <w:semiHidden/>
    <w:unhideWhenUsed/>
    <w:rsid w:val="009B19C3"/>
    <w:rPr>
      <w:vertAlign w:val="superscript"/>
    </w:rPr>
  </w:style>
  <w:style w:type="character" w:styleId="UnresolvedMention">
    <w:name w:val="Unresolved Mention"/>
    <w:basedOn w:val="DefaultParagraphFont"/>
    <w:uiPriority w:val="99"/>
    <w:semiHidden/>
    <w:unhideWhenUsed/>
    <w:rsid w:val="008B2A8A"/>
    <w:rPr>
      <w:color w:val="605E5C"/>
      <w:shd w:val="clear" w:color="auto" w:fill="E1DFDD"/>
    </w:rPr>
  </w:style>
  <w:style w:type="paragraph" w:styleId="NormalWeb">
    <w:name w:val="Normal (Web)"/>
    <w:basedOn w:val="Normal"/>
    <w:uiPriority w:val="99"/>
    <w:unhideWhenUsed/>
    <w:rsid w:val="00A12E82"/>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6861">
      <w:bodyDiv w:val="1"/>
      <w:marLeft w:val="0"/>
      <w:marRight w:val="0"/>
      <w:marTop w:val="0"/>
      <w:marBottom w:val="0"/>
      <w:divBdr>
        <w:top w:val="none" w:sz="0" w:space="0" w:color="auto"/>
        <w:left w:val="none" w:sz="0" w:space="0" w:color="auto"/>
        <w:bottom w:val="none" w:sz="0" w:space="0" w:color="auto"/>
        <w:right w:val="none" w:sz="0" w:space="0" w:color="auto"/>
      </w:divBdr>
    </w:div>
    <w:div w:id="366490018">
      <w:bodyDiv w:val="1"/>
      <w:marLeft w:val="0"/>
      <w:marRight w:val="0"/>
      <w:marTop w:val="0"/>
      <w:marBottom w:val="0"/>
      <w:divBdr>
        <w:top w:val="none" w:sz="0" w:space="0" w:color="auto"/>
        <w:left w:val="none" w:sz="0" w:space="0" w:color="auto"/>
        <w:bottom w:val="none" w:sz="0" w:space="0" w:color="auto"/>
        <w:right w:val="none" w:sz="0" w:space="0" w:color="auto"/>
      </w:divBdr>
    </w:div>
    <w:div w:id="762147591">
      <w:bodyDiv w:val="1"/>
      <w:marLeft w:val="0"/>
      <w:marRight w:val="0"/>
      <w:marTop w:val="0"/>
      <w:marBottom w:val="0"/>
      <w:divBdr>
        <w:top w:val="none" w:sz="0" w:space="0" w:color="auto"/>
        <w:left w:val="none" w:sz="0" w:space="0" w:color="auto"/>
        <w:bottom w:val="none" w:sz="0" w:space="0" w:color="auto"/>
        <w:right w:val="none" w:sz="0" w:space="0" w:color="auto"/>
      </w:divBdr>
    </w:div>
    <w:div w:id="802894860">
      <w:bodyDiv w:val="1"/>
      <w:marLeft w:val="0"/>
      <w:marRight w:val="0"/>
      <w:marTop w:val="0"/>
      <w:marBottom w:val="0"/>
      <w:divBdr>
        <w:top w:val="none" w:sz="0" w:space="0" w:color="auto"/>
        <w:left w:val="none" w:sz="0" w:space="0" w:color="auto"/>
        <w:bottom w:val="none" w:sz="0" w:space="0" w:color="auto"/>
        <w:right w:val="none" w:sz="0" w:space="0" w:color="auto"/>
      </w:divBdr>
    </w:div>
    <w:div w:id="885290259">
      <w:bodyDiv w:val="1"/>
      <w:marLeft w:val="0"/>
      <w:marRight w:val="0"/>
      <w:marTop w:val="0"/>
      <w:marBottom w:val="0"/>
      <w:divBdr>
        <w:top w:val="none" w:sz="0" w:space="0" w:color="auto"/>
        <w:left w:val="none" w:sz="0" w:space="0" w:color="auto"/>
        <w:bottom w:val="none" w:sz="0" w:space="0" w:color="auto"/>
        <w:right w:val="none" w:sz="0" w:space="0" w:color="auto"/>
      </w:divBdr>
    </w:div>
    <w:div w:id="1122382884">
      <w:bodyDiv w:val="1"/>
      <w:marLeft w:val="0"/>
      <w:marRight w:val="0"/>
      <w:marTop w:val="0"/>
      <w:marBottom w:val="0"/>
      <w:divBdr>
        <w:top w:val="none" w:sz="0" w:space="0" w:color="auto"/>
        <w:left w:val="none" w:sz="0" w:space="0" w:color="auto"/>
        <w:bottom w:val="none" w:sz="0" w:space="0" w:color="auto"/>
        <w:right w:val="none" w:sz="0" w:space="0" w:color="auto"/>
      </w:divBdr>
    </w:div>
    <w:div w:id="1264991208">
      <w:bodyDiv w:val="1"/>
      <w:marLeft w:val="0"/>
      <w:marRight w:val="0"/>
      <w:marTop w:val="0"/>
      <w:marBottom w:val="0"/>
      <w:divBdr>
        <w:top w:val="none" w:sz="0" w:space="0" w:color="auto"/>
        <w:left w:val="none" w:sz="0" w:space="0" w:color="auto"/>
        <w:bottom w:val="none" w:sz="0" w:space="0" w:color="auto"/>
        <w:right w:val="none" w:sz="0" w:space="0" w:color="auto"/>
      </w:divBdr>
    </w:div>
    <w:div w:id="1339456068">
      <w:bodyDiv w:val="1"/>
      <w:marLeft w:val="0"/>
      <w:marRight w:val="0"/>
      <w:marTop w:val="0"/>
      <w:marBottom w:val="0"/>
      <w:divBdr>
        <w:top w:val="none" w:sz="0" w:space="0" w:color="auto"/>
        <w:left w:val="none" w:sz="0" w:space="0" w:color="auto"/>
        <w:bottom w:val="none" w:sz="0" w:space="0" w:color="auto"/>
        <w:right w:val="none" w:sz="0" w:space="0" w:color="auto"/>
      </w:divBdr>
    </w:div>
    <w:div w:id="1507473620">
      <w:bodyDiv w:val="1"/>
      <w:marLeft w:val="0"/>
      <w:marRight w:val="0"/>
      <w:marTop w:val="0"/>
      <w:marBottom w:val="0"/>
      <w:divBdr>
        <w:top w:val="none" w:sz="0" w:space="0" w:color="auto"/>
        <w:left w:val="none" w:sz="0" w:space="0" w:color="auto"/>
        <w:bottom w:val="none" w:sz="0" w:space="0" w:color="auto"/>
        <w:right w:val="none" w:sz="0" w:space="0" w:color="auto"/>
      </w:divBdr>
    </w:div>
    <w:div w:id="1828861837">
      <w:bodyDiv w:val="1"/>
      <w:marLeft w:val="0"/>
      <w:marRight w:val="0"/>
      <w:marTop w:val="0"/>
      <w:marBottom w:val="0"/>
      <w:divBdr>
        <w:top w:val="none" w:sz="0" w:space="0" w:color="auto"/>
        <w:left w:val="none" w:sz="0" w:space="0" w:color="auto"/>
        <w:bottom w:val="none" w:sz="0" w:space="0" w:color="auto"/>
        <w:right w:val="none" w:sz="0" w:space="0" w:color="auto"/>
      </w:divBdr>
    </w:div>
    <w:div w:id="1904826090">
      <w:bodyDiv w:val="1"/>
      <w:marLeft w:val="0"/>
      <w:marRight w:val="0"/>
      <w:marTop w:val="0"/>
      <w:marBottom w:val="0"/>
      <w:divBdr>
        <w:top w:val="none" w:sz="0" w:space="0" w:color="auto"/>
        <w:left w:val="none" w:sz="0" w:space="0" w:color="auto"/>
        <w:bottom w:val="none" w:sz="0" w:space="0" w:color="auto"/>
        <w:right w:val="none" w:sz="0" w:space="0" w:color="auto"/>
      </w:divBdr>
    </w:div>
    <w:div w:id="202860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3464</ap:Words>
  <ap:Characters>19053</ap:Characters>
  <ap:DocSecurity>0</ap:DocSecurity>
  <ap:Lines>158</ap:Lines>
  <ap:Paragraphs>44</ap:Paragraphs>
  <ap:ScaleCrop>false</ap:ScaleCrop>
  <ap:LinksUpToDate>false</ap:LinksUpToDate>
  <ap:CharactersWithSpaces>22473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2025-09-22T09:56:00.0000000Z</dcterms:created>
  <dcterms:modified xsi:type="dcterms:W3CDTF">2025-10-03T12:01:00.0000000Z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DepartementDirectie">
    <vt:lpwstr>2;#FEZ|373dcec0-742b-4b0b-82fd-da9f3dd3c25f</vt:lpwstr>
  </property>
  <property fmtid="{D5CDD505-2E9C-101B-9397-08002B2CF9AE}" pid="4" name="_dlc_DocIdItemGuid">
    <vt:lpwstr>a6fe6b4a-3b16-461b-b16f-abd3b69d29d7</vt:lpwstr>
  </property>
  <property fmtid="{D5CDD505-2E9C-101B-9397-08002B2CF9AE}" pid="5" name="_docset_NoMedatataSyncRequired">
    <vt:lpwstr>False</vt:lpwstr>
  </property>
  <property fmtid="{D5CDD505-2E9C-101B-9397-08002B2CF9AE}" pid="6" name="BZ_Country">
    <vt:lpwstr>10;#Not applicable|ec01d90b-9d0f-4785-8785-e1ea615196bf</vt:lpwstr>
  </property>
  <property fmtid="{D5CDD505-2E9C-101B-9397-08002B2CF9AE}" pid="7" name="BZ_Classification">
    <vt:lpwstr>4;#UNCLASSIFIED|d92c6340-bc14-4cb2-a9a6-6deda93c493b;#5;#NO MARKING|879e64ec-6597-483b-94db-f5f70afd7299</vt:lpwstr>
  </property>
  <property fmtid="{D5CDD505-2E9C-101B-9397-08002B2CF9AE}" pid="8" name="BZ_Forum">
    <vt:lpwstr>3;#Not applicable|0049e722-bfb1-4a3f-9d08-af7366a9af40</vt:lpwstr>
  </property>
  <property fmtid="{D5CDD505-2E9C-101B-9397-08002B2CF9AE}" pid="9" name="BZ_Theme">
    <vt:lpwstr>9;#Budget and accountability|72935488-e8d7-4765-95c3-88216b1ea696</vt:lpwstr>
  </property>
  <property fmtid="{D5CDD505-2E9C-101B-9397-08002B2CF9AE}" pid="10" name="MSIP_Label_f5339f15-c483-4670-87f9-f365ba551dce_Enabled">
    <vt:lpwstr>true</vt:lpwstr>
  </property>
  <property fmtid="{D5CDD505-2E9C-101B-9397-08002B2CF9AE}" pid="11" name="MSIP_Label_f5339f15-c483-4670-87f9-f365ba551dce_SetDate">
    <vt:lpwstr>2022-03-09T15:04:38Z</vt:lpwstr>
  </property>
  <property fmtid="{D5CDD505-2E9C-101B-9397-08002B2CF9AE}" pid="12" name="MSIP_Label_f5339f15-c483-4670-87f9-f365ba551dce_Method">
    <vt:lpwstr>Standard</vt:lpwstr>
  </property>
  <property fmtid="{D5CDD505-2E9C-101B-9397-08002B2CF9AE}" pid="13" name="MSIP_Label_f5339f15-c483-4670-87f9-f365ba551dce_Name">
    <vt:lpwstr>FIN-IRF-Dep. V.</vt:lpwstr>
  </property>
  <property fmtid="{D5CDD505-2E9C-101B-9397-08002B2CF9AE}" pid="14" name="MSIP_Label_f5339f15-c483-4670-87f9-f365ba551dce_SiteId">
    <vt:lpwstr>84712536-f524-40a0-913b-5d25ba502732</vt:lpwstr>
  </property>
  <property fmtid="{D5CDD505-2E9C-101B-9397-08002B2CF9AE}" pid="15" name="MSIP_Label_f5339f15-c483-4670-87f9-f365ba551dce_ActionId">
    <vt:lpwstr>571c4808-44bc-49d0-b581-4eaa6501126e</vt:lpwstr>
  </property>
  <property fmtid="{D5CDD505-2E9C-101B-9397-08002B2CF9AE}" pid="16" name="MSIP_Label_f5339f15-c483-4670-87f9-f365ba551dce_ContentBits">
    <vt:lpwstr>0</vt:lpwstr>
  </property>
  <property fmtid="{D5CDD505-2E9C-101B-9397-08002B2CF9AE}" pid="17" name="BZForumOrganisation">
    <vt:lpwstr>2;#Not applicable|0049e722-bfb1-4a3f-9d08-af7366a9af40</vt:lpwstr>
  </property>
  <property fmtid="{D5CDD505-2E9C-101B-9397-08002B2CF9AE}" pid="18" name="BZTheme">
    <vt:lpwstr>1;#Not applicable|ec01d90b-9d0f-4785-8785-e1ea615196bf</vt:lpwstr>
  </property>
  <property fmtid="{D5CDD505-2E9C-101B-9397-08002B2CF9AE}" pid="19" name="BZCountryState">
    <vt:lpwstr>3;#Not applicable|ec01d90b-9d0f-4785-8785-e1ea615196bf</vt:lpwstr>
  </property>
  <property fmtid="{D5CDD505-2E9C-101B-9397-08002B2CF9AE}" pid="20" name="BZMarking">
    <vt:lpwstr>5;#NO MARKING|0a4eb9ae-69eb-4d9e-b573-43ab99ef8592</vt:lpwstr>
  </property>
  <property fmtid="{D5CDD505-2E9C-101B-9397-08002B2CF9AE}" pid="21" name="BZClassification">
    <vt:lpwstr>4;#UNCLASSIFIED (U)|284e6a62-15ab-4017-be27-a1e965f4e940</vt:lpwstr>
  </property>
</Properties>
</file>