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2092"/>
        <w:gridCol w:w="6934"/>
      </w:tblGrid>
      <w:tr w:rsidRPr="00484089" w:rsidR="007E7481" w:rsidTr="003309F8" w14:paraId="5AD1DE80" w14:textId="77777777">
        <w:trPr>
          <w:trHeight w:val="507"/>
        </w:trPr>
        <w:tc>
          <w:tcPr>
            <w:tcW w:w="5000" w:type="pct"/>
            <w:gridSpan w:val="2"/>
            <w:shd w:val="clear" w:color="auto" w:fill="39870C"/>
            <w:hideMark/>
          </w:tcPr>
          <w:p w:rsidRPr="002B39FF" w:rsidR="007E7481" w:rsidP="003309F8" w:rsidRDefault="007E7481" w14:paraId="33BA5BDB" w14:textId="77777777">
            <w:pPr>
              <w:pStyle w:val="TableParagraph"/>
              <w:spacing w:before="57" w:line="252" w:lineRule="auto"/>
              <w:ind w:left="89"/>
              <w:rPr>
                <w:b/>
                <w:bCs/>
                <w:sz w:val="18"/>
                <w:szCs w:val="18"/>
                <w:lang w:val="en-US"/>
              </w:rPr>
            </w:pPr>
            <w:proofErr w:type="spellStart"/>
            <w:r w:rsidRPr="002B39FF">
              <w:rPr>
                <w:b/>
                <w:bCs/>
                <w:color w:val="FFFFFF"/>
                <w:sz w:val="18"/>
                <w:szCs w:val="18"/>
                <w:lang w:val="en-US"/>
              </w:rPr>
              <w:t>Bestedingsvoorstel</w:t>
            </w:r>
            <w:proofErr w:type="spellEnd"/>
            <w:r w:rsidRPr="002B39FF">
              <w:rPr>
                <w:lang w:val="en-US"/>
              </w:rPr>
              <w:t xml:space="preserve"> </w:t>
            </w:r>
            <w:r w:rsidRPr="002B39FF">
              <w:rPr>
                <w:b/>
                <w:bCs/>
                <w:color w:val="FFFFFF"/>
                <w:sz w:val="18"/>
                <w:szCs w:val="18"/>
                <w:lang w:val="en-US"/>
              </w:rPr>
              <w:t xml:space="preserve">URTF / Relief &amp; recovery operations </w:t>
            </w:r>
            <w:r>
              <w:rPr>
                <w:b/>
                <w:bCs/>
                <w:color w:val="FFFFFF"/>
                <w:sz w:val="18"/>
                <w:szCs w:val="18"/>
                <w:lang w:val="en-US"/>
              </w:rPr>
              <w:t>Wereldbank</w:t>
            </w:r>
          </w:p>
          <w:p w:rsidRPr="00484089" w:rsidR="007E7481" w:rsidP="003309F8" w:rsidRDefault="007E7481" w14:paraId="0F62C2A5" w14:textId="77777777">
            <w:pPr>
              <w:pStyle w:val="TableParagraph"/>
              <w:spacing w:before="4" w:line="252" w:lineRule="auto"/>
              <w:ind w:left="89"/>
              <w:rPr>
                <w:b/>
                <w:bCs/>
                <w:sz w:val="18"/>
                <w:szCs w:val="18"/>
              </w:rPr>
            </w:pPr>
            <w:r w:rsidRPr="00484089">
              <w:rPr>
                <w:b/>
                <w:bCs/>
                <w:color w:val="FFFFFF"/>
                <w:sz w:val="18"/>
                <w:szCs w:val="18"/>
              </w:rPr>
              <w:t>Onderbouwing doeltreffendheid, doelmatigheid en evaluatie (CW 3.1)</w:t>
            </w:r>
          </w:p>
        </w:tc>
      </w:tr>
      <w:tr w:rsidRPr="008027E2" w:rsidR="007E7481" w:rsidTr="003309F8" w14:paraId="77EB7F29" w14:textId="77777777">
        <w:trPr>
          <w:trHeight w:val="564"/>
        </w:trPr>
        <w:tc>
          <w:tcPr>
            <w:tcW w:w="1159" w:type="pct"/>
            <w:tcBorders>
              <w:top w:val="nil"/>
              <w:left w:val="nil"/>
              <w:bottom w:val="single" w:color="017BC7" w:sz="8" w:space="0"/>
              <w:right w:val="nil"/>
            </w:tcBorders>
            <w:shd w:val="clear" w:color="auto" w:fill="D6EFF9"/>
            <w:hideMark/>
          </w:tcPr>
          <w:p w:rsidRPr="00484089" w:rsidR="007E7481" w:rsidP="003309F8" w:rsidRDefault="007E7481" w14:paraId="4051B4EF" w14:textId="77777777">
            <w:pPr>
              <w:pStyle w:val="TableParagraph"/>
              <w:spacing w:before="57" w:line="252" w:lineRule="auto"/>
              <w:ind w:left="89"/>
              <w:rPr>
                <w:b/>
                <w:bCs/>
                <w:sz w:val="18"/>
                <w:szCs w:val="18"/>
              </w:rPr>
            </w:pPr>
            <w:r w:rsidRPr="00484089">
              <w:rPr>
                <w:b/>
                <w:bCs/>
                <w:sz w:val="18"/>
                <w:szCs w:val="18"/>
              </w:rPr>
              <w:t>1. Doel(en)</w:t>
            </w:r>
          </w:p>
        </w:tc>
        <w:tc>
          <w:tcPr>
            <w:tcW w:w="3841" w:type="pct"/>
            <w:tcBorders>
              <w:top w:val="nil"/>
              <w:left w:val="nil"/>
              <w:bottom w:val="single" w:color="017BC7" w:sz="8" w:space="0"/>
              <w:right w:val="nil"/>
            </w:tcBorders>
            <w:hideMark/>
          </w:tcPr>
          <w:p w:rsidRPr="00484089" w:rsidR="007E7481" w:rsidP="003309F8" w:rsidRDefault="007E7481" w14:paraId="199705E6" w14:textId="77777777">
            <w:pPr>
              <w:pStyle w:val="TableParagraph"/>
              <w:spacing w:before="8" w:line="252" w:lineRule="auto"/>
              <w:rPr>
                <w:sz w:val="18"/>
                <w:szCs w:val="18"/>
              </w:rPr>
            </w:pPr>
            <w:r w:rsidRPr="00484089">
              <w:rPr>
                <w:sz w:val="18"/>
                <w:szCs w:val="18"/>
              </w:rPr>
              <w:t>Welke doelen worden nagestreefd met het voorstel in termen van beoogde prestaties en effecten?</w:t>
            </w:r>
          </w:p>
          <w:p w:rsidR="007E7481" w:rsidP="003309F8" w:rsidRDefault="007E7481" w14:paraId="51CA108F" w14:textId="77777777">
            <w:pPr>
              <w:pStyle w:val="TableParagraph"/>
              <w:spacing w:before="8" w:line="252" w:lineRule="auto"/>
              <w:rPr>
                <w:sz w:val="18"/>
                <w:szCs w:val="18"/>
              </w:rPr>
            </w:pPr>
          </w:p>
          <w:p w:rsidRPr="003309F8" w:rsidR="007E7481" w:rsidP="003309F8" w:rsidRDefault="007E7481" w14:paraId="4FEA2D24" w14:textId="77777777">
            <w:pPr>
              <w:pStyle w:val="TableParagraph"/>
              <w:numPr>
                <w:ilvl w:val="0"/>
                <w:numId w:val="1"/>
              </w:numPr>
              <w:spacing w:before="8" w:line="252" w:lineRule="auto"/>
              <w:ind w:left="610"/>
              <w:rPr>
                <w:sz w:val="18"/>
                <w:szCs w:val="18"/>
              </w:rPr>
            </w:pPr>
            <w:r w:rsidRPr="00394DB0">
              <w:rPr>
                <w:rFonts w:eastAsia="Times New Roman"/>
                <w:sz w:val="18"/>
                <w:szCs w:val="18"/>
              </w:rPr>
              <w:t>Het URTF –</w:t>
            </w:r>
            <w:r w:rsidRPr="00394DB0">
              <w:rPr>
                <w:i/>
                <w:sz w:val="18"/>
                <w:szCs w:val="18"/>
              </w:rPr>
              <w:t xml:space="preserve"> </w:t>
            </w:r>
            <w:r w:rsidRPr="00394DB0">
              <w:rPr>
                <w:iCs/>
                <w:sz w:val="18"/>
                <w:szCs w:val="18"/>
              </w:rPr>
              <w:t>dat staat voor</w:t>
            </w:r>
            <w:r w:rsidRPr="00394DB0">
              <w:rPr>
                <w:i/>
                <w:sz w:val="18"/>
                <w:szCs w:val="18"/>
              </w:rPr>
              <w:t xml:space="preserve"> Ukraine Relief, Recovery, Reconstruction and Reform Trust Fund – </w:t>
            </w:r>
            <w:r w:rsidRPr="003B29E2">
              <w:rPr>
                <w:iCs/>
                <w:sz w:val="18"/>
                <w:szCs w:val="18"/>
              </w:rPr>
              <w:t>wordt</w:t>
            </w:r>
            <w:r w:rsidRPr="00394DB0">
              <w:rPr>
                <w:i/>
                <w:sz w:val="18"/>
                <w:szCs w:val="18"/>
              </w:rPr>
              <w:t xml:space="preserve"> </w:t>
            </w:r>
            <w:r w:rsidRPr="00394DB0">
              <w:rPr>
                <w:rFonts w:eastAsia="Times New Roman"/>
                <w:sz w:val="18"/>
                <w:szCs w:val="18"/>
              </w:rPr>
              <w:t>beheerd door de Wereldbank en biedt een gecoördineerd financierings-en ondersteuningsmechanisme om de regering van Oekraïne te helpen bij haar taken, met name op ministerieel niveau.</w:t>
            </w:r>
            <w:r>
              <w:rPr>
                <w:rFonts w:eastAsia="Times New Roman"/>
                <w:sz w:val="18"/>
                <w:szCs w:val="18"/>
              </w:rPr>
              <w:t xml:space="preserve"> </w:t>
            </w:r>
          </w:p>
          <w:p w:rsidRPr="00394DB0" w:rsidR="007E7481" w:rsidP="003309F8" w:rsidRDefault="007E7481" w14:paraId="65D2AD32" w14:textId="7A1DFA01">
            <w:pPr>
              <w:pStyle w:val="TableParagraph"/>
              <w:numPr>
                <w:ilvl w:val="0"/>
                <w:numId w:val="1"/>
              </w:numPr>
              <w:spacing w:before="8" w:line="252" w:lineRule="auto"/>
              <w:ind w:left="610"/>
              <w:rPr>
                <w:sz w:val="18"/>
                <w:szCs w:val="18"/>
              </w:rPr>
            </w:pPr>
            <w:r>
              <w:rPr>
                <w:rFonts w:eastAsia="Times New Roman"/>
                <w:sz w:val="18"/>
                <w:szCs w:val="18"/>
              </w:rPr>
              <w:t xml:space="preserve">De Nederlandse bijdrage aan URTF draagt bij aan de wederopbouw – om verdere schade te beperken en directe schade te herstellen, maar ook om bij te dragen aan de wederopbouw wanneer een bestand in zicht is. </w:t>
            </w:r>
          </w:p>
          <w:p w:rsidRPr="00394DB0" w:rsidR="007E7481" w:rsidP="003309F8" w:rsidRDefault="007E7481" w14:paraId="5E4B3F50" w14:textId="77777777">
            <w:pPr>
              <w:pStyle w:val="TableParagraph"/>
              <w:numPr>
                <w:ilvl w:val="0"/>
                <w:numId w:val="1"/>
              </w:numPr>
              <w:spacing w:before="8" w:line="252" w:lineRule="auto"/>
              <w:ind w:left="610"/>
              <w:rPr>
                <w:sz w:val="18"/>
                <w:szCs w:val="18"/>
              </w:rPr>
            </w:pPr>
            <w:r w:rsidRPr="00394DB0">
              <w:rPr>
                <w:rFonts w:eastAsia="Times New Roman"/>
                <w:sz w:val="18"/>
                <w:szCs w:val="18"/>
              </w:rPr>
              <w:t xml:space="preserve">Het betreft veelal het doorzetten van giften van donoren als een gift aan Oekraïense ministeries (gezondheidszorg, infrastructuur etc.). De hulpinspanningen via het URTF en de verdere ontwikkeling en uitvoering van de wederopbouw- en hervormingsagenda van Oekraïne maken eveneens deel uit van de URTF-inzet. Het Fonds verstrekt ook middelen voor advies en analytische werkzaamheden voor hulp- en wederopbouwinspanningen. </w:t>
            </w:r>
          </w:p>
          <w:p w:rsidRPr="00001EA8" w:rsidR="007E7481" w:rsidP="003309F8" w:rsidRDefault="007E7481" w14:paraId="07C8CC56" w14:textId="77777777">
            <w:pPr>
              <w:pStyle w:val="TableParagraph"/>
              <w:numPr>
                <w:ilvl w:val="0"/>
                <w:numId w:val="1"/>
              </w:numPr>
              <w:spacing w:before="8" w:line="252" w:lineRule="auto"/>
              <w:ind w:left="610"/>
              <w:rPr>
                <w:sz w:val="18"/>
                <w:szCs w:val="18"/>
              </w:rPr>
            </w:pPr>
            <w:r w:rsidRPr="00394DB0">
              <w:rPr>
                <w:rFonts w:eastAsia="Times New Roman"/>
                <w:sz w:val="18"/>
                <w:szCs w:val="18"/>
              </w:rPr>
              <w:t>Op dit moment heeft het trustfond van de Wereldbank op het gebied van energie in ieder geval een financieringstekort van USD 253</w:t>
            </w:r>
            <w:r>
              <w:rPr>
                <w:rFonts w:eastAsia="Times New Roman"/>
                <w:sz w:val="18"/>
                <w:szCs w:val="18"/>
              </w:rPr>
              <w:t xml:space="preserve"> miljoen</w:t>
            </w:r>
            <w:r w:rsidRPr="00394DB0">
              <w:rPr>
                <w:rFonts w:eastAsia="Times New Roman"/>
                <w:sz w:val="18"/>
                <w:szCs w:val="18"/>
              </w:rPr>
              <w:t xml:space="preserve">, zie onderaan de tabel voor het volledige overzicht. Aangezien het URTF Oekraïne direct kan helpen bij de liquiditeitsbehoefte op het </w:t>
            </w:r>
            <w:r w:rsidRPr="00394DB0">
              <w:rPr>
                <w:iCs/>
                <w:sz w:val="18"/>
                <w:szCs w:val="18"/>
              </w:rPr>
              <w:t xml:space="preserve">gebied van kritiek herstel en ondersteunen van kritieke overheidsdiensten, kan het kanaal op snelle wijze het verschil maken bij het plannen en implementeren van de herstel-, wederopbouw en hervormingsagenda van Oekraïne, bovendien in lijn met EU-toetredingseisen. </w:t>
            </w:r>
          </w:p>
          <w:p w:rsidRPr="00001EA8" w:rsidR="007E7481" w:rsidP="003309F8" w:rsidRDefault="007E7481" w14:paraId="3D53C4C7" w14:textId="77777777">
            <w:pPr>
              <w:pStyle w:val="TableParagraph"/>
              <w:numPr>
                <w:ilvl w:val="0"/>
                <w:numId w:val="1"/>
              </w:numPr>
              <w:spacing w:before="8" w:line="252" w:lineRule="auto"/>
              <w:ind w:left="610"/>
              <w:rPr>
                <w:sz w:val="18"/>
                <w:szCs w:val="18"/>
                <w:u w:val="single"/>
              </w:rPr>
            </w:pPr>
            <w:r w:rsidRPr="00001EA8">
              <w:rPr>
                <w:sz w:val="18"/>
                <w:szCs w:val="18"/>
                <w:u w:val="single"/>
              </w:rPr>
              <w:t>Het URTF kent zes lopende thematische projecten:</w:t>
            </w:r>
          </w:p>
          <w:p w:rsidRPr="00001EA8" w:rsidR="007E7481" w:rsidP="007E7481" w:rsidRDefault="007E7481" w14:paraId="51B0CF59" w14:textId="77777777">
            <w:pPr>
              <w:pStyle w:val="TableParagraph"/>
              <w:numPr>
                <w:ilvl w:val="0"/>
                <w:numId w:val="9"/>
              </w:numPr>
              <w:spacing w:before="8" w:line="252" w:lineRule="auto"/>
              <w:ind w:left="599" w:hanging="846"/>
              <w:rPr>
                <w:sz w:val="18"/>
                <w:szCs w:val="18"/>
              </w:rPr>
            </w:pPr>
            <w:r w:rsidRPr="00001EA8">
              <w:rPr>
                <w:sz w:val="18"/>
                <w:szCs w:val="18"/>
              </w:rPr>
              <w:t>HEAL: gericht op (herstel) gezondheidszorgstelsel;</w:t>
            </w:r>
          </w:p>
          <w:p w:rsidRPr="00001EA8" w:rsidR="007E7481" w:rsidP="007E7481" w:rsidRDefault="007E7481" w14:paraId="070F66FF" w14:textId="77777777">
            <w:pPr>
              <w:pStyle w:val="TableParagraph"/>
              <w:numPr>
                <w:ilvl w:val="0"/>
                <w:numId w:val="9"/>
              </w:numPr>
              <w:spacing w:before="8" w:line="252" w:lineRule="auto"/>
              <w:ind w:left="599" w:hanging="846"/>
              <w:rPr>
                <w:sz w:val="18"/>
                <w:szCs w:val="18"/>
              </w:rPr>
            </w:pPr>
            <w:r w:rsidRPr="00001EA8">
              <w:rPr>
                <w:sz w:val="18"/>
                <w:szCs w:val="18"/>
              </w:rPr>
              <w:t>RELINC: gericht op (herstel) infrastructuur;</w:t>
            </w:r>
          </w:p>
          <w:p w:rsidRPr="00001EA8" w:rsidR="007E7481" w:rsidP="003309F8" w:rsidRDefault="007E7481" w14:paraId="74EEFA0F" w14:textId="77777777">
            <w:pPr>
              <w:pStyle w:val="TableParagraph"/>
              <w:spacing w:before="8" w:line="252" w:lineRule="auto"/>
              <w:ind w:left="599"/>
              <w:rPr>
                <w:sz w:val="18"/>
                <w:szCs w:val="18"/>
              </w:rPr>
            </w:pPr>
            <w:proofErr w:type="spellStart"/>
            <w:r w:rsidRPr="00001EA8">
              <w:rPr>
                <w:sz w:val="18"/>
                <w:szCs w:val="18"/>
              </w:rPr>
              <w:t>RePower</w:t>
            </w:r>
            <w:proofErr w:type="spellEnd"/>
            <w:r w:rsidRPr="00001EA8">
              <w:rPr>
                <w:sz w:val="18"/>
                <w:szCs w:val="18"/>
              </w:rPr>
              <w:t>: gericht op (herstel) elektriciteitsnetwerk;</w:t>
            </w:r>
          </w:p>
          <w:p w:rsidRPr="00001EA8" w:rsidR="007E7481" w:rsidP="007E7481" w:rsidRDefault="007E7481" w14:paraId="0EFBFED9" w14:textId="77777777">
            <w:pPr>
              <w:pStyle w:val="TableParagraph"/>
              <w:numPr>
                <w:ilvl w:val="0"/>
                <w:numId w:val="9"/>
              </w:numPr>
              <w:spacing w:before="8" w:line="252" w:lineRule="auto"/>
              <w:ind w:left="599" w:hanging="846"/>
              <w:rPr>
                <w:sz w:val="18"/>
                <w:szCs w:val="18"/>
              </w:rPr>
            </w:pPr>
            <w:r w:rsidRPr="00001EA8">
              <w:rPr>
                <w:sz w:val="18"/>
                <w:szCs w:val="18"/>
              </w:rPr>
              <w:t>HOPE: gericht op (herstel) huisvesting;</w:t>
            </w:r>
          </w:p>
          <w:p w:rsidRPr="00001EA8" w:rsidR="007E7481" w:rsidP="003309F8" w:rsidRDefault="007E7481" w14:paraId="746C85CC" w14:textId="77777777">
            <w:pPr>
              <w:pStyle w:val="TableParagraph"/>
              <w:spacing w:before="8" w:line="252" w:lineRule="auto"/>
              <w:ind w:left="599"/>
              <w:rPr>
                <w:sz w:val="18"/>
                <w:szCs w:val="18"/>
                <w:u w:val="single"/>
              </w:rPr>
            </w:pPr>
            <w:r w:rsidRPr="00001EA8">
              <w:rPr>
                <w:sz w:val="18"/>
                <w:szCs w:val="18"/>
              </w:rPr>
              <w:t xml:space="preserve">ARISE: gericht op het herstellen van landbouw (inclusief noodsteun); </w:t>
            </w:r>
          </w:p>
          <w:p w:rsidRPr="00001EA8" w:rsidR="007E7481" w:rsidP="003309F8" w:rsidRDefault="007E7481" w14:paraId="0255E171" w14:textId="77777777">
            <w:pPr>
              <w:pStyle w:val="TableParagraph"/>
              <w:spacing w:before="8" w:line="252" w:lineRule="auto"/>
              <w:ind w:left="599"/>
              <w:rPr>
                <w:sz w:val="18"/>
                <w:szCs w:val="18"/>
              </w:rPr>
            </w:pPr>
            <w:r w:rsidRPr="00001EA8">
              <w:rPr>
                <w:sz w:val="18"/>
                <w:szCs w:val="18"/>
              </w:rPr>
              <w:t>LEARN: gericht op het ondersteunen van het onderwijssysteem.</w:t>
            </w:r>
          </w:p>
          <w:p w:rsidRPr="00BE2BF0" w:rsidR="007E7481" w:rsidP="003309F8" w:rsidRDefault="007E7481" w14:paraId="33B6691E" w14:textId="77777777">
            <w:pPr>
              <w:pStyle w:val="TableParagraph"/>
              <w:spacing w:before="8" w:line="252" w:lineRule="auto"/>
              <w:rPr>
                <w:sz w:val="18"/>
                <w:szCs w:val="18"/>
              </w:rPr>
            </w:pPr>
          </w:p>
        </w:tc>
      </w:tr>
      <w:tr w:rsidRPr="0099021D" w:rsidR="007E7481" w:rsidTr="003309F8" w14:paraId="1B8B6CA2" w14:textId="77777777">
        <w:trPr>
          <w:trHeight w:val="559"/>
        </w:trPr>
        <w:tc>
          <w:tcPr>
            <w:tcW w:w="1159" w:type="pct"/>
            <w:tcBorders>
              <w:top w:val="nil"/>
              <w:left w:val="nil"/>
              <w:bottom w:val="single" w:color="017BC7" w:sz="8" w:space="0"/>
              <w:right w:val="nil"/>
            </w:tcBorders>
            <w:shd w:val="clear" w:color="auto" w:fill="D6EFF9"/>
            <w:hideMark/>
          </w:tcPr>
          <w:p w:rsidRPr="0099021D" w:rsidR="007E7481" w:rsidP="003309F8" w:rsidRDefault="007E7481" w14:paraId="207A41E1" w14:textId="77777777">
            <w:pPr>
              <w:pStyle w:val="TableParagraph"/>
              <w:spacing w:before="57" w:line="252" w:lineRule="auto"/>
              <w:ind w:left="89"/>
              <w:rPr>
                <w:b/>
                <w:bCs/>
                <w:sz w:val="18"/>
                <w:szCs w:val="18"/>
              </w:rPr>
            </w:pPr>
            <w:r w:rsidRPr="0099021D">
              <w:rPr>
                <w:b/>
                <w:bCs/>
                <w:sz w:val="18"/>
                <w:szCs w:val="18"/>
              </w:rPr>
              <w:t>2. Beleidsinstrument(en)</w:t>
            </w:r>
          </w:p>
        </w:tc>
        <w:tc>
          <w:tcPr>
            <w:tcW w:w="3841" w:type="pct"/>
            <w:tcBorders>
              <w:top w:val="nil"/>
              <w:left w:val="nil"/>
              <w:bottom w:val="single" w:color="017BC7" w:sz="8" w:space="0"/>
              <w:right w:val="nil"/>
            </w:tcBorders>
          </w:tcPr>
          <w:p w:rsidRPr="0099021D" w:rsidR="007E7481" w:rsidP="003309F8" w:rsidRDefault="007E7481" w14:paraId="0D3E237E" w14:textId="77777777">
            <w:pPr>
              <w:pStyle w:val="TableParagraph"/>
              <w:spacing w:before="8" w:line="252" w:lineRule="auto"/>
              <w:rPr>
                <w:sz w:val="18"/>
                <w:szCs w:val="18"/>
              </w:rPr>
            </w:pPr>
            <w:r w:rsidRPr="0099021D">
              <w:rPr>
                <w:sz w:val="18"/>
                <w:szCs w:val="18"/>
              </w:rPr>
              <w:t>Welke beleidsinstrumenten worden ingezet om deze doelen te realiseren?</w:t>
            </w:r>
          </w:p>
          <w:p w:rsidRPr="0099021D" w:rsidR="007E7481" w:rsidP="003309F8" w:rsidRDefault="007E7481" w14:paraId="23E44894" w14:textId="77777777">
            <w:pPr>
              <w:pStyle w:val="TableParagraph"/>
              <w:spacing w:before="8" w:line="252" w:lineRule="auto"/>
              <w:rPr>
                <w:sz w:val="18"/>
                <w:szCs w:val="18"/>
              </w:rPr>
            </w:pPr>
          </w:p>
          <w:p w:rsidRPr="0099021D" w:rsidR="007E7481" w:rsidP="003309F8" w:rsidRDefault="007E7481" w14:paraId="07C12B43" w14:textId="77777777">
            <w:pPr>
              <w:pStyle w:val="TableParagraph"/>
              <w:numPr>
                <w:ilvl w:val="0"/>
                <w:numId w:val="1"/>
              </w:numPr>
              <w:spacing w:before="8" w:line="252" w:lineRule="auto"/>
              <w:ind w:left="610"/>
              <w:rPr>
                <w:sz w:val="18"/>
                <w:szCs w:val="18"/>
              </w:rPr>
            </w:pPr>
            <w:r w:rsidRPr="0099021D">
              <w:rPr>
                <w:sz w:val="18"/>
                <w:szCs w:val="18"/>
              </w:rPr>
              <w:t>Het URTF biedt door middel van sectorale begrotingssteun in de vorm van een financiële schenking ondersteuning aan de</w:t>
            </w:r>
            <w:r>
              <w:rPr>
                <w:sz w:val="18"/>
                <w:szCs w:val="18"/>
              </w:rPr>
              <w:t xml:space="preserve"> Oekraïense</w:t>
            </w:r>
            <w:r w:rsidRPr="0099021D">
              <w:rPr>
                <w:sz w:val="18"/>
                <w:szCs w:val="18"/>
              </w:rPr>
              <w:t xml:space="preserve"> economie en publieke overheidsdiensten door transportnetwerken en energienetwerken te herstellen, de gezondheidszorg</w:t>
            </w:r>
            <w:r>
              <w:rPr>
                <w:sz w:val="18"/>
                <w:szCs w:val="18"/>
              </w:rPr>
              <w:t xml:space="preserve"> te versterken</w:t>
            </w:r>
            <w:r w:rsidRPr="0099021D">
              <w:rPr>
                <w:sz w:val="18"/>
                <w:szCs w:val="18"/>
              </w:rPr>
              <w:t xml:space="preserve"> door verbeterde toegang en herstel van dienstverlening</w:t>
            </w:r>
            <w:r>
              <w:rPr>
                <w:sz w:val="18"/>
                <w:szCs w:val="18"/>
              </w:rPr>
              <w:t xml:space="preserve">. Ook verbiedt het URTF </w:t>
            </w:r>
            <w:r w:rsidRPr="0099021D">
              <w:rPr>
                <w:sz w:val="18"/>
                <w:szCs w:val="18"/>
              </w:rPr>
              <w:t>de toegang tot financiële diensten voor de agrarische sector</w:t>
            </w:r>
            <w:r>
              <w:rPr>
                <w:sz w:val="18"/>
                <w:szCs w:val="18"/>
              </w:rPr>
              <w:t xml:space="preserve"> en levert </w:t>
            </w:r>
            <w:r w:rsidRPr="0099021D">
              <w:rPr>
                <w:sz w:val="18"/>
                <w:szCs w:val="18"/>
              </w:rPr>
              <w:t xml:space="preserve">het steun t.a.v. transport en infrastructuur (zoals machines om herstel mogelijk te maken).  </w:t>
            </w:r>
          </w:p>
          <w:p w:rsidRPr="00394DB0" w:rsidR="007E7481" w:rsidP="003309F8" w:rsidRDefault="007E7481" w14:paraId="18A5667C" w14:textId="77777777">
            <w:pPr>
              <w:pStyle w:val="TableParagraph"/>
              <w:numPr>
                <w:ilvl w:val="0"/>
                <w:numId w:val="1"/>
              </w:numPr>
              <w:spacing w:before="8" w:line="252" w:lineRule="auto"/>
              <w:ind w:left="610"/>
              <w:rPr>
                <w:sz w:val="18"/>
                <w:szCs w:val="18"/>
              </w:rPr>
            </w:pPr>
            <w:r w:rsidRPr="0099021D">
              <w:rPr>
                <w:sz w:val="18"/>
                <w:szCs w:val="18"/>
              </w:rPr>
              <w:t xml:space="preserve">NL heeft </w:t>
            </w:r>
            <w:r>
              <w:rPr>
                <w:sz w:val="18"/>
                <w:szCs w:val="18"/>
              </w:rPr>
              <w:t>viermaa</w:t>
            </w:r>
            <w:r w:rsidRPr="0099021D">
              <w:rPr>
                <w:sz w:val="18"/>
                <w:szCs w:val="18"/>
              </w:rPr>
              <w:t xml:space="preserve">l eerder een schenking aan het URTF gedaan: </w:t>
            </w:r>
            <w:r>
              <w:rPr>
                <w:sz w:val="18"/>
                <w:szCs w:val="18"/>
              </w:rPr>
              <w:t xml:space="preserve">zie onderaan de overzichtstabel. </w:t>
            </w:r>
            <w:r w:rsidRPr="00394DB0">
              <w:rPr>
                <w:rFonts w:eastAsia="Times New Roman"/>
                <w:sz w:val="18"/>
                <w:szCs w:val="18"/>
              </w:rPr>
              <w:t>De NL bijdrage</w:t>
            </w:r>
            <w:r>
              <w:rPr>
                <w:rFonts w:eastAsia="Times New Roman"/>
                <w:sz w:val="18"/>
                <w:szCs w:val="18"/>
              </w:rPr>
              <w:t>s</w:t>
            </w:r>
            <w:r w:rsidRPr="00394DB0">
              <w:rPr>
                <w:rFonts w:eastAsia="Times New Roman"/>
                <w:sz w:val="18"/>
                <w:szCs w:val="18"/>
              </w:rPr>
              <w:t xml:space="preserve"> aan het URTF </w:t>
            </w:r>
            <w:r>
              <w:rPr>
                <w:rFonts w:eastAsia="Times New Roman"/>
                <w:sz w:val="18"/>
                <w:szCs w:val="18"/>
              </w:rPr>
              <w:t>zijn</w:t>
            </w:r>
            <w:r w:rsidRPr="00394DB0">
              <w:rPr>
                <w:rFonts w:eastAsia="Times New Roman"/>
                <w:sz w:val="18"/>
                <w:szCs w:val="18"/>
              </w:rPr>
              <w:t xml:space="preserve"> niet-geoormerkt, dit betekent dat het geld wordt besteed waar de meeste impact kan worden behaald. </w:t>
            </w:r>
          </w:p>
          <w:p w:rsidR="007E7481" w:rsidP="003309F8" w:rsidRDefault="007E7481" w14:paraId="1C595EEB" w14:textId="77777777">
            <w:pPr>
              <w:pStyle w:val="TableParagraph"/>
              <w:numPr>
                <w:ilvl w:val="0"/>
                <w:numId w:val="1"/>
              </w:numPr>
              <w:spacing w:before="8" w:line="252" w:lineRule="auto"/>
              <w:ind w:left="610"/>
              <w:rPr>
                <w:sz w:val="18"/>
                <w:szCs w:val="18"/>
              </w:rPr>
            </w:pPr>
            <w:r w:rsidRPr="0099021D">
              <w:rPr>
                <w:sz w:val="18"/>
                <w:szCs w:val="18"/>
              </w:rPr>
              <w:t xml:space="preserve">Deze middelen zijn inmiddels volledig uitgeput. Hiermee zijn o.a. de volgende resultaten behaald – niet uitputtend maar ter illustratie: </w:t>
            </w:r>
          </w:p>
          <w:p w:rsidR="007E7481" w:rsidP="003309F8" w:rsidRDefault="007E7481" w14:paraId="2B9B15DE" w14:textId="77777777">
            <w:pPr>
              <w:pStyle w:val="TableParagraph"/>
              <w:numPr>
                <w:ilvl w:val="0"/>
                <w:numId w:val="1"/>
              </w:numPr>
              <w:spacing w:before="8" w:line="252" w:lineRule="auto"/>
              <w:ind w:left="610"/>
              <w:rPr>
                <w:sz w:val="18"/>
                <w:szCs w:val="18"/>
              </w:rPr>
            </w:pPr>
            <w:r w:rsidRPr="0099021D">
              <w:rPr>
                <w:sz w:val="18"/>
                <w:szCs w:val="18"/>
              </w:rPr>
              <w:t>24.000 Oekraïners hebben financiering gekregen voor noodzakelijke reparaties aan beschadigde huizen (ramen, daken), 70.000 Oekraïners hebben toegang gekregen tot kritieke revalidatiediensten, 11.000 Oekraïners hebben geestelijk gezondheidszorg gekregen</w:t>
            </w:r>
            <w:r>
              <w:rPr>
                <w:sz w:val="18"/>
                <w:szCs w:val="18"/>
              </w:rPr>
              <w:t xml:space="preserve">. </w:t>
            </w:r>
            <w:r w:rsidRPr="0099021D">
              <w:rPr>
                <w:sz w:val="18"/>
                <w:szCs w:val="18"/>
              </w:rPr>
              <w:t xml:space="preserve">Ook heeft Oekraïne middelen ontvangen voor de aanschaf van zes autotransformatoren die cruciaal zijn voor de transmissie en distributie van het elektriciteitsnetwerk (42 van de in totaal 92 transformatoren zijn vernietigd of beschadigd tijdens de oorlog). </w:t>
            </w:r>
          </w:p>
          <w:p w:rsidR="007E7481" w:rsidP="003309F8" w:rsidRDefault="007E7481" w14:paraId="77A2BDD6" w14:textId="77777777">
            <w:pPr>
              <w:pStyle w:val="TableParagraph"/>
              <w:numPr>
                <w:ilvl w:val="0"/>
                <w:numId w:val="1"/>
              </w:numPr>
              <w:spacing w:before="8" w:line="252" w:lineRule="auto"/>
              <w:ind w:left="610"/>
              <w:rPr>
                <w:sz w:val="18"/>
                <w:szCs w:val="18"/>
              </w:rPr>
            </w:pPr>
            <w:r w:rsidRPr="00394DB0">
              <w:rPr>
                <w:sz w:val="18"/>
                <w:szCs w:val="18"/>
              </w:rPr>
              <w:t>De Oekraïense Spoorwegen hebben 800.000 ton humanitaire hulp vervoerd en 84 bedrijven uit conflictgebieden verplaatst. In 2023 vervoerden de spoorwegen 1.000.058 ton vracht, waarvan 53% uit graan bestond. In 2024 steeg het transportvolume naar 2,75 miljoen ton, waarvan 58% bestond uit graantransporten.</w:t>
            </w:r>
          </w:p>
          <w:p w:rsidRPr="00394DB0" w:rsidR="007E7481" w:rsidP="003309F8" w:rsidRDefault="007E7481" w14:paraId="3959B2EE" w14:textId="77777777">
            <w:pPr>
              <w:pStyle w:val="TableParagraph"/>
              <w:numPr>
                <w:ilvl w:val="0"/>
                <w:numId w:val="1"/>
              </w:numPr>
              <w:spacing w:before="8" w:line="252" w:lineRule="auto"/>
              <w:ind w:left="610"/>
              <w:rPr>
                <w:sz w:val="18"/>
                <w:szCs w:val="18"/>
              </w:rPr>
            </w:pPr>
            <w:r w:rsidRPr="00394DB0">
              <w:rPr>
                <w:sz w:val="18"/>
                <w:szCs w:val="18"/>
              </w:rPr>
              <w:lastRenderedPageBreak/>
              <w:t>In 2024 ontvingen de Oekraïense Spoorwegen 89 eenheden grondverzet- en tractormaterieel, waarmee 60% van de verouderde machines uit Rusland en Wit-Rusland werd vervangen.</w:t>
            </w:r>
          </w:p>
          <w:p w:rsidRPr="00394DB0" w:rsidR="007E7481" w:rsidP="003309F8" w:rsidRDefault="007E7481" w14:paraId="4132156D" w14:textId="77777777">
            <w:pPr>
              <w:pStyle w:val="TableParagraph"/>
              <w:numPr>
                <w:ilvl w:val="0"/>
                <w:numId w:val="1"/>
              </w:numPr>
              <w:spacing w:before="8" w:line="252" w:lineRule="auto"/>
              <w:ind w:left="610"/>
              <w:rPr>
                <w:sz w:val="18"/>
                <w:szCs w:val="18"/>
              </w:rPr>
            </w:pPr>
            <w:r>
              <w:rPr>
                <w:sz w:val="18"/>
                <w:szCs w:val="18"/>
              </w:rPr>
              <w:t>Het URTF heeft,</w:t>
            </w:r>
            <w:r w:rsidRPr="00394DB0">
              <w:rPr>
                <w:sz w:val="18"/>
                <w:szCs w:val="18"/>
              </w:rPr>
              <w:t xml:space="preserve"> door ge</w:t>
            </w:r>
            <w:r>
              <w:rPr>
                <w:sz w:val="18"/>
                <w:szCs w:val="18"/>
              </w:rPr>
              <w:t>pleegde</w:t>
            </w:r>
            <w:r w:rsidRPr="00394DB0">
              <w:rPr>
                <w:sz w:val="18"/>
                <w:szCs w:val="18"/>
              </w:rPr>
              <w:t xml:space="preserve"> aanvallen op</w:t>
            </w:r>
            <w:r>
              <w:rPr>
                <w:sz w:val="18"/>
                <w:szCs w:val="18"/>
              </w:rPr>
              <w:t xml:space="preserve"> de Oekraïense</w:t>
            </w:r>
            <w:r w:rsidRPr="00394DB0">
              <w:rPr>
                <w:sz w:val="18"/>
                <w:szCs w:val="18"/>
              </w:rPr>
              <w:t xml:space="preserve"> energie-infrastructuur, zonnepanelen gelegd op eerstelijnsgezondheidsvoorzieningen. Er is namelijk een reëel risico dat medische voorzieningen in heel Oekraïne zonder stroom komen te zitten indien er een stroomuitval plaatsvindt. Het hebben van elektriciteit is immers van cruciaal belang voor medische voorzieningen, zodat levensreddende apparatuur kan werken en artsen ononderbroken medische zorg kunnen verlenen</w:t>
            </w:r>
            <w:r>
              <w:rPr>
                <w:sz w:val="18"/>
                <w:szCs w:val="18"/>
              </w:rPr>
              <w:t>.</w:t>
            </w:r>
          </w:p>
          <w:p w:rsidRPr="0099021D" w:rsidR="007E7481" w:rsidP="003309F8" w:rsidRDefault="007E7481" w14:paraId="396CBC95" w14:textId="77777777">
            <w:pPr>
              <w:pStyle w:val="TableParagraph"/>
              <w:numPr>
                <w:ilvl w:val="0"/>
                <w:numId w:val="1"/>
              </w:numPr>
              <w:spacing w:before="8" w:line="252" w:lineRule="auto"/>
              <w:ind w:left="610"/>
              <w:rPr>
                <w:sz w:val="18"/>
                <w:szCs w:val="18"/>
              </w:rPr>
            </w:pPr>
          </w:p>
        </w:tc>
      </w:tr>
      <w:tr w:rsidRPr="0099021D" w:rsidR="007E7481" w:rsidTr="003309F8" w14:paraId="2A1E7A70" w14:textId="77777777">
        <w:trPr>
          <w:trHeight w:val="559"/>
        </w:trPr>
        <w:tc>
          <w:tcPr>
            <w:tcW w:w="1159" w:type="pct"/>
            <w:tcBorders>
              <w:top w:val="nil"/>
              <w:left w:val="nil"/>
              <w:bottom w:val="single" w:color="017BC7" w:sz="8" w:space="0"/>
              <w:right w:val="nil"/>
            </w:tcBorders>
            <w:shd w:val="clear" w:color="auto" w:fill="D6EFF9"/>
            <w:hideMark/>
          </w:tcPr>
          <w:p w:rsidRPr="0099021D" w:rsidR="007E7481" w:rsidP="003309F8" w:rsidRDefault="007E7481" w14:paraId="4ED347C9" w14:textId="77777777">
            <w:pPr>
              <w:pStyle w:val="TableParagraph"/>
              <w:spacing w:before="52" w:line="252" w:lineRule="auto"/>
              <w:ind w:left="89"/>
              <w:rPr>
                <w:b/>
                <w:bCs/>
                <w:sz w:val="18"/>
                <w:szCs w:val="18"/>
              </w:rPr>
            </w:pPr>
            <w:r w:rsidRPr="0099021D">
              <w:rPr>
                <w:b/>
                <w:bCs/>
                <w:sz w:val="18"/>
                <w:szCs w:val="18"/>
              </w:rPr>
              <w:lastRenderedPageBreak/>
              <w:t xml:space="preserve">3. </w:t>
            </w:r>
          </w:p>
          <w:p w:rsidRPr="0099021D" w:rsidR="007E7481" w:rsidP="003309F8" w:rsidRDefault="007E7481" w14:paraId="1A75C80F" w14:textId="77777777">
            <w:pPr>
              <w:pStyle w:val="TableParagraph"/>
              <w:spacing w:before="52" w:line="252" w:lineRule="auto"/>
              <w:ind w:left="89"/>
              <w:rPr>
                <w:b/>
                <w:bCs/>
                <w:sz w:val="18"/>
                <w:szCs w:val="18"/>
              </w:rPr>
            </w:pPr>
            <w:r w:rsidRPr="0099021D">
              <w:rPr>
                <w:b/>
                <w:bCs/>
                <w:sz w:val="18"/>
                <w:szCs w:val="18"/>
              </w:rPr>
              <w:t>A. Financiële gevolgen voor het Rijk</w:t>
            </w:r>
          </w:p>
        </w:tc>
        <w:tc>
          <w:tcPr>
            <w:tcW w:w="3841" w:type="pct"/>
            <w:tcBorders>
              <w:top w:val="nil"/>
              <w:left w:val="nil"/>
              <w:bottom w:val="single" w:color="017BC7" w:sz="8" w:space="0"/>
              <w:right w:val="nil"/>
            </w:tcBorders>
            <w:hideMark/>
          </w:tcPr>
          <w:p w:rsidRPr="0099021D" w:rsidR="007E7481" w:rsidP="003309F8" w:rsidRDefault="007E7481" w14:paraId="3388995A" w14:textId="77777777">
            <w:pPr>
              <w:spacing w:before="52"/>
              <w:ind w:left="89"/>
              <w:rPr>
                <w:sz w:val="18"/>
                <w:szCs w:val="18"/>
              </w:rPr>
            </w:pPr>
            <w:r w:rsidRPr="0099021D">
              <w:rPr>
                <w:sz w:val="18"/>
                <w:szCs w:val="18"/>
              </w:rPr>
              <w:t>Welke financiële gevolgen heeft het voorstel voor de Rijksbegroting?</w:t>
            </w:r>
            <w:r w:rsidRPr="0099021D">
              <w:rPr>
                <w:sz w:val="18"/>
                <w:szCs w:val="18"/>
              </w:rPr>
              <w:br/>
            </w:r>
          </w:p>
          <w:p w:rsidRPr="0099021D" w:rsidR="007E7481" w:rsidP="003309F8" w:rsidRDefault="007E7481" w14:paraId="1A6FEA7D" w14:textId="77777777">
            <w:pPr>
              <w:numPr>
                <w:ilvl w:val="0"/>
                <w:numId w:val="2"/>
              </w:numPr>
              <w:spacing w:before="52"/>
              <w:rPr>
                <w:sz w:val="18"/>
                <w:szCs w:val="18"/>
              </w:rPr>
            </w:pPr>
            <w:r w:rsidRPr="0099021D">
              <w:rPr>
                <w:sz w:val="18"/>
                <w:szCs w:val="18"/>
              </w:rPr>
              <w:t xml:space="preserve">Het betreft een </w:t>
            </w:r>
            <w:r>
              <w:rPr>
                <w:sz w:val="18"/>
                <w:szCs w:val="18"/>
              </w:rPr>
              <w:t>inzet</w:t>
            </w:r>
            <w:r w:rsidRPr="0099021D">
              <w:rPr>
                <w:sz w:val="18"/>
                <w:szCs w:val="18"/>
              </w:rPr>
              <w:t xml:space="preserve"> van EUR </w:t>
            </w:r>
            <w:r>
              <w:rPr>
                <w:sz w:val="18"/>
                <w:szCs w:val="18"/>
              </w:rPr>
              <w:t xml:space="preserve">55 </w:t>
            </w:r>
            <w:r w:rsidRPr="0099021D">
              <w:rPr>
                <w:sz w:val="18"/>
                <w:szCs w:val="18"/>
              </w:rPr>
              <w:t xml:space="preserve">mln. </w:t>
            </w:r>
            <w:r>
              <w:rPr>
                <w:sz w:val="18"/>
                <w:szCs w:val="18"/>
              </w:rPr>
              <w:t>voor 2026. Dit is in lijn met de bijdrages die Nederland de afgelopen jaren (vanaf 2022), op jaarlijkse basis, heeft bijgedragen.</w:t>
            </w:r>
          </w:p>
          <w:p w:rsidRPr="00394DB0" w:rsidR="007E7481" w:rsidP="003309F8" w:rsidRDefault="007E7481" w14:paraId="52837A40" w14:textId="77777777">
            <w:pPr>
              <w:numPr>
                <w:ilvl w:val="0"/>
                <w:numId w:val="2"/>
              </w:numPr>
              <w:spacing w:before="52"/>
              <w:rPr>
                <w:sz w:val="18"/>
                <w:szCs w:val="18"/>
              </w:rPr>
            </w:pPr>
            <w:r w:rsidRPr="0099021D">
              <w:rPr>
                <w:sz w:val="18"/>
                <w:szCs w:val="18"/>
              </w:rPr>
              <w:t>Zie onderaan de tabel met de NL bijdragen tot nu toe: in totaal is er door NL EUR 263 m</w:t>
            </w:r>
            <w:r>
              <w:rPr>
                <w:sz w:val="18"/>
                <w:szCs w:val="18"/>
              </w:rPr>
              <w:t>iljoen b</w:t>
            </w:r>
            <w:r w:rsidRPr="0099021D">
              <w:rPr>
                <w:sz w:val="18"/>
                <w:szCs w:val="18"/>
              </w:rPr>
              <w:t>ijgedragen aan het URTF.</w:t>
            </w:r>
          </w:p>
          <w:p w:rsidRPr="0099021D" w:rsidR="007E7481" w:rsidP="003309F8" w:rsidRDefault="007E7481" w14:paraId="18F5D5F9" w14:textId="77777777">
            <w:pPr>
              <w:spacing w:before="52"/>
              <w:ind w:left="89"/>
              <w:rPr>
                <w:sz w:val="18"/>
                <w:szCs w:val="18"/>
              </w:rPr>
            </w:pPr>
          </w:p>
        </w:tc>
      </w:tr>
      <w:tr w:rsidRPr="0099021D" w:rsidR="007E7481" w:rsidTr="003309F8" w14:paraId="4984C9AD" w14:textId="77777777">
        <w:trPr>
          <w:trHeight w:val="559"/>
        </w:trPr>
        <w:tc>
          <w:tcPr>
            <w:tcW w:w="1159" w:type="pct"/>
            <w:tcBorders>
              <w:top w:val="nil"/>
              <w:left w:val="nil"/>
              <w:bottom w:val="single" w:color="017BC7" w:sz="8" w:space="0"/>
              <w:right w:val="nil"/>
            </w:tcBorders>
            <w:shd w:val="clear" w:color="auto" w:fill="D6EFF9"/>
            <w:hideMark/>
          </w:tcPr>
          <w:p w:rsidRPr="0099021D" w:rsidR="007E7481" w:rsidP="003309F8" w:rsidRDefault="007E7481" w14:paraId="6E4BF161" w14:textId="77777777">
            <w:pPr>
              <w:pStyle w:val="TableParagraph"/>
              <w:spacing w:before="52"/>
              <w:rPr>
                <w:b/>
                <w:bCs/>
                <w:sz w:val="18"/>
                <w:szCs w:val="18"/>
              </w:rPr>
            </w:pPr>
            <w:r w:rsidRPr="0099021D">
              <w:rPr>
                <w:b/>
                <w:bCs/>
                <w:sz w:val="18"/>
                <w:szCs w:val="18"/>
              </w:rPr>
              <w:t>B. Financiële gevolgen voor maatschappelijke sectoren</w:t>
            </w:r>
          </w:p>
        </w:tc>
        <w:tc>
          <w:tcPr>
            <w:tcW w:w="3841" w:type="pct"/>
            <w:tcBorders>
              <w:top w:val="nil"/>
              <w:left w:val="nil"/>
              <w:bottom w:val="single" w:color="017BC7" w:sz="8" w:space="0"/>
              <w:right w:val="nil"/>
            </w:tcBorders>
            <w:hideMark/>
          </w:tcPr>
          <w:p w:rsidRPr="0099021D" w:rsidR="007E7481" w:rsidP="003309F8" w:rsidRDefault="007E7481" w14:paraId="7277F625" w14:textId="77777777">
            <w:pPr>
              <w:spacing w:before="52"/>
              <w:ind w:left="89"/>
              <w:rPr>
                <w:sz w:val="18"/>
                <w:szCs w:val="18"/>
              </w:rPr>
            </w:pPr>
            <w:r w:rsidRPr="0099021D">
              <w:rPr>
                <w:sz w:val="18"/>
                <w:szCs w:val="18"/>
              </w:rPr>
              <w:t>Welke financiële gevolgen heeft het voorstel voor maatschappelijke sectoren (als van toepassing)?</w:t>
            </w:r>
          </w:p>
          <w:p w:rsidRPr="0099021D" w:rsidR="007E7481" w:rsidP="003309F8" w:rsidRDefault="007E7481" w14:paraId="7F2AD675" w14:textId="77777777">
            <w:pPr>
              <w:spacing w:before="52"/>
              <w:ind w:left="89"/>
              <w:rPr>
                <w:sz w:val="18"/>
                <w:szCs w:val="18"/>
              </w:rPr>
            </w:pPr>
          </w:p>
          <w:p w:rsidRPr="00043176" w:rsidR="007E7481" w:rsidP="003309F8" w:rsidRDefault="007E7481" w14:paraId="297251CC" w14:textId="77777777">
            <w:pPr>
              <w:spacing w:before="52"/>
              <w:rPr>
                <w:rFonts w:asciiTheme="minorHAnsi" w:hAnsiTheme="minorHAnsi" w:cstheme="minorHAnsi"/>
                <w:sz w:val="18"/>
                <w:szCs w:val="18"/>
              </w:rPr>
            </w:pPr>
            <w:r w:rsidRPr="00043176">
              <w:rPr>
                <w:rFonts w:asciiTheme="minorHAnsi" w:hAnsiTheme="minorHAnsi" w:cstheme="minorHAnsi"/>
                <w:sz w:val="18"/>
                <w:szCs w:val="18"/>
              </w:rPr>
              <w:t>N.v.t.</w:t>
            </w:r>
          </w:p>
          <w:p w:rsidRPr="0099021D" w:rsidR="007E7481" w:rsidP="003309F8" w:rsidRDefault="007E7481" w14:paraId="21B8CC5D" w14:textId="77777777">
            <w:pPr>
              <w:spacing w:before="52"/>
              <w:ind w:left="89"/>
              <w:rPr>
                <w:sz w:val="18"/>
                <w:szCs w:val="18"/>
              </w:rPr>
            </w:pPr>
          </w:p>
        </w:tc>
      </w:tr>
      <w:tr w:rsidRPr="0099021D" w:rsidR="007E7481" w:rsidTr="003309F8" w14:paraId="41F769DC" w14:textId="77777777">
        <w:trPr>
          <w:trHeight w:val="759"/>
        </w:trPr>
        <w:tc>
          <w:tcPr>
            <w:tcW w:w="1159" w:type="pct"/>
            <w:tcBorders>
              <w:top w:val="nil"/>
              <w:left w:val="nil"/>
              <w:bottom w:val="single" w:color="017BC7" w:sz="8" w:space="0"/>
              <w:right w:val="nil"/>
            </w:tcBorders>
            <w:shd w:val="clear" w:color="auto" w:fill="D6EFF9"/>
            <w:hideMark/>
          </w:tcPr>
          <w:p w:rsidRPr="0099021D" w:rsidR="007E7481" w:rsidP="003309F8" w:rsidRDefault="007E7481" w14:paraId="0639CD0A" w14:textId="77777777">
            <w:pPr>
              <w:pStyle w:val="TableParagraph"/>
              <w:spacing w:before="52" w:line="252" w:lineRule="auto"/>
              <w:ind w:left="89"/>
              <w:rPr>
                <w:b/>
                <w:bCs/>
                <w:sz w:val="18"/>
                <w:szCs w:val="18"/>
              </w:rPr>
            </w:pPr>
            <w:r w:rsidRPr="0099021D">
              <w:rPr>
                <w:b/>
                <w:bCs/>
                <w:sz w:val="18"/>
                <w:szCs w:val="18"/>
              </w:rPr>
              <w:t>4. Nagestreefde doeltreffendheid</w:t>
            </w:r>
          </w:p>
        </w:tc>
        <w:tc>
          <w:tcPr>
            <w:tcW w:w="3841" w:type="pct"/>
            <w:tcBorders>
              <w:top w:val="nil"/>
              <w:left w:val="nil"/>
              <w:bottom w:val="single" w:color="017BC7" w:sz="8" w:space="0"/>
              <w:right w:val="nil"/>
            </w:tcBorders>
            <w:hideMark/>
          </w:tcPr>
          <w:p w:rsidRPr="0099021D" w:rsidR="007E7481" w:rsidP="003309F8" w:rsidRDefault="007E7481" w14:paraId="727BAE47" w14:textId="77777777">
            <w:pPr>
              <w:pStyle w:val="TableParagraph"/>
              <w:spacing w:before="4" w:line="252" w:lineRule="auto"/>
              <w:rPr>
                <w:sz w:val="18"/>
                <w:szCs w:val="18"/>
              </w:rPr>
            </w:pPr>
            <w:r w:rsidRPr="0099021D">
              <w:rPr>
                <w:sz w:val="18"/>
                <w:szCs w:val="18"/>
              </w:rPr>
              <w:t>Op welke wijze en in welke mate wordt verwacht dat het beleidsinstrumentarium gaat bijdragen aan de beoogde prestaties en effecten?</w:t>
            </w:r>
          </w:p>
          <w:p w:rsidRPr="0099021D" w:rsidR="007E7481" w:rsidP="003309F8" w:rsidRDefault="007E7481" w14:paraId="0DD9DC19" w14:textId="77777777">
            <w:pPr>
              <w:pStyle w:val="TableParagraph"/>
              <w:spacing w:before="4" w:line="252" w:lineRule="auto"/>
              <w:rPr>
                <w:sz w:val="18"/>
                <w:szCs w:val="18"/>
              </w:rPr>
            </w:pPr>
          </w:p>
          <w:p w:rsidR="007E7481" w:rsidP="003309F8" w:rsidRDefault="007E7481" w14:paraId="79DD59C2" w14:textId="77777777">
            <w:pPr>
              <w:pStyle w:val="TableParagraph"/>
              <w:numPr>
                <w:ilvl w:val="0"/>
                <w:numId w:val="1"/>
              </w:numPr>
              <w:spacing w:before="4" w:line="252" w:lineRule="auto"/>
              <w:ind w:left="610"/>
              <w:rPr>
                <w:sz w:val="18"/>
                <w:szCs w:val="18"/>
              </w:rPr>
            </w:pPr>
            <w:r w:rsidRPr="0099021D">
              <w:rPr>
                <w:sz w:val="18"/>
                <w:szCs w:val="18"/>
              </w:rPr>
              <w:t xml:space="preserve">Het URTF van de Wereldbank was en is het eerste fonds dat OEK actief kon ondersteunen in de noden, opgericht in oktober 2022. Het kanaal heeft zich bewezen omdat het heeft laten zien dat het kan leveren en tot resultaten leidt, met de benodigde </w:t>
            </w:r>
            <w:r w:rsidRPr="0099021D">
              <w:rPr>
                <w:i/>
                <w:iCs/>
                <w:sz w:val="18"/>
                <w:szCs w:val="18"/>
              </w:rPr>
              <w:t xml:space="preserve">checks and </w:t>
            </w:r>
            <w:proofErr w:type="spellStart"/>
            <w:r w:rsidRPr="0099021D">
              <w:rPr>
                <w:i/>
                <w:iCs/>
                <w:sz w:val="18"/>
                <w:szCs w:val="18"/>
              </w:rPr>
              <w:t>balances</w:t>
            </w:r>
            <w:proofErr w:type="spellEnd"/>
            <w:r w:rsidRPr="0099021D">
              <w:rPr>
                <w:i/>
                <w:iCs/>
                <w:sz w:val="18"/>
                <w:szCs w:val="18"/>
              </w:rPr>
              <w:t xml:space="preserve"> </w:t>
            </w:r>
            <w:r w:rsidRPr="0099021D">
              <w:rPr>
                <w:sz w:val="18"/>
                <w:szCs w:val="18"/>
              </w:rPr>
              <w:t>voor de effectieve, betrouwbare en doelmatige manier van besteding van middelen.</w:t>
            </w:r>
            <w:r>
              <w:rPr>
                <w:sz w:val="18"/>
                <w:szCs w:val="18"/>
              </w:rPr>
              <w:t xml:space="preserve"> </w:t>
            </w:r>
          </w:p>
          <w:p w:rsidRPr="00B86C8F" w:rsidR="007E7481" w:rsidP="003309F8" w:rsidRDefault="007E7481" w14:paraId="3BC96DE6" w14:textId="77777777">
            <w:pPr>
              <w:pStyle w:val="TableParagraph"/>
              <w:numPr>
                <w:ilvl w:val="0"/>
                <w:numId w:val="1"/>
              </w:numPr>
              <w:spacing w:before="4" w:line="252" w:lineRule="auto"/>
              <w:ind w:left="610"/>
              <w:rPr>
                <w:sz w:val="18"/>
                <w:szCs w:val="18"/>
              </w:rPr>
            </w:pPr>
            <w:r>
              <w:rPr>
                <w:sz w:val="18"/>
                <w:szCs w:val="18"/>
              </w:rPr>
              <w:t xml:space="preserve">Het URTF leidt tot concrete resultaten in Oekraïne op het gebied van steun en wederopbouw. Enkele voorbeelden: 1) er hebben 33.000 land- en tuinbouwers in Oekraïne toegang gekregen tot betaalbare financiering, waardoor de lange-termijn voedselzekerheid in Oekraïne is versterkt en hiermee ook de lange termijn weerbaarheid van het land; 2) meer dan </w:t>
            </w:r>
            <w:r w:rsidRPr="00B86C8F">
              <w:rPr>
                <w:sz w:val="18"/>
                <w:szCs w:val="18"/>
              </w:rPr>
              <w:t xml:space="preserve">36.500 </w:t>
            </w:r>
            <w:r>
              <w:rPr>
                <w:sz w:val="18"/>
                <w:szCs w:val="18"/>
              </w:rPr>
              <w:t xml:space="preserve">Oekraïense </w:t>
            </w:r>
            <w:r w:rsidRPr="00B86C8F">
              <w:rPr>
                <w:sz w:val="18"/>
                <w:szCs w:val="18"/>
              </w:rPr>
              <w:t>huishoudens, wat neerkomt op bijna 100.000 begunstigden, hebben compensatie ontvangen voor het herstel van hun huizen die beschadigd zijn door de Russische invasie in Oekraïne</w:t>
            </w:r>
            <w:r>
              <w:rPr>
                <w:sz w:val="18"/>
                <w:szCs w:val="18"/>
              </w:rPr>
              <w:t xml:space="preserve"> en 3) </w:t>
            </w:r>
            <w:r w:rsidRPr="00B86C8F">
              <w:rPr>
                <w:sz w:val="18"/>
                <w:szCs w:val="18"/>
              </w:rPr>
              <w:t xml:space="preserve">Bijna 1 miljoen mensen die het </w:t>
            </w:r>
            <w:r w:rsidRPr="00B86C8F">
              <w:rPr>
                <w:i/>
                <w:sz w:val="18"/>
                <w:szCs w:val="18"/>
              </w:rPr>
              <w:t>‘</w:t>
            </w:r>
            <w:proofErr w:type="spellStart"/>
            <w:r w:rsidRPr="00B86C8F">
              <w:rPr>
                <w:i/>
                <w:sz w:val="18"/>
                <w:szCs w:val="18"/>
              </w:rPr>
              <w:t>Affordable</w:t>
            </w:r>
            <w:proofErr w:type="spellEnd"/>
            <w:r w:rsidRPr="00B86C8F">
              <w:rPr>
                <w:i/>
                <w:sz w:val="18"/>
                <w:szCs w:val="18"/>
              </w:rPr>
              <w:t xml:space="preserve"> </w:t>
            </w:r>
            <w:proofErr w:type="spellStart"/>
            <w:r w:rsidRPr="00B86C8F">
              <w:rPr>
                <w:i/>
                <w:sz w:val="18"/>
                <w:szCs w:val="18"/>
              </w:rPr>
              <w:t>Medicines</w:t>
            </w:r>
            <w:proofErr w:type="spellEnd"/>
            <w:r w:rsidRPr="00B86C8F">
              <w:rPr>
                <w:i/>
                <w:sz w:val="18"/>
                <w:szCs w:val="18"/>
              </w:rPr>
              <w:t xml:space="preserve"> Program’</w:t>
            </w:r>
            <w:r w:rsidRPr="00B86C8F">
              <w:rPr>
                <w:sz w:val="18"/>
                <w:szCs w:val="18"/>
              </w:rPr>
              <w:t xml:space="preserve"> nog niet eerder hadden gebruikt, hebben gratis of goedkope medicijnen ontvangen (sinds maart 2022).  </w:t>
            </w:r>
          </w:p>
          <w:p w:rsidRPr="0099021D" w:rsidR="007E7481" w:rsidP="003309F8" w:rsidRDefault="007E7481" w14:paraId="3989E54D" w14:textId="77777777">
            <w:pPr>
              <w:pStyle w:val="TableParagraph"/>
              <w:numPr>
                <w:ilvl w:val="0"/>
                <w:numId w:val="1"/>
              </w:numPr>
              <w:spacing w:before="4" w:line="252" w:lineRule="auto"/>
              <w:ind w:left="610"/>
              <w:rPr>
                <w:sz w:val="18"/>
                <w:szCs w:val="18"/>
              </w:rPr>
            </w:pPr>
            <w:r w:rsidRPr="0099021D">
              <w:rPr>
                <w:sz w:val="18"/>
                <w:szCs w:val="18"/>
              </w:rPr>
              <w:t xml:space="preserve">Het URTF betrekt haar donoren binnen het </w:t>
            </w:r>
            <w:r w:rsidRPr="0099021D">
              <w:rPr>
                <w:i/>
                <w:iCs/>
                <w:sz w:val="18"/>
                <w:szCs w:val="18"/>
              </w:rPr>
              <w:t>partnership council</w:t>
            </w:r>
            <w:r w:rsidRPr="0099021D">
              <w:rPr>
                <w:sz w:val="18"/>
                <w:szCs w:val="18"/>
              </w:rPr>
              <w:t xml:space="preserve"> actief: deelnemende landen worden niet alleen betrokken bij het opstellen van de jaarplannen, er worden bovendien ook bijeenkomsten georganiseerd, in zowel Washington DC (tijdens de Wereldbank jaarvergaderingen) als in Kyiv. </w:t>
            </w:r>
            <w:r>
              <w:rPr>
                <w:sz w:val="18"/>
                <w:szCs w:val="18"/>
              </w:rPr>
              <w:t xml:space="preserve">Er worden en zijn </w:t>
            </w:r>
            <w:r w:rsidRPr="0099021D">
              <w:rPr>
                <w:sz w:val="18"/>
                <w:szCs w:val="18"/>
              </w:rPr>
              <w:t xml:space="preserve">in Kyiv veldbezoeken georganiseerd, waardoor donoren de behaalde resultaten met de geleverde donorbijdrages in het kader van steun en wederopbouw van dichtbij hebben kunnen zien. </w:t>
            </w:r>
          </w:p>
          <w:p w:rsidRPr="00394DB0" w:rsidR="007E7481" w:rsidP="003309F8" w:rsidRDefault="007E7481" w14:paraId="7A2E7F27" w14:textId="77777777">
            <w:pPr>
              <w:pStyle w:val="TableParagraph"/>
              <w:numPr>
                <w:ilvl w:val="0"/>
                <w:numId w:val="1"/>
              </w:numPr>
              <w:spacing w:before="4" w:line="252" w:lineRule="auto"/>
              <w:ind w:left="610"/>
              <w:rPr>
                <w:sz w:val="18"/>
                <w:szCs w:val="18"/>
              </w:rPr>
            </w:pPr>
            <w:r w:rsidRPr="0099021D">
              <w:rPr>
                <w:sz w:val="18"/>
                <w:szCs w:val="18"/>
              </w:rPr>
              <w:t xml:space="preserve">Ook wordt er een nieuwsbrief door de Wereldbank uitgebracht, waarmee leden van het fonds inzicht hebben in de status van projectontwikkeling(en) en leveringen. </w:t>
            </w:r>
          </w:p>
          <w:p w:rsidRPr="0099021D" w:rsidR="007E7481" w:rsidP="003309F8" w:rsidRDefault="007E7481" w14:paraId="64D1069C" w14:textId="77777777">
            <w:pPr>
              <w:pStyle w:val="TableParagraph"/>
              <w:spacing w:before="4" w:line="252" w:lineRule="auto"/>
              <w:rPr>
                <w:sz w:val="18"/>
                <w:szCs w:val="18"/>
              </w:rPr>
            </w:pPr>
          </w:p>
        </w:tc>
      </w:tr>
      <w:tr w:rsidRPr="0099021D" w:rsidR="007E7481" w:rsidTr="003309F8" w14:paraId="03629EAD" w14:textId="77777777">
        <w:trPr>
          <w:trHeight w:val="559"/>
        </w:trPr>
        <w:tc>
          <w:tcPr>
            <w:tcW w:w="1159" w:type="pct"/>
            <w:tcBorders>
              <w:top w:val="nil"/>
              <w:left w:val="nil"/>
              <w:bottom w:val="single" w:color="017BC7" w:sz="8" w:space="0"/>
              <w:right w:val="nil"/>
            </w:tcBorders>
            <w:shd w:val="clear" w:color="auto" w:fill="D6EFF9"/>
            <w:hideMark/>
          </w:tcPr>
          <w:p w:rsidRPr="0099021D" w:rsidR="007E7481" w:rsidP="003309F8" w:rsidRDefault="007E7481" w14:paraId="4BA4F8EF" w14:textId="77777777">
            <w:pPr>
              <w:pStyle w:val="TableParagraph"/>
              <w:spacing w:before="52" w:line="252" w:lineRule="auto"/>
              <w:ind w:left="89"/>
              <w:rPr>
                <w:b/>
                <w:bCs/>
                <w:sz w:val="18"/>
                <w:szCs w:val="18"/>
              </w:rPr>
            </w:pPr>
            <w:r w:rsidRPr="0099021D">
              <w:rPr>
                <w:b/>
                <w:bCs/>
                <w:sz w:val="18"/>
                <w:szCs w:val="18"/>
              </w:rPr>
              <w:t>5. Nagestreefde doelmatigheid</w:t>
            </w:r>
          </w:p>
        </w:tc>
        <w:tc>
          <w:tcPr>
            <w:tcW w:w="3841" w:type="pct"/>
            <w:tcBorders>
              <w:top w:val="nil"/>
              <w:left w:val="nil"/>
              <w:bottom w:val="single" w:color="017BC7" w:sz="8" w:space="0"/>
              <w:right w:val="nil"/>
            </w:tcBorders>
            <w:hideMark/>
          </w:tcPr>
          <w:p w:rsidRPr="0099021D" w:rsidR="007E7481" w:rsidP="003309F8" w:rsidRDefault="007E7481" w14:paraId="12EEC4C4" w14:textId="77777777">
            <w:pPr>
              <w:spacing w:before="52"/>
              <w:ind w:left="89"/>
              <w:rPr>
                <w:sz w:val="18"/>
                <w:szCs w:val="18"/>
              </w:rPr>
            </w:pPr>
            <w:r w:rsidRPr="0099021D">
              <w:rPr>
                <w:sz w:val="18"/>
                <w:szCs w:val="18"/>
              </w:rPr>
              <w:t>Waarom is het voorgestelde instrumentarium een efficiënte manier om de beoogde prestaties en effecten te bereiken?</w:t>
            </w:r>
          </w:p>
          <w:p w:rsidRPr="0099021D" w:rsidR="007E7481" w:rsidP="003309F8" w:rsidRDefault="007E7481" w14:paraId="6CFF41CE" w14:textId="77777777">
            <w:pPr>
              <w:spacing w:before="52"/>
              <w:ind w:left="89"/>
              <w:rPr>
                <w:sz w:val="18"/>
                <w:szCs w:val="18"/>
              </w:rPr>
            </w:pPr>
          </w:p>
          <w:p w:rsidRPr="00B06140" w:rsidR="007E7481" w:rsidP="003309F8" w:rsidRDefault="007E7481" w14:paraId="178C7B4B" w14:textId="77777777">
            <w:pPr>
              <w:spacing w:before="52"/>
              <w:ind w:left="89"/>
              <w:rPr>
                <w:sz w:val="18"/>
                <w:szCs w:val="18"/>
              </w:rPr>
            </w:pPr>
            <w:r>
              <w:rPr>
                <w:sz w:val="18"/>
                <w:szCs w:val="18"/>
              </w:rPr>
              <w:t xml:space="preserve">Het URTF profiteert van schaalvoordelen doordat de bijdragen van diverse </w:t>
            </w:r>
            <w:r w:rsidRPr="003309F8">
              <w:rPr>
                <w:sz w:val="18"/>
                <w:szCs w:val="18"/>
              </w:rPr>
              <w:t>donorlanden</w:t>
            </w:r>
            <w:r>
              <w:rPr>
                <w:sz w:val="18"/>
                <w:szCs w:val="18"/>
              </w:rPr>
              <w:t xml:space="preserve"> worden gebundeld. Bovendien biedt URTF de mogelijkheid om op grote schaal ontwikkelingsfinanciering te ontsluiten. Het URTF heeft met eerdere bijdragen goede resultaten behaald en veel mensen bereikt met zijn interventies. Hiermee is de bijdrage aan dit multilaterale kanaal doelmatig gebleken.</w:t>
            </w:r>
          </w:p>
        </w:tc>
      </w:tr>
      <w:tr w:rsidRPr="0099021D" w:rsidR="007E7481" w:rsidTr="003309F8" w14:paraId="7996C106" w14:textId="77777777">
        <w:trPr>
          <w:trHeight w:val="354"/>
        </w:trPr>
        <w:tc>
          <w:tcPr>
            <w:tcW w:w="1159" w:type="pct"/>
            <w:tcBorders>
              <w:top w:val="nil"/>
              <w:left w:val="nil"/>
              <w:bottom w:val="single" w:color="017BC7" w:sz="8" w:space="0"/>
              <w:right w:val="nil"/>
            </w:tcBorders>
            <w:shd w:val="clear" w:color="auto" w:fill="D6EFF9"/>
            <w:hideMark/>
          </w:tcPr>
          <w:p w:rsidRPr="0099021D" w:rsidR="007E7481" w:rsidP="003309F8" w:rsidRDefault="007E7481" w14:paraId="796E0FB0" w14:textId="77777777">
            <w:pPr>
              <w:pStyle w:val="TableParagraph"/>
              <w:spacing w:before="52" w:line="252" w:lineRule="auto"/>
              <w:ind w:left="89"/>
              <w:rPr>
                <w:rFonts w:asciiTheme="minorHAnsi" w:hAnsiTheme="minorHAnsi" w:cstheme="minorHAnsi"/>
                <w:b/>
                <w:bCs/>
                <w:sz w:val="18"/>
                <w:szCs w:val="18"/>
              </w:rPr>
            </w:pPr>
            <w:r w:rsidRPr="0099021D">
              <w:rPr>
                <w:rFonts w:asciiTheme="minorHAnsi" w:hAnsiTheme="minorHAnsi" w:cstheme="minorHAnsi"/>
                <w:b/>
                <w:bCs/>
                <w:sz w:val="18"/>
                <w:szCs w:val="18"/>
              </w:rPr>
              <w:t>6. Evaluatieparagraaf</w:t>
            </w:r>
          </w:p>
        </w:tc>
        <w:tc>
          <w:tcPr>
            <w:tcW w:w="3841" w:type="pct"/>
            <w:tcBorders>
              <w:top w:val="nil"/>
              <w:left w:val="nil"/>
              <w:bottom w:val="single" w:color="017BC7" w:sz="8" w:space="0"/>
              <w:right w:val="nil"/>
            </w:tcBorders>
            <w:hideMark/>
          </w:tcPr>
          <w:p w:rsidRPr="0099021D" w:rsidR="007E7481" w:rsidP="003309F8" w:rsidRDefault="007E7481" w14:paraId="0E5CBFA9" w14:textId="77777777">
            <w:pPr>
              <w:autoSpaceDE w:val="0"/>
              <w:autoSpaceDN w:val="0"/>
              <w:spacing w:before="52" w:line="252" w:lineRule="auto"/>
              <w:ind w:left="89"/>
              <w:rPr>
                <w:rFonts w:asciiTheme="minorHAnsi" w:hAnsiTheme="minorHAnsi" w:cstheme="minorHAnsi"/>
                <w:sz w:val="18"/>
                <w:szCs w:val="18"/>
              </w:rPr>
            </w:pPr>
            <w:r w:rsidRPr="0099021D">
              <w:rPr>
                <w:rFonts w:asciiTheme="minorHAnsi" w:hAnsiTheme="minorHAnsi" w:cstheme="minorHAnsi"/>
                <w:sz w:val="18"/>
                <w:szCs w:val="18"/>
              </w:rPr>
              <w:t>Hoe wordt het voorstel gemonitord en geëvalueerd?</w:t>
            </w:r>
          </w:p>
          <w:p w:rsidRPr="0099021D" w:rsidR="007E7481" w:rsidP="003309F8" w:rsidRDefault="007E7481" w14:paraId="17317F74" w14:textId="77777777">
            <w:pPr>
              <w:autoSpaceDE w:val="0"/>
              <w:autoSpaceDN w:val="0"/>
              <w:spacing w:before="52" w:line="252" w:lineRule="auto"/>
              <w:ind w:left="89"/>
              <w:rPr>
                <w:rFonts w:asciiTheme="minorHAnsi" w:hAnsiTheme="minorHAnsi" w:cstheme="minorHAnsi"/>
                <w:sz w:val="18"/>
                <w:szCs w:val="18"/>
              </w:rPr>
            </w:pPr>
          </w:p>
          <w:p w:rsidR="007E7481" w:rsidP="003309F8" w:rsidRDefault="007E7481" w14:paraId="60F33C70" w14:textId="77777777">
            <w:pPr>
              <w:pStyle w:val="ListParagraph"/>
              <w:numPr>
                <w:ilvl w:val="0"/>
                <w:numId w:val="3"/>
              </w:numPr>
              <w:autoSpaceDE w:val="0"/>
              <w:autoSpaceDN w:val="0"/>
              <w:spacing w:before="52" w:line="252" w:lineRule="auto"/>
              <w:rPr>
                <w:rFonts w:asciiTheme="minorHAnsi" w:hAnsiTheme="minorHAnsi" w:cstheme="minorHAnsi"/>
                <w:szCs w:val="18"/>
              </w:rPr>
            </w:pPr>
            <w:r>
              <w:rPr>
                <w:rFonts w:asciiTheme="minorHAnsi" w:hAnsiTheme="minorHAnsi" w:cstheme="minorHAnsi"/>
                <w:szCs w:val="18"/>
              </w:rPr>
              <w:lastRenderedPageBreak/>
              <w:t>Door middel van jaarlijkse rapportages en verschillende donorbijeenkomsten die door het jaar heen worden georganiseerd (zoals tijdens de Jaarvergadering van de Wereldbank en het IMF). Voor de uitvoering van de URTF programma’s wordt ieder jaar een jaarplan opgesteld, deze jaarplannen worden geëvalueerd in de jaarlijkse rapportages.</w:t>
            </w:r>
          </w:p>
          <w:p w:rsidRPr="0099021D" w:rsidR="007E7481" w:rsidP="003309F8" w:rsidRDefault="007E7481" w14:paraId="6E627079" w14:textId="77777777">
            <w:pPr>
              <w:pStyle w:val="ListParagraph"/>
              <w:numPr>
                <w:ilvl w:val="0"/>
                <w:numId w:val="3"/>
              </w:numPr>
              <w:autoSpaceDE w:val="0"/>
              <w:autoSpaceDN w:val="0"/>
              <w:spacing w:before="52" w:line="252" w:lineRule="auto"/>
              <w:rPr>
                <w:rFonts w:asciiTheme="minorHAnsi" w:hAnsiTheme="minorHAnsi" w:cstheme="minorHAnsi"/>
                <w:szCs w:val="18"/>
              </w:rPr>
            </w:pPr>
            <w:r>
              <w:rPr>
                <w:rFonts w:asciiTheme="minorHAnsi" w:hAnsiTheme="minorHAnsi" w:cstheme="minorHAnsi"/>
                <w:szCs w:val="18"/>
              </w:rPr>
              <w:t>Bovendien worden er meerdere malen per jaar veldbezoeken georganiseerd – bijv. op het gebied van energie – waar de Nederlandse ambassade aan Kyiv aan deelneemt en actief over rapporteert. Hierdoor zijn behaalde resultaten eveneens direct zichtbaar in Oekraïne zelf.</w:t>
            </w:r>
          </w:p>
          <w:p w:rsidRPr="0099021D" w:rsidR="007E7481" w:rsidP="003309F8" w:rsidRDefault="007E7481" w14:paraId="5181BF5A" w14:textId="77777777">
            <w:pPr>
              <w:rPr>
                <w:rFonts w:asciiTheme="minorHAnsi" w:hAnsiTheme="minorHAnsi" w:cstheme="minorHAnsi"/>
                <w:sz w:val="18"/>
                <w:szCs w:val="18"/>
              </w:rPr>
            </w:pPr>
          </w:p>
        </w:tc>
      </w:tr>
    </w:tbl>
    <w:p w:rsidRPr="0099021D" w:rsidR="007E7481" w:rsidP="007E7481" w:rsidRDefault="007E7481" w14:paraId="27780183" w14:textId="77777777"/>
    <w:p w:rsidRPr="0099021D" w:rsidR="007E7481" w:rsidP="007E7481" w:rsidRDefault="007E7481" w14:paraId="41DEBBA8" w14:textId="77777777"/>
    <w:p w:rsidRPr="0099021D" w:rsidR="007E7481" w:rsidP="007E7481" w:rsidRDefault="007E7481" w14:paraId="18D1F74C" w14:textId="77777777"/>
    <w:p w:rsidRPr="0099021D" w:rsidR="007E7481" w:rsidP="007E7481" w:rsidRDefault="007E7481" w14:paraId="4A08DB3A" w14:textId="77777777"/>
    <w:p w:rsidRPr="0099021D" w:rsidR="007E7481" w:rsidP="007E7481" w:rsidRDefault="007E7481" w14:paraId="50CF17E3" w14:textId="77777777"/>
    <w:p w:rsidRPr="0099021D" w:rsidR="007E7481" w:rsidP="007E7481" w:rsidRDefault="007E7481" w14:paraId="33D434CF" w14:textId="77777777"/>
    <w:p w:rsidR="007E7481" w:rsidP="007E7481" w:rsidRDefault="007E7481" w14:paraId="6EFABEC4" w14:textId="77777777"/>
    <w:p w:rsidR="007E7481" w:rsidP="007E7481" w:rsidRDefault="007E7481" w14:paraId="24754FAE" w14:textId="77777777">
      <w:pPr>
        <w:rPr>
          <w:rFonts w:asciiTheme="minorHAnsi" w:hAnsiTheme="minorHAnsi" w:cstheme="minorHAnsi"/>
          <w:b/>
          <w:bCs/>
          <w:sz w:val="18"/>
          <w:szCs w:val="18"/>
        </w:rPr>
      </w:pPr>
    </w:p>
    <w:p w:rsidR="007E7481" w:rsidP="007E7481" w:rsidRDefault="007E7481" w14:paraId="437E7E08" w14:textId="77777777">
      <w:pPr>
        <w:rPr>
          <w:rFonts w:asciiTheme="minorHAnsi" w:hAnsiTheme="minorHAnsi" w:cstheme="minorHAnsi"/>
          <w:b/>
          <w:bCs/>
          <w:sz w:val="18"/>
          <w:szCs w:val="18"/>
        </w:rPr>
      </w:pPr>
    </w:p>
    <w:p w:rsidR="007E7481" w:rsidP="007E7481" w:rsidRDefault="007E7481" w14:paraId="66B5DF1B" w14:textId="77777777">
      <w:pPr>
        <w:rPr>
          <w:rFonts w:asciiTheme="minorHAnsi" w:hAnsiTheme="minorHAnsi" w:cstheme="minorHAnsi"/>
          <w:b/>
          <w:bCs/>
          <w:sz w:val="18"/>
          <w:szCs w:val="18"/>
        </w:rPr>
      </w:pPr>
    </w:p>
    <w:p w:rsidR="007E7481" w:rsidP="007E7481" w:rsidRDefault="007E7481" w14:paraId="6A3D05B8" w14:textId="77777777">
      <w:pPr>
        <w:rPr>
          <w:rFonts w:asciiTheme="minorHAnsi" w:hAnsiTheme="minorHAnsi" w:cstheme="minorHAnsi"/>
          <w:b/>
          <w:bCs/>
          <w:sz w:val="18"/>
          <w:szCs w:val="18"/>
        </w:rPr>
      </w:pPr>
      <w:r>
        <w:rPr>
          <w:rFonts w:asciiTheme="minorHAnsi" w:hAnsiTheme="minorHAnsi" w:cstheme="minorHAnsi"/>
          <w:b/>
          <w:bCs/>
          <w:sz w:val="18"/>
          <w:szCs w:val="18"/>
        </w:rPr>
        <w:br/>
      </w:r>
      <w:r>
        <w:rPr>
          <w:rFonts w:asciiTheme="minorHAnsi" w:hAnsiTheme="minorHAnsi" w:cstheme="minorHAnsi"/>
          <w:b/>
          <w:bCs/>
          <w:sz w:val="18"/>
          <w:szCs w:val="18"/>
        </w:rPr>
        <w:br/>
      </w:r>
    </w:p>
    <w:p w:rsidR="007E7481" w:rsidP="007E7481" w:rsidRDefault="007E7481" w14:paraId="421147CC" w14:textId="77777777">
      <w:pPr>
        <w:spacing w:after="160" w:line="259" w:lineRule="auto"/>
        <w:rPr>
          <w:rFonts w:asciiTheme="minorHAnsi" w:hAnsiTheme="minorHAnsi" w:cstheme="minorHAnsi"/>
          <w:b/>
          <w:bCs/>
          <w:sz w:val="18"/>
          <w:szCs w:val="18"/>
        </w:rPr>
      </w:pPr>
      <w:r>
        <w:rPr>
          <w:rFonts w:asciiTheme="minorHAnsi" w:hAnsiTheme="minorHAnsi" w:cstheme="minorHAnsi"/>
          <w:b/>
          <w:bCs/>
          <w:sz w:val="18"/>
          <w:szCs w:val="18"/>
        </w:rPr>
        <w:br w:type="page"/>
      </w:r>
    </w:p>
    <w:p w:rsidRPr="0099021D" w:rsidR="007E7481" w:rsidP="007E7481" w:rsidRDefault="007E7481" w14:paraId="2BFC42CA" w14:textId="77777777">
      <w:pPr>
        <w:rPr>
          <w:rFonts w:asciiTheme="minorHAnsi" w:hAnsiTheme="minorHAnsi" w:cstheme="minorHAnsi"/>
          <w:b/>
          <w:bCs/>
          <w:sz w:val="18"/>
          <w:szCs w:val="18"/>
        </w:rPr>
      </w:pPr>
      <w:r w:rsidRPr="0099021D">
        <w:rPr>
          <w:rFonts w:asciiTheme="minorHAnsi" w:hAnsiTheme="minorHAnsi" w:cstheme="minorHAnsi"/>
          <w:b/>
          <w:bCs/>
          <w:sz w:val="18"/>
          <w:szCs w:val="18"/>
        </w:rPr>
        <w:lastRenderedPageBreak/>
        <w:t>Geïdentificeerde financieringstekorten binnen het URTF voor de komende periode</w:t>
      </w:r>
      <w:r>
        <w:rPr>
          <w:rFonts w:asciiTheme="minorHAnsi" w:hAnsiTheme="minorHAnsi" w:cstheme="minorHAnsi"/>
          <w:b/>
          <w:bCs/>
          <w:sz w:val="18"/>
          <w:szCs w:val="18"/>
        </w:rPr>
        <w:t xml:space="preserve"> (in het Engels)</w:t>
      </w:r>
      <w:r w:rsidRPr="0099021D">
        <w:rPr>
          <w:rFonts w:asciiTheme="minorHAnsi" w:hAnsiTheme="minorHAnsi" w:cstheme="minorHAnsi"/>
          <w:b/>
          <w:bCs/>
          <w:sz w:val="18"/>
          <w:szCs w:val="18"/>
        </w:rPr>
        <w:t>:</w:t>
      </w:r>
    </w:p>
    <w:tbl>
      <w:tblPr>
        <w:tblpPr w:leftFromText="141" w:rightFromText="141" w:vertAnchor="text" w:horzAnchor="margin" w:tblpXSpec="center" w:tblpY="138"/>
        <w:tblW w:w="10935" w:type="dxa"/>
        <w:tblCellMar>
          <w:left w:w="0" w:type="dxa"/>
          <w:right w:w="0" w:type="dxa"/>
        </w:tblCellMar>
        <w:tblLook w:val="04A0" w:firstRow="1" w:lastRow="0" w:firstColumn="1" w:lastColumn="0" w:noHBand="0" w:noVBand="1"/>
      </w:tblPr>
      <w:tblGrid>
        <w:gridCol w:w="2543"/>
        <w:gridCol w:w="4882"/>
        <w:gridCol w:w="1054"/>
        <w:gridCol w:w="2456"/>
      </w:tblGrid>
      <w:tr w:rsidRPr="0099021D" w:rsidR="007E7481" w:rsidTr="003309F8" w14:paraId="097C9344" w14:textId="77777777">
        <w:tc>
          <w:tcPr>
            <w:tcW w:w="2472" w:type="dxa"/>
            <w:tcBorders>
              <w:top w:val="single" w:color="auto" w:sz="8" w:space="0"/>
              <w:left w:val="single" w:color="auto" w:sz="8" w:space="0"/>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079B0585" w14:textId="77777777">
            <w:pPr>
              <w:rPr>
                <w:rFonts w:asciiTheme="minorHAnsi" w:hAnsiTheme="minorHAnsi" w:cstheme="minorHAnsi"/>
                <w:sz w:val="18"/>
                <w:szCs w:val="18"/>
              </w:rPr>
            </w:pPr>
            <w:r w:rsidRPr="00EC7CCD">
              <w:rPr>
                <w:rFonts w:asciiTheme="minorHAnsi" w:hAnsiTheme="minorHAnsi" w:cstheme="minorHAnsi"/>
                <w:b/>
                <w:bCs/>
                <w:sz w:val="18"/>
                <w:szCs w:val="18"/>
              </w:rPr>
              <w:t>Project</w:t>
            </w:r>
          </w:p>
        </w:tc>
        <w:tc>
          <w:tcPr>
            <w:tcW w:w="5041" w:type="dxa"/>
            <w:tcBorders>
              <w:top w:val="single" w:color="auto" w:sz="8" w:space="0"/>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612F7364" w14:textId="77777777">
            <w:pPr>
              <w:rPr>
                <w:rFonts w:asciiTheme="minorHAnsi" w:hAnsiTheme="minorHAnsi" w:cstheme="minorHAnsi"/>
                <w:sz w:val="18"/>
                <w:szCs w:val="18"/>
              </w:rPr>
            </w:pPr>
            <w:r w:rsidRPr="00EC7CCD">
              <w:rPr>
                <w:rFonts w:asciiTheme="minorHAnsi" w:hAnsiTheme="minorHAnsi" w:cstheme="minorHAnsi"/>
                <w:b/>
                <w:bCs/>
                <w:sz w:val="18"/>
                <w:szCs w:val="18"/>
              </w:rPr>
              <w:t xml:space="preserve">Development </w:t>
            </w:r>
            <w:proofErr w:type="spellStart"/>
            <w:r w:rsidRPr="00EC7CCD">
              <w:rPr>
                <w:rFonts w:asciiTheme="minorHAnsi" w:hAnsiTheme="minorHAnsi" w:cstheme="minorHAnsi"/>
                <w:b/>
                <w:bCs/>
                <w:sz w:val="18"/>
                <w:szCs w:val="18"/>
              </w:rPr>
              <w:t>Objective</w:t>
            </w:r>
            <w:proofErr w:type="spellEnd"/>
          </w:p>
        </w:tc>
        <w:tc>
          <w:tcPr>
            <w:tcW w:w="979" w:type="dxa"/>
            <w:tcBorders>
              <w:top w:val="single" w:color="auto" w:sz="8" w:space="0"/>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746AA661" w14:textId="77777777">
            <w:pPr>
              <w:rPr>
                <w:rFonts w:asciiTheme="minorHAnsi" w:hAnsiTheme="minorHAnsi" w:cstheme="minorHAnsi"/>
                <w:sz w:val="18"/>
                <w:szCs w:val="18"/>
              </w:rPr>
            </w:pPr>
            <w:proofErr w:type="spellStart"/>
            <w:r w:rsidRPr="00EC7CCD">
              <w:rPr>
                <w:rFonts w:asciiTheme="minorHAnsi" w:hAnsiTheme="minorHAnsi" w:cstheme="minorHAnsi"/>
                <w:b/>
                <w:bCs/>
                <w:sz w:val="18"/>
                <w:szCs w:val="18"/>
              </w:rPr>
              <w:t>Appraised</w:t>
            </w:r>
            <w:proofErr w:type="spellEnd"/>
            <w:r w:rsidRPr="00EC7CCD">
              <w:rPr>
                <w:rFonts w:asciiTheme="minorHAnsi" w:hAnsiTheme="minorHAnsi" w:cstheme="minorHAnsi"/>
                <w:b/>
                <w:bCs/>
                <w:sz w:val="18"/>
                <w:szCs w:val="18"/>
              </w:rPr>
              <w:t xml:space="preserve"> </w:t>
            </w:r>
            <w:proofErr w:type="spellStart"/>
            <w:r w:rsidRPr="00EC7CCD">
              <w:rPr>
                <w:rFonts w:asciiTheme="minorHAnsi" w:hAnsiTheme="minorHAnsi" w:cstheme="minorHAnsi"/>
                <w:b/>
                <w:bCs/>
                <w:sz w:val="18"/>
                <w:szCs w:val="18"/>
              </w:rPr>
              <w:t>Funding</w:t>
            </w:r>
            <w:proofErr w:type="spellEnd"/>
            <w:r w:rsidRPr="00EC7CCD">
              <w:rPr>
                <w:rFonts w:asciiTheme="minorHAnsi" w:hAnsiTheme="minorHAnsi" w:cstheme="minorHAnsi"/>
                <w:b/>
                <w:bCs/>
                <w:sz w:val="18"/>
                <w:szCs w:val="18"/>
              </w:rPr>
              <w:t xml:space="preserve"> Needs</w:t>
            </w:r>
          </w:p>
        </w:tc>
        <w:tc>
          <w:tcPr>
            <w:tcW w:w="2443" w:type="dxa"/>
            <w:tcBorders>
              <w:top w:val="single" w:color="auto" w:sz="8" w:space="0"/>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3A7DDC63" w14:textId="77777777">
            <w:pPr>
              <w:rPr>
                <w:rFonts w:asciiTheme="minorHAnsi" w:hAnsiTheme="minorHAnsi" w:cstheme="minorHAnsi"/>
                <w:sz w:val="18"/>
                <w:szCs w:val="18"/>
              </w:rPr>
            </w:pPr>
            <w:proofErr w:type="spellStart"/>
            <w:r w:rsidRPr="00EC7CCD">
              <w:rPr>
                <w:rFonts w:asciiTheme="minorHAnsi" w:hAnsiTheme="minorHAnsi" w:cstheme="minorHAnsi"/>
                <w:b/>
                <w:bCs/>
                <w:sz w:val="18"/>
                <w:szCs w:val="18"/>
              </w:rPr>
              <w:t>Funding</w:t>
            </w:r>
            <w:proofErr w:type="spellEnd"/>
            <w:r w:rsidRPr="00EC7CCD">
              <w:rPr>
                <w:rFonts w:asciiTheme="minorHAnsi" w:hAnsiTheme="minorHAnsi" w:cstheme="minorHAnsi"/>
                <w:b/>
                <w:bCs/>
                <w:sz w:val="18"/>
                <w:szCs w:val="18"/>
              </w:rPr>
              <w:t xml:space="preserve"> </w:t>
            </w:r>
            <w:proofErr w:type="spellStart"/>
            <w:r w:rsidRPr="00EC7CCD">
              <w:rPr>
                <w:rFonts w:asciiTheme="minorHAnsi" w:hAnsiTheme="minorHAnsi" w:cstheme="minorHAnsi"/>
                <w:b/>
                <w:bCs/>
                <w:sz w:val="18"/>
                <w:szCs w:val="18"/>
              </w:rPr>
              <w:t>Secured</w:t>
            </w:r>
            <w:proofErr w:type="spellEnd"/>
          </w:p>
        </w:tc>
      </w:tr>
      <w:tr w:rsidRPr="0099021D" w:rsidR="007E7481" w:rsidTr="003309F8" w14:paraId="1EA36F33" w14:textId="77777777">
        <w:tc>
          <w:tcPr>
            <w:tcW w:w="2472" w:type="dxa"/>
            <w:tcBorders>
              <w:top w:val="nil"/>
              <w:left w:val="single" w:color="auto" w:sz="8" w:space="0"/>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0B2A4E41" w14:textId="77777777">
            <w:pPr>
              <w:rPr>
                <w:rFonts w:asciiTheme="minorHAnsi" w:hAnsiTheme="minorHAnsi" w:cstheme="minorHAnsi"/>
                <w:sz w:val="18"/>
                <w:szCs w:val="18"/>
                <w:lang w:val="en-US"/>
              </w:rPr>
            </w:pPr>
            <w:r>
              <w:fldChar w:fldCharType="begin"/>
            </w:r>
            <w:r w:rsidRPr="00F71B6A">
              <w:rPr>
                <w:lang w:val="en-US"/>
              </w:rPr>
              <w:instrText>HYPERLINK "https://projects.worldbank.org/en/projects-operations/project-detail/P180318"</w:instrText>
            </w:r>
            <w:r>
              <w:fldChar w:fldCharType="separate"/>
            </w:r>
            <w:r w:rsidRPr="00EC7CCD">
              <w:rPr>
                <w:rStyle w:val="Hyperlink"/>
                <w:rFonts w:asciiTheme="minorHAnsi" w:hAnsiTheme="minorHAnsi" w:cstheme="minorHAnsi"/>
                <w:sz w:val="18"/>
                <w:szCs w:val="18"/>
                <w:lang w:val="en-US"/>
              </w:rPr>
              <w:t>Repairing Essential Logistics Infrastructure and Network Connectivity (</w:t>
            </w:r>
            <w:r w:rsidRPr="00EC7CCD">
              <w:rPr>
                <w:rStyle w:val="Hyperlink"/>
                <w:rFonts w:asciiTheme="minorHAnsi" w:hAnsiTheme="minorHAnsi" w:cstheme="minorHAnsi"/>
                <w:b/>
                <w:bCs/>
                <w:sz w:val="18"/>
                <w:szCs w:val="18"/>
                <w:lang w:val="en-US"/>
              </w:rPr>
              <w:t>RELINC</w:t>
            </w:r>
            <w:r w:rsidRPr="00EC7CCD">
              <w:rPr>
                <w:rStyle w:val="Hyperlink"/>
                <w:rFonts w:asciiTheme="minorHAnsi" w:hAnsiTheme="minorHAnsi" w:cstheme="minorHAnsi"/>
                <w:sz w:val="18"/>
                <w:szCs w:val="18"/>
                <w:lang w:val="en-US"/>
              </w:rPr>
              <w:t>) Project</w:t>
            </w:r>
            <w:r>
              <w:fldChar w:fldCharType="end"/>
            </w:r>
          </w:p>
        </w:tc>
        <w:tc>
          <w:tcPr>
            <w:tcW w:w="5041"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7108D014"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Provide the means for mitigating the immediate impact that disrupted transport networks have on Ukraine’s population and economy.</w:t>
            </w:r>
          </w:p>
        </w:tc>
        <w:tc>
          <w:tcPr>
            <w:tcW w:w="979"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7A237F81" w14:textId="77777777">
            <w:pPr>
              <w:rPr>
                <w:rFonts w:asciiTheme="minorHAnsi" w:hAnsiTheme="minorHAnsi" w:cstheme="minorHAnsi"/>
                <w:sz w:val="18"/>
                <w:szCs w:val="18"/>
              </w:rPr>
            </w:pPr>
            <w:r w:rsidRPr="00EC7CCD">
              <w:rPr>
                <w:rFonts w:asciiTheme="minorHAnsi" w:hAnsiTheme="minorHAnsi" w:cstheme="minorHAnsi"/>
                <w:sz w:val="18"/>
                <w:szCs w:val="18"/>
              </w:rPr>
              <w:t xml:space="preserve">$585 </w:t>
            </w:r>
            <w:proofErr w:type="spellStart"/>
            <w:r w:rsidRPr="00EC7CCD">
              <w:rPr>
                <w:rFonts w:asciiTheme="minorHAnsi" w:hAnsiTheme="minorHAnsi" w:cstheme="minorHAnsi"/>
                <w:sz w:val="18"/>
                <w:szCs w:val="18"/>
              </w:rPr>
              <w:t>million</w:t>
            </w:r>
            <w:proofErr w:type="spellEnd"/>
          </w:p>
        </w:tc>
        <w:tc>
          <w:tcPr>
            <w:tcW w:w="2443"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3EDF7BF6" w14:textId="77777777">
            <w:pPr>
              <w:rPr>
                <w:rFonts w:asciiTheme="minorHAnsi" w:hAnsiTheme="minorHAnsi" w:cstheme="minorHAnsi"/>
                <w:sz w:val="18"/>
                <w:szCs w:val="18"/>
              </w:rPr>
            </w:pPr>
            <w:r w:rsidRPr="00EC7CCD">
              <w:rPr>
                <w:rFonts w:asciiTheme="minorHAnsi" w:hAnsiTheme="minorHAnsi" w:cstheme="minorHAnsi"/>
                <w:sz w:val="18"/>
                <w:szCs w:val="18"/>
              </w:rPr>
              <w:t xml:space="preserve">$280 </w:t>
            </w:r>
            <w:proofErr w:type="spellStart"/>
            <w:r w:rsidRPr="00EC7CCD">
              <w:rPr>
                <w:rFonts w:asciiTheme="minorHAnsi" w:hAnsiTheme="minorHAnsi" w:cstheme="minorHAnsi"/>
                <w:sz w:val="18"/>
                <w:szCs w:val="18"/>
              </w:rPr>
              <w:t>million</w:t>
            </w:r>
            <w:proofErr w:type="spellEnd"/>
            <w:r w:rsidRPr="00EC7CCD">
              <w:rPr>
                <w:rFonts w:asciiTheme="minorHAnsi" w:hAnsiTheme="minorHAnsi" w:cstheme="minorHAnsi"/>
                <w:sz w:val="18"/>
                <w:szCs w:val="18"/>
              </w:rPr>
              <w:t xml:space="preserve"> </w:t>
            </w:r>
            <w:proofErr w:type="spellStart"/>
            <w:r w:rsidRPr="00EC7CCD">
              <w:rPr>
                <w:rFonts w:asciiTheme="minorHAnsi" w:hAnsiTheme="minorHAnsi" w:cstheme="minorHAnsi"/>
                <w:sz w:val="18"/>
                <w:szCs w:val="18"/>
              </w:rPr>
              <w:t>grant</w:t>
            </w:r>
            <w:proofErr w:type="spellEnd"/>
            <w:r w:rsidRPr="00EC7CCD">
              <w:rPr>
                <w:rFonts w:asciiTheme="minorHAnsi" w:hAnsiTheme="minorHAnsi" w:cstheme="minorHAnsi"/>
                <w:sz w:val="18"/>
                <w:szCs w:val="18"/>
              </w:rPr>
              <w:t xml:space="preserve"> - URTF</w:t>
            </w:r>
          </w:p>
        </w:tc>
      </w:tr>
      <w:tr w:rsidRPr="0099021D" w:rsidR="007E7481" w:rsidTr="003309F8" w14:paraId="04EC5DBE" w14:textId="77777777">
        <w:tc>
          <w:tcPr>
            <w:tcW w:w="2472" w:type="dxa"/>
            <w:tcBorders>
              <w:top w:val="nil"/>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7EEDC167" w14:textId="77777777">
            <w:pPr>
              <w:rPr>
                <w:rFonts w:asciiTheme="minorHAnsi" w:hAnsiTheme="minorHAnsi" w:cstheme="minorHAnsi"/>
                <w:sz w:val="18"/>
                <w:szCs w:val="18"/>
                <w:lang w:val="en-US"/>
              </w:rPr>
            </w:pPr>
            <w:r>
              <w:fldChar w:fldCharType="begin"/>
            </w:r>
            <w:r w:rsidRPr="00F71B6A">
              <w:rPr>
                <w:lang w:val="en-US"/>
              </w:rPr>
              <w:instrText>HYPERLINK "https://projects.worldbank.org/en/projects-operations/project-detail/P180332"</w:instrText>
            </w:r>
            <w:r>
              <w:fldChar w:fldCharType="separate"/>
            </w:r>
            <w:r w:rsidRPr="00EC7CCD">
              <w:rPr>
                <w:rStyle w:val="Hyperlink"/>
                <w:rFonts w:asciiTheme="minorHAnsi" w:hAnsiTheme="minorHAnsi" w:cstheme="minorHAnsi"/>
                <w:sz w:val="18"/>
                <w:szCs w:val="18"/>
                <w:lang w:val="en-US"/>
              </w:rPr>
              <w:t>Restoration Project of Winterization and Energy Resources Ukraine</w:t>
            </w:r>
            <w:r>
              <w:fldChar w:fldCharType="end"/>
            </w:r>
          </w:p>
        </w:tc>
        <w:tc>
          <w:tcPr>
            <w:tcW w:w="5041"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0221905F"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Enable the restoration of essential energy services in Ukraine.</w:t>
            </w:r>
          </w:p>
        </w:tc>
        <w:tc>
          <w:tcPr>
            <w:tcW w:w="979"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5CAC3B0A" w14:textId="77777777">
            <w:pPr>
              <w:rPr>
                <w:rFonts w:asciiTheme="minorHAnsi" w:hAnsiTheme="minorHAnsi" w:cstheme="minorHAnsi"/>
                <w:sz w:val="18"/>
                <w:szCs w:val="18"/>
              </w:rPr>
            </w:pPr>
            <w:r w:rsidRPr="00EC7CCD">
              <w:rPr>
                <w:rFonts w:asciiTheme="minorHAnsi" w:hAnsiTheme="minorHAnsi" w:cstheme="minorHAnsi"/>
                <w:sz w:val="18"/>
                <w:szCs w:val="18"/>
              </w:rPr>
              <w:t xml:space="preserve">$500 </w:t>
            </w:r>
            <w:proofErr w:type="spellStart"/>
            <w:r w:rsidRPr="00EC7CCD">
              <w:rPr>
                <w:rFonts w:asciiTheme="minorHAnsi" w:hAnsiTheme="minorHAnsi" w:cstheme="minorHAnsi"/>
                <w:sz w:val="18"/>
                <w:szCs w:val="18"/>
              </w:rPr>
              <w:t>million</w:t>
            </w:r>
            <w:proofErr w:type="spellEnd"/>
          </w:p>
        </w:tc>
        <w:tc>
          <w:tcPr>
            <w:tcW w:w="2443"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5661E71E" w14:textId="77777777">
            <w:pPr>
              <w:rPr>
                <w:rFonts w:asciiTheme="minorHAnsi" w:hAnsiTheme="minorHAnsi" w:cstheme="minorHAnsi"/>
                <w:sz w:val="18"/>
                <w:szCs w:val="18"/>
              </w:rPr>
            </w:pPr>
            <w:r w:rsidRPr="00EC7CCD">
              <w:rPr>
                <w:rFonts w:asciiTheme="minorHAnsi" w:hAnsiTheme="minorHAnsi" w:cstheme="minorHAnsi"/>
                <w:sz w:val="18"/>
                <w:szCs w:val="18"/>
              </w:rPr>
              <w:t xml:space="preserve">$247 </w:t>
            </w:r>
            <w:proofErr w:type="spellStart"/>
            <w:r w:rsidRPr="00EC7CCD">
              <w:rPr>
                <w:rFonts w:asciiTheme="minorHAnsi" w:hAnsiTheme="minorHAnsi" w:cstheme="minorHAnsi"/>
                <w:sz w:val="18"/>
                <w:szCs w:val="18"/>
              </w:rPr>
              <w:t>million</w:t>
            </w:r>
            <w:proofErr w:type="spellEnd"/>
            <w:r w:rsidRPr="00EC7CCD">
              <w:rPr>
                <w:rFonts w:asciiTheme="minorHAnsi" w:hAnsiTheme="minorHAnsi" w:cstheme="minorHAnsi"/>
                <w:sz w:val="18"/>
                <w:szCs w:val="18"/>
              </w:rPr>
              <w:t xml:space="preserve"> </w:t>
            </w:r>
            <w:proofErr w:type="spellStart"/>
            <w:r w:rsidRPr="00EC7CCD">
              <w:rPr>
                <w:rFonts w:asciiTheme="minorHAnsi" w:hAnsiTheme="minorHAnsi" w:cstheme="minorHAnsi"/>
                <w:sz w:val="18"/>
                <w:szCs w:val="18"/>
              </w:rPr>
              <w:t>grant</w:t>
            </w:r>
            <w:proofErr w:type="spellEnd"/>
            <w:r w:rsidRPr="00EC7CCD">
              <w:rPr>
                <w:rFonts w:asciiTheme="minorHAnsi" w:hAnsiTheme="minorHAnsi" w:cstheme="minorHAnsi"/>
                <w:sz w:val="18"/>
                <w:szCs w:val="18"/>
              </w:rPr>
              <w:t xml:space="preserve"> - URTF </w:t>
            </w:r>
          </w:p>
        </w:tc>
      </w:tr>
      <w:tr w:rsidRPr="00F71B6A" w:rsidR="007E7481" w:rsidTr="003309F8" w14:paraId="4480C8EE" w14:textId="77777777">
        <w:tc>
          <w:tcPr>
            <w:tcW w:w="2472" w:type="dxa"/>
            <w:tcBorders>
              <w:top w:val="nil"/>
              <w:left w:val="single" w:color="auto" w:sz="8" w:space="0"/>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7AD4EE74" w14:textId="77777777">
            <w:pPr>
              <w:rPr>
                <w:rFonts w:asciiTheme="minorHAnsi" w:hAnsiTheme="minorHAnsi" w:cstheme="minorHAnsi"/>
                <w:sz w:val="18"/>
                <w:szCs w:val="18"/>
                <w:lang w:val="en-US"/>
              </w:rPr>
            </w:pPr>
            <w:r>
              <w:fldChar w:fldCharType="begin"/>
            </w:r>
            <w:r w:rsidRPr="00F71B6A">
              <w:rPr>
                <w:lang w:val="en-US"/>
              </w:rPr>
              <w:instrText>HYPERLINK "https://projects.worldbank.org/en/projects-operations/project-detail/P180245"</w:instrText>
            </w:r>
            <w:r>
              <w:fldChar w:fldCharType="separate"/>
            </w:r>
            <w:r w:rsidRPr="00EC7CCD">
              <w:rPr>
                <w:rStyle w:val="Hyperlink"/>
                <w:rFonts w:asciiTheme="minorHAnsi" w:hAnsiTheme="minorHAnsi" w:cstheme="minorHAnsi"/>
                <w:sz w:val="18"/>
                <w:szCs w:val="18"/>
                <w:lang w:val="en-US"/>
              </w:rPr>
              <w:t>Health Enhancement and Lifesaving (</w:t>
            </w:r>
            <w:r w:rsidRPr="00EC7CCD">
              <w:rPr>
                <w:rStyle w:val="Hyperlink"/>
                <w:rFonts w:asciiTheme="minorHAnsi" w:hAnsiTheme="minorHAnsi" w:cstheme="minorHAnsi"/>
                <w:b/>
                <w:bCs/>
                <w:sz w:val="18"/>
                <w:szCs w:val="18"/>
                <w:lang w:val="en-US"/>
              </w:rPr>
              <w:t>HEAL</w:t>
            </w:r>
            <w:r w:rsidRPr="00EC7CCD">
              <w:rPr>
                <w:rStyle w:val="Hyperlink"/>
                <w:rFonts w:asciiTheme="minorHAnsi" w:hAnsiTheme="minorHAnsi" w:cstheme="minorHAnsi"/>
                <w:sz w:val="18"/>
                <w:szCs w:val="18"/>
                <w:lang w:val="en-US"/>
              </w:rPr>
              <w:t>) Ukraine Project</w:t>
            </w:r>
            <w:r>
              <w:fldChar w:fldCharType="end"/>
            </w:r>
          </w:p>
        </w:tc>
        <w:tc>
          <w:tcPr>
            <w:tcW w:w="5041"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55CCCD54"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Restore and improve access to essential mental health and rehabilitation services, address urgent needs for health services, and provide financial protection in the emergency context.</w:t>
            </w:r>
          </w:p>
        </w:tc>
        <w:tc>
          <w:tcPr>
            <w:tcW w:w="979"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2CEDECA7" w14:textId="77777777">
            <w:pPr>
              <w:rPr>
                <w:rFonts w:asciiTheme="minorHAnsi" w:hAnsiTheme="minorHAnsi" w:cstheme="minorHAnsi"/>
                <w:sz w:val="18"/>
                <w:szCs w:val="18"/>
              </w:rPr>
            </w:pPr>
            <w:r w:rsidRPr="00EC7CCD">
              <w:rPr>
                <w:rFonts w:asciiTheme="minorHAnsi" w:hAnsiTheme="minorHAnsi" w:cstheme="minorHAnsi"/>
                <w:sz w:val="18"/>
                <w:szCs w:val="18"/>
              </w:rPr>
              <w:t xml:space="preserve">$500 </w:t>
            </w:r>
            <w:proofErr w:type="spellStart"/>
            <w:r w:rsidRPr="00EC7CCD">
              <w:rPr>
                <w:rFonts w:asciiTheme="minorHAnsi" w:hAnsiTheme="minorHAnsi" w:cstheme="minorHAnsi"/>
                <w:sz w:val="18"/>
                <w:szCs w:val="18"/>
              </w:rPr>
              <w:t>million</w:t>
            </w:r>
            <w:proofErr w:type="spellEnd"/>
          </w:p>
        </w:tc>
        <w:tc>
          <w:tcPr>
            <w:tcW w:w="2443"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3E9C940A"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€100 million IBRD loan</w:t>
            </w:r>
          </w:p>
          <w:p w:rsidRPr="00EC7CCD" w:rsidR="007E7481" w:rsidP="003309F8" w:rsidRDefault="007E7481" w14:paraId="17E82784"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$10 million grant - GFF</w:t>
            </w:r>
          </w:p>
          <w:p w:rsidRPr="00EC7CCD" w:rsidR="007E7481" w:rsidP="003309F8" w:rsidRDefault="007E7481" w14:paraId="4040AB4D"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$88 million grant - URTF</w:t>
            </w:r>
          </w:p>
          <w:p w:rsidRPr="00EC7CCD" w:rsidR="007E7481" w:rsidP="003309F8" w:rsidRDefault="007E7481" w14:paraId="0BF8733B"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€100 million - co-financing CEB loan</w:t>
            </w:r>
          </w:p>
          <w:p w:rsidRPr="00EC7CCD" w:rsidR="007E7481" w:rsidP="003309F8" w:rsidRDefault="007E7481" w14:paraId="55695222"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$100 million - parallel co-financing KEXIM loan</w:t>
            </w:r>
          </w:p>
        </w:tc>
      </w:tr>
      <w:tr w:rsidRPr="0099021D" w:rsidR="007E7481" w:rsidTr="003309F8" w14:paraId="7C7B9159" w14:textId="77777777">
        <w:tc>
          <w:tcPr>
            <w:tcW w:w="2472" w:type="dxa"/>
            <w:tcBorders>
              <w:top w:val="nil"/>
              <w:left w:val="single" w:color="auto" w:sz="8" w:space="0"/>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1BA91F7D" w14:textId="77777777">
            <w:pPr>
              <w:rPr>
                <w:rFonts w:asciiTheme="minorHAnsi" w:hAnsiTheme="minorHAnsi" w:cstheme="minorHAnsi"/>
                <w:sz w:val="18"/>
                <w:szCs w:val="18"/>
                <w:lang w:val="en-US"/>
              </w:rPr>
            </w:pPr>
            <w:r>
              <w:fldChar w:fldCharType="begin"/>
            </w:r>
            <w:r w:rsidRPr="00F71B6A">
              <w:rPr>
                <w:lang w:val="en-US"/>
              </w:rPr>
              <w:instrText>HYPERLINK "https://projects.worldbank.org/en/projects-operations/project-detail/P181200"</w:instrText>
            </w:r>
            <w:r>
              <w:fldChar w:fldCharType="separate"/>
            </w:r>
            <w:r w:rsidRPr="00EC7CCD">
              <w:rPr>
                <w:rStyle w:val="Hyperlink"/>
                <w:rFonts w:asciiTheme="minorHAnsi" w:hAnsiTheme="minorHAnsi" w:cstheme="minorHAnsi"/>
                <w:sz w:val="18"/>
                <w:szCs w:val="18"/>
                <w:lang w:val="en-US"/>
              </w:rPr>
              <w:t>Housing Repair for People's Empowerment Project (</w:t>
            </w:r>
            <w:r w:rsidRPr="00EC7CCD">
              <w:rPr>
                <w:rStyle w:val="Hyperlink"/>
                <w:rFonts w:asciiTheme="minorHAnsi" w:hAnsiTheme="minorHAnsi" w:cstheme="minorHAnsi"/>
                <w:b/>
                <w:bCs/>
                <w:sz w:val="18"/>
                <w:szCs w:val="18"/>
                <w:lang w:val="en-US"/>
              </w:rPr>
              <w:t>HOPE</w:t>
            </w:r>
            <w:r w:rsidRPr="00EC7CCD">
              <w:rPr>
                <w:rStyle w:val="Hyperlink"/>
                <w:rFonts w:asciiTheme="minorHAnsi" w:hAnsiTheme="minorHAnsi" w:cstheme="minorHAnsi"/>
                <w:sz w:val="18"/>
                <w:szCs w:val="18"/>
                <w:lang w:val="en-US"/>
              </w:rPr>
              <w:t>)</w:t>
            </w:r>
            <w:r>
              <w:fldChar w:fldCharType="end"/>
            </w:r>
          </w:p>
        </w:tc>
        <w:tc>
          <w:tcPr>
            <w:tcW w:w="5041"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4229CDC2"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Support affected households to regain adequate housing through resilient repair of damaged housing stock; and support national government in priority climate-resilient policy reforms.</w:t>
            </w:r>
          </w:p>
        </w:tc>
        <w:tc>
          <w:tcPr>
            <w:tcW w:w="979"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58C77307" w14:textId="77777777">
            <w:pPr>
              <w:rPr>
                <w:rFonts w:asciiTheme="minorHAnsi" w:hAnsiTheme="minorHAnsi" w:cstheme="minorHAnsi"/>
                <w:sz w:val="18"/>
                <w:szCs w:val="18"/>
              </w:rPr>
            </w:pPr>
            <w:r w:rsidRPr="00EC7CCD">
              <w:rPr>
                <w:rFonts w:asciiTheme="minorHAnsi" w:hAnsiTheme="minorHAnsi" w:cstheme="minorHAnsi"/>
                <w:sz w:val="18"/>
                <w:szCs w:val="18"/>
              </w:rPr>
              <w:t xml:space="preserve">$800 </w:t>
            </w:r>
            <w:proofErr w:type="spellStart"/>
            <w:r w:rsidRPr="00EC7CCD">
              <w:rPr>
                <w:rFonts w:asciiTheme="minorHAnsi" w:hAnsiTheme="minorHAnsi" w:cstheme="minorHAnsi"/>
                <w:sz w:val="18"/>
                <w:szCs w:val="18"/>
              </w:rPr>
              <w:t>million</w:t>
            </w:r>
            <w:proofErr w:type="spellEnd"/>
          </w:p>
        </w:tc>
        <w:tc>
          <w:tcPr>
            <w:tcW w:w="2443"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7694AE6E" w14:textId="77777777">
            <w:pPr>
              <w:rPr>
                <w:rFonts w:asciiTheme="minorHAnsi" w:hAnsiTheme="minorHAnsi" w:cstheme="minorHAnsi"/>
                <w:sz w:val="18"/>
                <w:szCs w:val="18"/>
              </w:rPr>
            </w:pPr>
            <w:r w:rsidRPr="00EC7CCD">
              <w:rPr>
                <w:rFonts w:asciiTheme="minorHAnsi" w:hAnsiTheme="minorHAnsi" w:cstheme="minorHAnsi"/>
                <w:sz w:val="18"/>
                <w:szCs w:val="18"/>
              </w:rPr>
              <w:t xml:space="preserve">$225 </w:t>
            </w:r>
            <w:proofErr w:type="spellStart"/>
            <w:r w:rsidRPr="00EC7CCD">
              <w:rPr>
                <w:rFonts w:asciiTheme="minorHAnsi" w:hAnsiTheme="minorHAnsi" w:cstheme="minorHAnsi"/>
                <w:sz w:val="18"/>
                <w:szCs w:val="18"/>
              </w:rPr>
              <w:t>million</w:t>
            </w:r>
            <w:proofErr w:type="spellEnd"/>
            <w:r w:rsidRPr="00EC7CCD">
              <w:rPr>
                <w:rFonts w:asciiTheme="minorHAnsi" w:hAnsiTheme="minorHAnsi" w:cstheme="minorHAnsi"/>
                <w:sz w:val="18"/>
                <w:szCs w:val="18"/>
              </w:rPr>
              <w:t xml:space="preserve"> – URTF</w:t>
            </w:r>
          </w:p>
          <w:p w:rsidRPr="00EC7CCD" w:rsidR="007E7481" w:rsidP="003309F8" w:rsidRDefault="007E7481" w14:paraId="40F49877" w14:textId="77777777">
            <w:pPr>
              <w:rPr>
                <w:rFonts w:asciiTheme="minorHAnsi" w:hAnsiTheme="minorHAnsi" w:cstheme="minorHAnsi"/>
                <w:sz w:val="18"/>
                <w:szCs w:val="18"/>
              </w:rPr>
            </w:pPr>
            <w:r w:rsidRPr="00EC7CCD">
              <w:rPr>
                <w:rFonts w:asciiTheme="minorHAnsi" w:hAnsiTheme="minorHAnsi" w:cstheme="minorHAnsi"/>
                <w:sz w:val="18"/>
                <w:szCs w:val="18"/>
              </w:rPr>
              <w:t> </w:t>
            </w:r>
          </w:p>
          <w:p w:rsidRPr="00EC7CCD" w:rsidR="007E7481" w:rsidP="003309F8" w:rsidRDefault="007E7481" w14:paraId="0289D34B" w14:textId="77777777">
            <w:pPr>
              <w:rPr>
                <w:rFonts w:asciiTheme="minorHAnsi" w:hAnsiTheme="minorHAnsi" w:cstheme="minorHAnsi"/>
                <w:sz w:val="18"/>
                <w:szCs w:val="18"/>
              </w:rPr>
            </w:pPr>
            <w:r w:rsidRPr="00EC7CCD">
              <w:rPr>
                <w:rFonts w:asciiTheme="minorHAnsi" w:hAnsiTheme="minorHAnsi" w:cstheme="minorHAnsi"/>
                <w:sz w:val="18"/>
                <w:szCs w:val="18"/>
              </w:rPr>
              <w:t> </w:t>
            </w:r>
          </w:p>
        </w:tc>
      </w:tr>
      <w:tr w:rsidRPr="00F71B6A" w:rsidR="007E7481" w:rsidTr="003309F8" w14:paraId="13498257" w14:textId="77777777">
        <w:tc>
          <w:tcPr>
            <w:tcW w:w="2472" w:type="dxa"/>
            <w:tcBorders>
              <w:top w:val="nil"/>
              <w:left w:val="single" w:color="auto" w:sz="8" w:space="0"/>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2B8410E0" w14:textId="77777777">
            <w:pPr>
              <w:rPr>
                <w:rFonts w:asciiTheme="minorHAnsi" w:hAnsiTheme="minorHAnsi" w:cstheme="minorHAnsi"/>
                <w:sz w:val="18"/>
                <w:szCs w:val="18"/>
                <w:lang w:val="en-US"/>
              </w:rPr>
            </w:pPr>
            <w:r>
              <w:fldChar w:fldCharType="begin"/>
            </w:r>
            <w:r w:rsidRPr="00F71B6A">
              <w:rPr>
                <w:lang w:val="en-US"/>
              </w:rPr>
              <w:instrText>HYPERLINK "https://projects.worldbank.org/en/projects-operations/project-detail/P180732"</w:instrText>
            </w:r>
            <w:r>
              <w:fldChar w:fldCharType="separate"/>
            </w:r>
            <w:r w:rsidRPr="00EC7CCD">
              <w:rPr>
                <w:rStyle w:val="Hyperlink"/>
                <w:rFonts w:asciiTheme="minorHAnsi" w:hAnsiTheme="minorHAnsi" w:cstheme="minorHAnsi"/>
                <w:sz w:val="18"/>
                <w:szCs w:val="18"/>
                <w:lang w:val="en-US"/>
              </w:rPr>
              <w:t>Ukraine Agriculture Recovery Inclusive Support Emergency (</w:t>
            </w:r>
            <w:r w:rsidRPr="00EC7CCD">
              <w:rPr>
                <w:rStyle w:val="Hyperlink"/>
                <w:rFonts w:asciiTheme="minorHAnsi" w:hAnsiTheme="minorHAnsi" w:cstheme="minorHAnsi"/>
                <w:b/>
                <w:bCs/>
                <w:sz w:val="18"/>
                <w:szCs w:val="18"/>
                <w:lang w:val="en-US"/>
              </w:rPr>
              <w:t>ARISE</w:t>
            </w:r>
            <w:r w:rsidRPr="00EC7CCD">
              <w:rPr>
                <w:rStyle w:val="Hyperlink"/>
                <w:rFonts w:asciiTheme="minorHAnsi" w:hAnsiTheme="minorHAnsi" w:cstheme="minorHAnsi"/>
                <w:sz w:val="18"/>
                <w:szCs w:val="18"/>
                <w:lang w:val="en-US"/>
              </w:rPr>
              <w:t>) Project</w:t>
            </w:r>
            <w:r>
              <w:fldChar w:fldCharType="end"/>
            </w:r>
          </w:p>
        </w:tc>
        <w:tc>
          <w:tcPr>
            <w:tcW w:w="5041"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0488306E"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Maintain inclusive agricultural production and provide immediate and effective response to an eligible crisis or emergency.</w:t>
            </w:r>
          </w:p>
        </w:tc>
        <w:tc>
          <w:tcPr>
            <w:tcW w:w="979"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77B69146" w14:textId="77777777">
            <w:pPr>
              <w:rPr>
                <w:rFonts w:asciiTheme="minorHAnsi" w:hAnsiTheme="minorHAnsi" w:cstheme="minorHAnsi"/>
                <w:sz w:val="18"/>
                <w:szCs w:val="18"/>
              </w:rPr>
            </w:pPr>
            <w:r w:rsidRPr="00EC7CCD">
              <w:rPr>
                <w:rFonts w:asciiTheme="minorHAnsi" w:hAnsiTheme="minorHAnsi" w:cstheme="minorHAnsi"/>
                <w:sz w:val="18"/>
                <w:szCs w:val="18"/>
              </w:rPr>
              <w:t xml:space="preserve">$700 </w:t>
            </w:r>
            <w:proofErr w:type="spellStart"/>
            <w:r w:rsidRPr="00EC7CCD">
              <w:rPr>
                <w:rFonts w:asciiTheme="minorHAnsi" w:hAnsiTheme="minorHAnsi" w:cstheme="minorHAnsi"/>
                <w:sz w:val="18"/>
                <w:szCs w:val="18"/>
              </w:rPr>
              <w:t>million</w:t>
            </w:r>
            <w:proofErr w:type="spellEnd"/>
          </w:p>
        </w:tc>
        <w:tc>
          <w:tcPr>
            <w:tcW w:w="2443" w:type="dxa"/>
            <w:tcBorders>
              <w:top w:val="nil"/>
              <w:left w:val="nil"/>
              <w:bottom w:val="single" w:color="auto" w:sz="8" w:space="0"/>
              <w:right w:val="single" w:color="auto" w:sz="8" w:space="0"/>
            </w:tcBorders>
            <w:shd w:val="clear" w:color="auto" w:fill="FFFFFF"/>
            <w:tcMar>
              <w:top w:w="120" w:type="dxa"/>
              <w:left w:w="120" w:type="dxa"/>
              <w:bottom w:w="120" w:type="dxa"/>
              <w:right w:w="120" w:type="dxa"/>
            </w:tcMar>
            <w:hideMark/>
          </w:tcPr>
          <w:p w:rsidRPr="00EC7CCD" w:rsidR="007E7481" w:rsidP="003309F8" w:rsidRDefault="007E7481" w14:paraId="31F015CE"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$365 million – URTF</w:t>
            </w:r>
          </w:p>
          <w:p w:rsidRPr="00EC7CCD" w:rsidR="007E7481" w:rsidP="003309F8" w:rsidRDefault="007E7481" w14:paraId="62813E8D"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$230 million – IBRD loan through credit enhancement from ADVANCE Ukraine TF backed by Japan</w:t>
            </w:r>
          </w:p>
        </w:tc>
      </w:tr>
      <w:tr w:rsidRPr="00F71B6A" w:rsidR="007E7481" w:rsidTr="003309F8" w14:paraId="31D62F6A" w14:textId="77777777">
        <w:tc>
          <w:tcPr>
            <w:tcW w:w="0" w:type="auto"/>
            <w:tcBorders>
              <w:top w:val="nil"/>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0619F24A" w14:textId="77777777">
            <w:pPr>
              <w:rPr>
                <w:rFonts w:asciiTheme="minorHAnsi" w:hAnsiTheme="minorHAnsi" w:cstheme="minorHAnsi"/>
                <w:sz w:val="18"/>
                <w:szCs w:val="18"/>
                <w:lang w:val="en-US"/>
              </w:rPr>
            </w:pPr>
            <w:r>
              <w:fldChar w:fldCharType="begin"/>
            </w:r>
            <w:r w:rsidRPr="00F71B6A">
              <w:rPr>
                <w:lang w:val="en-US"/>
              </w:rPr>
              <w:instrText>HYPERLINK "https://projects.worldbank.org/en/projects-operations/project-detail/P504171" \t "_blank"</w:instrText>
            </w:r>
            <w:r>
              <w:fldChar w:fldCharType="separate"/>
            </w:r>
            <w:r w:rsidRPr="00EC7CCD">
              <w:rPr>
                <w:rStyle w:val="Hyperlink"/>
                <w:rFonts w:asciiTheme="minorHAnsi" w:hAnsiTheme="minorHAnsi" w:cstheme="minorHAnsi"/>
                <w:sz w:val="18"/>
                <w:szCs w:val="18"/>
                <w:lang w:val="en-US"/>
              </w:rPr>
              <w:t>Lifting Education Access and Resilience in times of Need (</w:t>
            </w:r>
            <w:r w:rsidRPr="00EC7CCD">
              <w:rPr>
                <w:rStyle w:val="Hyperlink"/>
                <w:rFonts w:asciiTheme="minorHAnsi" w:hAnsiTheme="minorHAnsi" w:cstheme="minorHAnsi"/>
                <w:b/>
                <w:bCs/>
                <w:sz w:val="18"/>
                <w:szCs w:val="18"/>
                <w:lang w:val="en-US"/>
              </w:rPr>
              <w:t>LEARN</w:t>
            </w:r>
            <w:r w:rsidRPr="00EC7CCD">
              <w:rPr>
                <w:rStyle w:val="Hyperlink"/>
                <w:rFonts w:asciiTheme="minorHAnsi" w:hAnsiTheme="minorHAnsi" w:cstheme="minorHAnsi"/>
                <w:sz w:val="18"/>
                <w:szCs w:val="18"/>
                <w:lang w:val="en-US"/>
              </w:rPr>
              <w:t>) in Ukraine Program</w:t>
            </w:r>
            <w:r>
              <w:fldChar w:fldCharType="end"/>
            </w:r>
          </w:p>
        </w:tc>
        <w:tc>
          <w:tcPr>
            <w:tcW w:w="0" w:type="auto"/>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2C70BA94"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Improve teaching and learning conditions; and strengthen management capacity of the education system.</w:t>
            </w:r>
          </w:p>
        </w:tc>
        <w:tc>
          <w:tcPr>
            <w:tcW w:w="0" w:type="auto"/>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7BB2945B" w14:textId="77777777">
            <w:pPr>
              <w:rPr>
                <w:rFonts w:asciiTheme="minorHAnsi" w:hAnsiTheme="minorHAnsi" w:cstheme="minorHAnsi"/>
                <w:sz w:val="18"/>
                <w:szCs w:val="18"/>
              </w:rPr>
            </w:pPr>
            <w:r w:rsidRPr="00EC7CCD">
              <w:rPr>
                <w:rFonts w:asciiTheme="minorHAnsi" w:hAnsiTheme="minorHAnsi" w:cstheme="minorHAnsi"/>
                <w:sz w:val="18"/>
                <w:szCs w:val="18"/>
              </w:rPr>
              <w:t xml:space="preserve">$550 </w:t>
            </w:r>
            <w:proofErr w:type="spellStart"/>
            <w:r w:rsidRPr="00EC7CCD">
              <w:rPr>
                <w:rFonts w:asciiTheme="minorHAnsi" w:hAnsiTheme="minorHAnsi" w:cstheme="minorHAnsi"/>
                <w:sz w:val="18"/>
                <w:szCs w:val="18"/>
              </w:rPr>
              <w:t>million</w:t>
            </w:r>
            <w:proofErr w:type="spellEnd"/>
          </w:p>
        </w:tc>
        <w:tc>
          <w:tcPr>
            <w:tcW w:w="0" w:type="auto"/>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0CF26A09"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$235 million – IBRD loan through credit enhancement from ADVANCE Ukraine TF backed by Japan</w:t>
            </w:r>
          </w:p>
          <w:p w:rsidRPr="00EC7CCD" w:rsidR="007E7481" w:rsidP="003309F8" w:rsidRDefault="007E7481" w14:paraId="4ADAA23A" w14:textId="77777777">
            <w:pPr>
              <w:rPr>
                <w:rFonts w:asciiTheme="minorHAnsi" w:hAnsiTheme="minorHAnsi" w:cstheme="minorHAnsi"/>
                <w:sz w:val="18"/>
                <w:szCs w:val="18"/>
                <w:lang w:val="de-DE"/>
              </w:rPr>
            </w:pPr>
            <w:r w:rsidRPr="00EC7CCD">
              <w:rPr>
                <w:rFonts w:asciiTheme="minorHAnsi" w:hAnsiTheme="minorHAnsi" w:cstheme="minorHAnsi"/>
                <w:sz w:val="18"/>
                <w:szCs w:val="18"/>
                <w:lang w:val="de-DE"/>
              </w:rPr>
              <w:t xml:space="preserve">$150 </w:t>
            </w:r>
            <w:proofErr w:type="spellStart"/>
            <w:r w:rsidRPr="00EC7CCD">
              <w:rPr>
                <w:rFonts w:asciiTheme="minorHAnsi" w:hAnsiTheme="minorHAnsi" w:cstheme="minorHAnsi"/>
                <w:sz w:val="18"/>
                <w:szCs w:val="18"/>
                <w:lang w:val="de-DE"/>
              </w:rPr>
              <w:t>million</w:t>
            </w:r>
            <w:proofErr w:type="spellEnd"/>
            <w:r w:rsidRPr="00EC7CCD">
              <w:rPr>
                <w:rFonts w:asciiTheme="minorHAnsi" w:hAnsiTheme="minorHAnsi" w:cstheme="minorHAnsi"/>
                <w:sz w:val="18"/>
                <w:szCs w:val="18"/>
                <w:lang w:val="de-DE"/>
              </w:rPr>
              <w:t xml:space="preserve"> – IDA </w:t>
            </w:r>
            <w:proofErr w:type="spellStart"/>
            <w:r w:rsidRPr="00EC7CCD">
              <w:rPr>
                <w:rFonts w:asciiTheme="minorHAnsi" w:hAnsiTheme="minorHAnsi" w:cstheme="minorHAnsi"/>
                <w:sz w:val="18"/>
                <w:szCs w:val="18"/>
                <w:lang w:val="de-DE"/>
              </w:rPr>
              <w:t>loan</w:t>
            </w:r>
            <w:proofErr w:type="spellEnd"/>
            <w:r w:rsidRPr="00EC7CCD">
              <w:rPr>
                <w:rFonts w:asciiTheme="minorHAnsi" w:hAnsiTheme="minorHAnsi" w:cstheme="minorHAnsi"/>
                <w:sz w:val="18"/>
                <w:szCs w:val="18"/>
                <w:lang w:val="de-DE"/>
              </w:rPr>
              <w:t xml:space="preserve"> (SPUR)</w:t>
            </w:r>
          </w:p>
          <w:p w:rsidRPr="00EC7CCD" w:rsidR="007E7481" w:rsidP="003309F8" w:rsidRDefault="007E7481" w14:paraId="408E656F" w14:textId="77777777">
            <w:pPr>
              <w:rPr>
                <w:rFonts w:asciiTheme="minorHAnsi" w:hAnsiTheme="minorHAnsi" w:cstheme="minorHAnsi"/>
                <w:sz w:val="18"/>
                <w:szCs w:val="18"/>
                <w:lang w:val="de-DE"/>
              </w:rPr>
            </w:pPr>
            <w:r w:rsidRPr="00EC7CCD">
              <w:rPr>
                <w:rFonts w:asciiTheme="minorHAnsi" w:hAnsiTheme="minorHAnsi" w:cstheme="minorHAnsi"/>
                <w:sz w:val="18"/>
                <w:szCs w:val="18"/>
                <w:lang w:val="de-DE"/>
              </w:rPr>
              <w:t xml:space="preserve">$30 </w:t>
            </w:r>
            <w:proofErr w:type="spellStart"/>
            <w:r w:rsidRPr="00EC7CCD">
              <w:rPr>
                <w:rFonts w:asciiTheme="minorHAnsi" w:hAnsiTheme="minorHAnsi" w:cstheme="minorHAnsi"/>
                <w:sz w:val="18"/>
                <w:szCs w:val="18"/>
                <w:lang w:val="de-DE"/>
              </w:rPr>
              <w:t>million</w:t>
            </w:r>
            <w:proofErr w:type="spellEnd"/>
            <w:r w:rsidRPr="00EC7CCD">
              <w:rPr>
                <w:rFonts w:asciiTheme="minorHAnsi" w:hAnsiTheme="minorHAnsi" w:cstheme="minorHAnsi"/>
                <w:sz w:val="18"/>
                <w:szCs w:val="18"/>
                <w:lang w:val="de-DE"/>
              </w:rPr>
              <w:t xml:space="preserve"> – URTF </w:t>
            </w:r>
          </w:p>
        </w:tc>
      </w:tr>
      <w:tr w:rsidRPr="00F71B6A" w:rsidR="007E7481" w:rsidTr="003309F8" w14:paraId="14AD679E" w14:textId="77777777">
        <w:tc>
          <w:tcPr>
            <w:tcW w:w="0" w:type="auto"/>
            <w:tcBorders>
              <w:top w:val="nil"/>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00E5B20E" w14:textId="77777777">
            <w:pPr>
              <w:rPr>
                <w:rFonts w:asciiTheme="minorHAnsi" w:hAnsiTheme="minorHAnsi" w:cstheme="minorHAnsi"/>
                <w:sz w:val="18"/>
                <w:szCs w:val="18"/>
                <w:lang w:val="en-US"/>
              </w:rPr>
            </w:pPr>
            <w:r>
              <w:fldChar w:fldCharType="begin"/>
            </w:r>
            <w:r w:rsidRPr="00F71B6A">
              <w:rPr>
                <w:lang w:val="en-US"/>
              </w:rPr>
              <w:instrText>HYPERLINK "https://projects.worldbank.org/en/projects-operations/project-detail/P505616" \t "_blank"</w:instrText>
            </w:r>
            <w:r>
              <w:fldChar w:fldCharType="separate"/>
            </w:r>
            <w:r w:rsidRPr="00EC7CCD">
              <w:rPr>
                <w:rStyle w:val="Hyperlink"/>
                <w:rFonts w:asciiTheme="minorHAnsi" w:hAnsiTheme="minorHAnsi" w:cstheme="minorHAnsi"/>
                <w:sz w:val="18"/>
                <w:szCs w:val="18"/>
                <w:lang w:val="en-US"/>
              </w:rPr>
              <w:t>Resilient, Inclusive, and Sustainable Enterprise (</w:t>
            </w:r>
            <w:r w:rsidRPr="00EC7CCD">
              <w:rPr>
                <w:rStyle w:val="Hyperlink"/>
                <w:rFonts w:asciiTheme="minorHAnsi" w:hAnsiTheme="minorHAnsi" w:cstheme="minorHAnsi"/>
                <w:b/>
                <w:bCs/>
                <w:sz w:val="18"/>
                <w:szCs w:val="18"/>
                <w:lang w:val="en-US"/>
              </w:rPr>
              <w:t>RISE</w:t>
            </w:r>
            <w:r w:rsidRPr="00EC7CCD">
              <w:rPr>
                <w:rStyle w:val="Hyperlink"/>
                <w:rFonts w:asciiTheme="minorHAnsi" w:hAnsiTheme="minorHAnsi" w:cstheme="minorHAnsi"/>
                <w:sz w:val="18"/>
                <w:szCs w:val="18"/>
                <w:lang w:val="en-US"/>
              </w:rPr>
              <w:t>) Program</w:t>
            </w:r>
            <w:r>
              <w:fldChar w:fldCharType="end"/>
            </w:r>
          </w:p>
        </w:tc>
        <w:tc>
          <w:tcPr>
            <w:tcW w:w="0" w:type="auto"/>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06EC6D93"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Improve the enabling environment for a sustainable private sector-led recovery in Ukraine.</w:t>
            </w:r>
          </w:p>
        </w:tc>
        <w:tc>
          <w:tcPr>
            <w:tcW w:w="0" w:type="auto"/>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37345381" w14:textId="77777777">
            <w:pPr>
              <w:rPr>
                <w:rFonts w:asciiTheme="minorHAnsi" w:hAnsiTheme="minorHAnsi" w:cstheme="minorHAnsi"/>
                <w:sz w:val="18"/>
                <w:szCs w:val="18"/>
              </w:rPr>
            </w:pPr>
            <w:r w:rsidRPr="00EC7CCD">
              <w:rPr>
                <w:rFonts w:asciiTheme="minorHAnsi" w:hAnsiTheme="minorHAnsi" w:cstheme="minorHAnsi"/>
                <w:sz w:val="18"/>
                <w:szCs w:val="18"/>
              </w:rPr>
              <w:t xml:space="preserve">$1,063 </w:t>
            </w:r>
            <w:proofErr w:type="spellStart"/>
            <w:r w:rsidRPr="00EC7CCD">
              <w:rPr>
                <w:rFonts w:asciiTheme="minorHAnsi" w:hAnsiTheme="minorHAnsi" w:cstheme="minorHAnsi"/>
                <w:sz w:val="18"/>
                <w:szCs w:val="18"/>
              </w:rPr>
              <w:t>million</w:t>
            </w:r>
            <w:proofErr w:type="spellEnd"/>
          </w:p>
        </w:tc>
        <w:tc>
          <w:tcPr>
            <w:tcW w:w="0" w:type="auto"/>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6D745C8E"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$283 million – IBRD loan through credit enhancement from ADVANCE Ukraine TF backed by Japan</w:t>
            </w:r>
          </w:p>
          <w:p w:rsidRPr="00EC7CCD" w:rsidR="007E7481" w:rsidP="003309F8" w:rsidRDefault="007E7481" w14:paraId="240FB045" w14:textId="77777777">
            <w:pPr>
              <w:rPr>
                <w:rFonts w:asciiTheme="minorHAnsi" w:hAnsiTheme="minorHAnsi" w:cstheme="minorHAnsi"/>
                <w:sz w:val="18"/>
                <w:szCs w:val="18"/>
                <w:lang w:val="de-DE"/>
              </w:rPr>
            </w:pPr>
            <w:r w:rsidRPr="00EC7CCD">
              <w:rPr>
                <w:rFonts w:asciiTheme="minorHAnsi" w:hAnsiTheme="minorHAnsi" w:cstheme="minorHAnsi"/>
                <w:sz w:val="18"/>
                <w:szCs w:val="18"/>
                <w:lang w:val="de-DE"/>
              </w:rPr>
              <w:t xml:space="preserve">$300 </w:t>
            </w:r>
            <w:proofErr w:type="spellStart"/>
            <w:r w:rsidRPr="00EC7CCD">
              <w:rPr>
                <w:rFonts w:asciiTheme="minorHAnsi" w:hAnsiTheme="minorHAnsi" w:cstheme="minorHAnsi"/>
                <w:sz w:val="18"/>
                <w:szCs w:val="18"/>
                <w:lang w:val="de-DE"/>
              </w:rPr>
              <w:t>million</w:t>
            </w:r>
            <w:proofErr w:type="spellEnd"/>
            <w:r w:rsidRPr="00EC7CCD">
              <w:rPr>
                <w:rFonts w:asciiTheme="minorHAnsi" w:hAnsiTheme="minorHAnsi" w:cstheme="minorHAnsi"/>
                <w:sz w:val="18"/>
                <w:szCs w:val="18"/>
                <w:lang w:val="de-DE"/>
              </w:rPr>
              <w:t xml:space="preserve"> – IDA </w:t>
            </w:r>
            <w:proofErr w:type="spellStart"/>
            <w:r w:rsidRPr="00EC7CCD">
              <w:rPr>
                <w:rFonts w:asciiTheme="minorHAnsi" w:hAnsiTheme="minorHAnsi" w:cstheme="minorHAnsi"/>
                <w:sz w:val="18"/>
                <w:szCs w:val="18"/>
                <w:lang w:val="de-DE"/>
              </w:rPr>
              <w:t>loan</w:t>
            </w:r>
            <w:proofErr w:type="spellEnd"/>
            <w:r w:rsidRPr="00EC7CCD">
              <w:rPr>
                <w:rFonts w:asciiTheme="minorHAnsi" w:hAnsiTheme="minorHAnsi" w:cstheme="minorHAnsi"/>
                <w:sz w:val="18"/>
                <w:szCs w:val="18"/>
                <w:lang w:val="de-DE"/>
              </w:rPr>
              <w:t xml:space="preserve"> (SPUR)</w:t>
            </w:r>
          </w:p>
          <w:p w:rsidRPr="00EC7CCD" w:rsidR="007E7481" w:rsidP="003309F8" w:rsidRDefault="007E7481" w14:paraId="08EA0423" w14:textId="77777777">
            <w:pPr>
              <w:rPr>
                <w:rFonts w:asciiTheme="minorHAnsi" w:hAnsiTheme="minorHAnsi" w:cstheme="minorHAnsi"/>
                <w:sz w:val="18"/>
                <w:szCs w:val="18"/>
                <w:lang w:val="de-DE"/>
              </w:rPr>
            </w:pPr>
            <w:r w:rsidRPr="00EC7CCD">
              <w:rPr>
                <w:rFonts w:asciiTheme="minorHAnsi" w:hAnsiTheme="minorHAnsi" w:cstheme="minorHAnsi"/>
                <w:sz w:val="18"/>
                <w:szCs w:val="18"/>
                <w:lang w:val="de-DE"/>
              </w:rPr>
              <w:t xml:space="preserve">$10 </w:t>
            </w:r>
            <w:proofErr w:type="spellStart"/>
            <w:r w:rsidRPr="00EC7CCD">
              <w:rPr>
                <w:rFonts w:asciiTheme="minorHAnsi" w:hAnsiTheme="minorHAnsi" w:cstheme="minorHAnsi"/>
                <w:sz w:val="18"/>
                <w:szCs w:val="18"/>
                <w:lang w:val="de-DE"/>
              </w:rPr>
              <w:t>million</w:t>
            </w:r>
            <w:proofErr w:type="spellEnd"/>
            <w:r w:rsidRPr="00EC7CCD">
              <w:rPr>
                <w:rFonts w:asciiTheme="minorHAnsi" w:hAnsiTheme="minorHAnsi" w:cstheme="minorHAnsi"/>
                <w:sz w:val="18"/>
                <w:szCs w:val="18"/>
                <w:lang w:val="de-DE"/>
              </w:rPr>
              <w:t xml:space="preserve"> – URTF </w:t>
            </w:r>
          </w:p>
        </w:tc>
      </w:tr>
      <w:tr w:rsidRPr="00F71B6A" w:rsidR="007E7481" w:rsidTr="003309F8" w14:paraId="03EF3E10" w14:textId="77777777">
        <w:tc>
          <w:tcPr>
            <w:tcW w:w="0" w:type="auto"/>
            <w:tcBorders>
              <w:top w:val="nil"/>
              <w:left w:val="single" w:color="auto" w:sz="8" w:space="0"/>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5B6CD504" w14:textId="77777777">
            <w:pPr>
              <w:rPr>
                <w:rFonts w:asciiTheme="minorHAnsi" w:hAnsiTheme="minorHAnsi" w:cstheme="minorHAnsi"/>
                <w:sz w:val="18"/>
                <w:szCs w:val="18"/>
                <w:lang w:val="en-US"/>
              </w:rPr>
            </w:pPr>
            <w:r>
              <w:fldChar w:fldCharType="begin"/>
            </w:r>
            <w:r w:rsidRPr="00F71B6A">
              <w:rPr>
                <w:lang w:val="en-US"/>
              </w:rPr>
              <w:instrText>HYPERLINK "https://projects.worldbank.org/en/projects-operations/project-detail/P504773"</w:instrText>
            </w:r>
            <w:r>
              <w:fldChar w:fldCharType="separate"/>
            </w:r>
            <w:r w:rsidRPr="00EC7CCD">
              <w:rPr>
                <w:rStyle w:val="Hyperlink"/>
                <w:rFonts w:asciiTheme="minorHAnsi" w:hAnsiTheme="minorHAnsi" w:cstheme="minorHAnsi"/>
                <w:sz w:val="18"/>
                <w:szCs w:val="18"/>
                <w:lang w:val="en-US"/>
              </w:rPr>
              <w:t>Supporting Reconstruction through Smart Fiscal Governance (SURGE)</w:t>
            </w:r>
            <w:r>
              <w:fldChar w:fldCharType="end"/>
            </w:r>
          </w:p>
        </w:tc>
        <w:tc>
          <w:tcPr>
            <w:tcW w:w="0" w:type="auto"/>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7934D244"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The development objective of the Supporting Reconstruction Through Smart Fiscal Governance: Surge Program for Results for Ukraine is to establish the institutional foundations for implementation and financing of climate-smart recovery and reconstruction.</w:t>
            </w:r>
          </w:p>
        </w:tc>
        <w:tc>
          <w:tcPr>
            <w:tcW w:w="0" w:type="auto"/>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7A737668" w14:textId="77777777">
            <w:pPr>
              <w:rPr>
                <w:rFonts w:asciiTheme="minorHAnsi" w:hAnsiTheme="minorHAnsi" w:cstheme="minorHAnsi"/>
                <w:sz w:val="18"/>
                <w:szCs w:val="18"/>
              </w:rPr>
            </w:pPr>
            <w:r w:rsidRPr="00EC7CCD">
              <w:rPr>
                <w:rFonts w:asciiTheme="minorHAnsi" w:hAnsiTheme="minorHAnsi" w:cstheme="minorHAnsi"/>
                <w:sz w:val="18"/>
                <w:szCs w:val="18"/>
              </w:rPr>
              <w:t xml:space="preserve">$1,550 </w:t>
            </w:r>
            <w:proofErr w:type="spellStart"/>
            <w:r w:rsidRPr="00EC7CCD">
              <w:rPr>
                <w:rFonts w:asciiTheme="minorHAnsi" w:hAnsiTheme="minorHAnsi" w:cstheme="minorHAnsi"/>
                <w:sz w:val="18"/>
                <w:szCs w:val="18"/>
              </w:rPr>
              <w:t>million</w:t>
            </w:r>
            <w:proofErr w:type="spellEnd"/>
          </w:p>
        </w:tc>
        <w:tc>
          <w:tcPr>
            <w:tcW w:w="0" w:type="auto"/>
            <w:tcBorders>
              <w:top w:val="nil"/>
              <w:left w:val="nil"/>
              <w:bottom w:val="single" w:color="auto" w:sz="8" w:space="0"/>
              <w:right w:val="single" w:color="auto" w:sz="8" w:space="0"/>
            </w:tcBorders>
            <w:shd w:val="clear" w:color="auto" w:fill="FFFFFF"/>
            <w:tcMar>
              <w:top w:w="120" w:type="dxa"/>
              <w:left w:w="120" w:type="dxa"/>
              <w:bottom w:w="120" w:type="dxa"/>
              <w:right w:w="120" w:type="dxa"/>
            </w:tcMar>
            <w:vAlign w:val="center"/>
            <w:hideMark/>
          </w:tcPr>
          <w:p w:rsidRPr="00EC7CCD" w:rsidR="007E7481" w:rsidP="003309F8" w:rsidRDefault="007E7481" w14:paraId="3A926FCA"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$450 million – IBRD loan through credit enhancement from ADVANCE Ukraine TF backed by Japan</w:t>
            </w:r>
          </w:p>
          <w:p w:rsidRPr="00EC7CCD" w:rsidR="007E7481" w:rsidP="003309F8" w:rsidRDefault="007E7481" w14:paraId="1ED7638A"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$300 million – IDA loan (SPUR)</w:t>
            </w:r>
          </w:p>
          <w:p w:rsidRPr="00EC7CCD" w:rsidR="007E7481" w:rsidP="003309F8" w:rsidRDefault="007E7481" w14:paraId="48125FBA" w14:textId="77777777">
            <w:pPr>
              <w:rPr>
                <w:rFonts w:asciiTheme="minorHAnsi" w:hAnsiTheme="minorHAnsi" w:cstheme="minorHAnsi"/>
                <w:sz w:val="18"/>
                <w:szCs w:val="18"/>
                <w:lang w:val="en-US"/>
              </w:rPr>
            </w:pPr>
            <w:r w:rsidRPr="00EC7CCD">
              <w:rPr>
                <w:rFonts w:asciiTheme="minorHAnsi" w:hAnsiTheme="minorHAnsi" w:cstheme="minorHAnsi"/>
                <w:sz w:val="18"/>
                <w:szCs w:val="18"/>
                <w:lang w:val="en-US"/>
              </w:rPr>
              <w:t xml:space="preserve">$10 million – URTF (through the related </w:t>
            </w:r>
            <w:hyperlink w:history="1" r:id="rId11">
              <w:r w:rsidRPr="00EC7CCD">
                <w:rPr>
                  <w:rStyle w:val="Hyperlink"/>
                  <w:rFonts w:asciiTheme="minorHAnsi" w:hAnsiTheme="minorHAnsi" w:cstheme="minorHAnsi"/>
                  <w:sz w:val="18"/>
                  <w:szCs w:val="18"/>
                  <w:lang w:val="en-US"/>
                </w:rPr>
                <w:t>STRONG project</w:t>
              </w:r>
            </w:hyperlink>
            <w:r w:rsidRPr="00EC7CCD">
              <w:rPr>
                <w:rFonts w:asciiTheme="minorHAnsi" w:hAnsiTheme="minorHAnsi" w:cstheme="minorHAnsi"/>
                <w:sz w:val="18"/>
                <w:szCs w:val="18"/>
                <w:lang w:val="en-US"/>
              </w:rPr>
              <w:t>)</w:t>
            </w:r>
          </w:p>
        </w:tc>
      </w:tr>
    </w:tbl>
    <w:p w:rsidRPr="00B44FB8" w:rsidR="007E7481" w:rsidP="007E7481" w:rsidRDefault="007E7481" w14:paraId="0C2C96FA" w14:textId="77777777">
      <w:pPr>
        <w:spacing w:after="160" w:line="259" w:lineRule="auto"/>
        <w:rPr>
          <w:rFonts w:asciiTheme="minorHAnsi" w:hAnsiTheme="minorHAnsi" w:cstheme="minorHAnsi"/>
          <w:sz w:val="18"/>
          <w:szCs w:val="18"/>
          <w:lang w:val="en-US"/>
        </w:rPr>
      </w:pPr>
    </w:p>
    <w:p w:rsidRPr="00B44FB8" w:rsidR="007E7481" w:rsidP="007E7481" w:rsidRDefault="007E7481" w14:paraId="25A899E9" w14:textId="77777777">
      <w:pPr>
        <w:contextualSpacing/>
        <w:rPr>
          <w:rFonts w:asciiTheme="minorHAnsi" w:hAnsiTheme="minorHAnsi" w:cstheme="minorHAnsi"/>
          <w:sz w:val="18"/>
          <w:szCs w:val="18"/>
          <w:lang w:val="en-US"/>
        </w:rPr>
      </w:pPr>
    </w:p>
    <w:p w:rsidRPr="003B29E2" w:rsidR="007E7481" w:rsidP="007E7481" w:rsidRDefault="007E7481" w14:paraId="5025561C" w14:textId="77777777">
      <w:pPr>
        <w:contextualSpacing/>
        <w:rPr>
          <w:rFonts w:asciiTheme="minorHAnsi" w:hAnsiTheme="minorHAnsi" w:cstheme="minorHAnsi"/>
          <w:b/>
          <w:sz w:val="18"/>
          <w:szCs w:val="18"/>
          <w:lang w:val="en-US"/>
        </w:rPr>
      </w:pPr>
    </w:p>
    <w:p w:rsidRPr="003B29E2" w:rsidR="007E7481" w:rsidP="007E7481" w:rsidRDefault="007E7481" w14:paraId="4365618A" w14:textId="77777777">
      <w:pPr>
        <w:contextualSpacing/>
        <w:rPr>
          <w:rFonts w:asciiTheme="minorHAnsi" w:hAnsiTheme="minorHAnsi" w:cstheme="minorHAnsi"/>
          <w:b/>
          <w:sz w:val="18"/>
          <w:szCs w:val="18"/>
          <w:lang w:val="en-US"/>
        </w:rPr>
      </w:pPr>
    </w:p>
    <w:p w:rsidRPr="0099021D" w:rsidR="007E7481" w:rsidP="007E7481" w:rsidRDefault="007E7481" w14:paraId="235BBE28"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lastRenderedPageBreak/>
        <w:t>Overzichtstabel steun aan OEK via de Wereldbank sinds de Russische invasie in februari 2022:</w:t>
      </w:r>
    </w:p>
    <w:p w:rsidRPr="0099021D" w:rsidR="007E7481" w:rsidP="007E7481" w:rsidRDefault="007E7481" w14:paraId="119AC1E7" w14:textId="77777777">
      <w:pPr>
        <w:contextualSpacing/>
        <w:jc w:val="center"/>
        <w:rPr>
          <w:rFonts w:asciiTheme="minorHAnsi" w:hAnsiTheme="minorHAnsi" w:cstheme="minorHAnsi"/>
          <w:bCs/>
          <w:sz w:val="18"/>
          <w:szCs w:val="18"/>
          <w:u w:val="single"/>
        </w:rPr>
      </w:pPr>
    </w:p>
    <w:tbl>
      <w:tblPr>
        <w:tblW w:w="9335" w:type="dxa"/>
        <w:tblInd w:w="-722" w:type="dxa"/>
        <w:tblLayout w:type="fixed"/>
        <w:tblCellMar>
          <w:left w:w="57" w:type="dxa"/>
          <w:right w:w="57" w:type="dxa"/>
        </w:tblCellMar>
        <w:tblLook w:val="0000" w:firstRow="0" w:lastRow="0" w:firstColumn="0" w:lastColumn="0" w:noHBand="0" w:noVBand="0"/>
      </w:tblPr>
      <w:tblGrid>
        <w:gridCol w:w="3011"/>
        <w:gridCol w:w="2696"/>
        <w:gridCol w:w="2009"/>
        <w:gridCol w:w="1619"/>
      </w:tblGrid>
      <w:tr w:rsidRPr="0099021D" w:rsidR="007E7481" w:rsidTr="003309F8" w14:paraId="1F16B067" w14:textId="77777777">
        <w:trPr>
          <w:trHeight w:val="555"/>
        </w:trPr>
        <w:tc>
          <w:tcPr>
            <w:tcW w:w="301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790D6553"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Wat</w:t>
            </w:r>
          </w:p>
        </w:tc>
        <w:tc>
          <w:tcPr>
            <w:tcW w:w="2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11F51A04"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Wanneer</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02F3BE7C"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Type steun</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5BDF42E8"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Hoeveel</w:t>
            </w:r>
          </w:p>
        </w:tc>
      </w:tr>
      <w:tr w:rsidRPr="0099021D" w:rsidR="007E7481" w:rsidTr="003309F8" w14:paraId="155E81AD" w14:textId="77777777">
        <w:trPr>
          <w:trHeight w:val="427"/>
        </w:trPr>
        <w:tc>
          <w:tcPr>
            <w:tcW w:w="301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447A1C09" w14:textId="77777777">
            <w:pPr>
              <w:numPr>
                <w:ilvl w:val="0"/>
                <w:numId w:val="4"/>
              </w:numPr>
              <w:contextualSpacing/>
              <w:rPr>
                <w:rFonts w:asciiTheme="minorHAnsi" w:hAnsiTheme="minorHAnsi" w:cstheme="minorHAnsi"/>
                <w:bCs/>
                <w:sz w:val="18"/>
                <w:szCs w:val="18"/>
              </w:rPr>
            </w:pPr>
            <w:r w:rsidRPr="0099021D">
              <w:rPr>
                <w:rFonts w:asciiTheme="minorHAnsi" w:hAnsiTheme="minorHAnsi" w:cstheme="minorHAnsi"/>
                <w:bCs/>
                <w:sz w:val="18"/>
                <w:szCs w:val="18"/>
              </w:rPr>
              <w:t xml:space="preserve">Wereldbank – garantie </w:t>
            </w:r>
          </w:p>
        </w:tc>
        <w:tc>
          <w:tcPr>
            <w:tcW w:w="2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1B925D17"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1 maart 2022</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5909EA56"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 xml:space="preserve">Begrotingssteun – garantie </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6C6FBACF"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€100 miljoen</w:t>
            </w:r>
          </w:p>
        </w:tc>
      </w:tr>
      <w:tr w:rsidRPr="0099021D" w:rsidR="007E7481" w:rsidTr="003309F8" w14:paraId="2EEBAFCF" w14:textId="77777777">
        <w:trPr>
          <w:trHeight w:val="412"/>
        </w:trPr>
        <w:tc>
          <w:tcPr>
            <w:tcW w:w="301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65A181AB" w14:textId="77777777">
            <w:pPr>
              <w:numPr>
                <w:ilvl w:val="0"/>
                <w:numId w:val="4"/>
              </w:numPr>
              <w:contextualSpacing/>
              <w:rPr>
                <w:rFonts w:asciiTheme="minorHAnsi" w:hAnsiTheme="minorHAnsi" w:cstheme="minorHAnsi"/>
                <w:b/>
                <w:sz w:val="18"/>
                <w:szCs w:val="18"/>
              </w:rPr>
            </w:pPr>
            <w:r w:rsidRPr="0099021D">
              <w:rPr>
                <w:rFonts w:asciiTheme="minorHAnsi" w:hAnsiTheme="minorHAnsi" w:cstheme="minorHAnsi"/>
                <w:b/>
                <w:sz w:val="18"/>
                <w:szCs w:val="18"/>
              </w:rPr>
              <w:t xml:space="preserve">Wereldbank – URTF </w:t>
            </w:r>
          </w:p>
        </w:tc>
        <w:tc>
          <w:tcPr>
            <w:tcW w:w="2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7FF86352"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Steunpakket november 2022</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770737B2"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Contributie</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6AF0B20E"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€90 miljoen</w:t>
            </w:r>
          </w:p>
        </w:tc>
      </w:tr>
      <w:tr w:rsidRPr="0099021D" w:rsidR="007E7481" w:rsidTr="003309F8" w14:paraId="761AFC34" w14:textId="77777777">
        <w:trPr>
          <w:trHeight w:val="206"/>
        </w:trPr>
        <w:tc>
          <w:tcPr>
            <w:tcW w:w="301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22C46142" w14:textId="77777777">
            <w:pPr>
              <w:numPr>
                <w:ilvl w:val="0"/>
                <w:numId w:val="4"/>
              </w:numPr>
              <w:contextualSpacing/>
              <w:rPr>
                <w:rFonts w:asciiTheme="minorHAnsi" w:hAnsiTheme="minorHAnsi" w:cstheme="minorHAnsi"/>
                <w:bCs/>
                <w:sz w:val="18"/>
                <w:szCs w:val="18"/>
              </w:rPr>
            </w:pPr>
            <w:r w:rsidRPr="0099021D">
              <w:rPr>
                <w:rFonts w:asciiTheme="minorHAnsi" w:hAnsiTheme="minorHAnsi" w:cstheme="minorHAnsi"/>
                <w:bCs/>
                <w:sz w:val="18"/>
                <w:szCs w:val="18"/>
              </w:rPr>
              <w:t>IFC – landbouwsector</w:t>
            </w:r>
          </w:p>
        </w:tc>
        <w:tc>
          <w:tcPr>
            <w:tcW w:w="2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62D3D846"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Steunpakket april 2023</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741CD137"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Contributie</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10931861"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€40 miljoen</w:t>
            </w:r>
          </w:p>
        </w:tc>
      </w:tr>
      <w:tr w:rsidRPr="0099021D" w:rsidR="007E7481" w:rsidTr="003309F8" w14:paraId="19F3A97A" w14:textId="77777777">
        <w:trPr>
          <w:trHeight w:val="221"/>
        </w:trPr>
        <w:tc>
          <w:tcPr>
            <w:tcW w:w="301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044A5539" w14:textId="77777777">
            <w:pPr>
              <w:numPr>
                <w:ilvl w:val="0"/>
                <w:numId w:val="4"/>
              </w:numPr>
              <w:contextualSpacing/>
              <w:rPr>
                <w:rFonts w:asciiTheme="minorHAnsi" w:hAnsiTheme="minorHAnsi" w:cstheme="minorHAnsi"/>
                <w:b/>
                <w:sz w:val="18"/>
                <w:szCs w:val="18"/>
              </w:rPr>
            </w:pPr>
            <w:r w:rsidRPr="0099021D">
              <w:rPr>
                <w:rFonts w:asciiTheme="minorHAnsi" w:hAnsiTheme="minorHAnsi" w:cstheme="minorHAnsi"/>
                <w:b/>
                <w:sz w:val="18"/>
                <w:szCs w:val="18"/>
              </w:rPr>
              <w:t>Wereldbank – URTF</w:t>
            </w:r>
          </w:p>
        </w:tc>
        <w:tc>
          <w:tcPr>
            <w:tcW w:w="2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32B428C6"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Steunpakket april 2023</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448D0F31"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Contributie</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728CADC7"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€60 miljoen</w:t>
            </w:r>
          </w:p>
        </w:tc>
      </w:tr>
      <w:tr w:rsidRPr="0099021D" w:rsidR="007E7481" w:rsidTr="003309F8" w14:paraId="026BEF1C" w14:textId="77777777">
        <w:trPr>
          <w:trHeight w:val="206"/>
        </w:trPr>
        <w:tc>
          <w:tcPr>
            <w:tcW w:w="301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33B95C4D" w14:textId="77777777">
            <w:pPr>
              <w:numPr>
                <w:ilvl w:val="0"/>
                <w:numId w:val="4"/>
              </w:numPr>
              <w:contextualSpacing/>
              <w:rPr>
                <w:rFonts w:asciiTheme="minorHAnsi" w:hAnsiTheme="minorHAnsi" w:cstheme="minorHAnsi"/>
                <w:bCs/>
                <w:sz w:val="18"/>
                <w:szCs w:val="18"/>
              </w:rPr>
            </w:pPr>
            <w:r w:rsidRPr="0099021D">
              <w:rPr>
                <w:rFonts w:asciiTheme="minorHAnsi" w:hAnsiTheme="minorHAnsi" w:cstheme="minorHAnsi"/>
                <w:bCs/>
                <w:sz w:val="18"/>
                <w:szCs w:val="18"/>
              </w:rPr>
              <w:t>Wereldbank – SPUR</w:t>
            </w:r>
          </w:p>
        </w:tc>
        <w:tc>
          <w:tcPr>
            <w:tcW w:w="2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6916CB8A"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Steunpakket december 2023</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2A8B579C"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Contributie</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3EACB36B"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€62 miljoen</w:t>
            </w:r>
          </w:p>
        </w:tc>
      </w:tr>
      <w:tr w:rsidRPr="0099021D" w:rsidR="007E7481" w:rsidTr="003309F8" w14:paraId="7EE7D799" w14:textId="77777777">
        <w:trPr>
          <w:trHeight w:val="412"/>
        </w:trPr>
        <w:tc>
          <w:tcPr>
            <w:tcW w:w="301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01C0B37B" w14:textId="77777777">
            <w:pPr>
              <w:numPr>
                <w:ilvl w:val="0"/>
                <w:numId w:val="4"/>
              </w:numPr>
              <w:contextualSpacing/>
              <w:rPr>
                <w:rFonts w:asciiTheme="minorHAnsi" w:hAnsiTheme="minorHAnsi" w:cstheme="minorHAnsi"/>
                <w:b/>
                <w:sz w:val="18"/>
                <w:szCs w:val="18"/>
              </w:rPr>
            </w:pPr>
            <w:r w:rsidRPr="0099021D">
              <w:rPr>
                <w:rFonts w:asciiTheme="minorHAnsi" w:hAnsiTheme="minorHAnsi" w:cstheme="minorHAnsi"/>
                <w:b/>
                <w:sz w:val="18"/>
                <w:szCs w:val="18"/>
              </w:rPr>
              <w:t>Wereldbank – URTF</w:t>
            </w:r>
          </w:p>
        </w:tc>
        <w:tc>
          <w:tcPr>
            <w:tcW w:w="2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58B232E7"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Invulling BHOS-middelen 2024 (juni)</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4757A1C1"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Contributie</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07E53325"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€58 miljoen</w:t>
            </w:r>
          </w:p>
        </w:tc>
      </w:tr>
      <w:tr w:rsidRPr="0099021D" w:rsidR="007E7481" w:rsidTr="003309F8" w14:paraId="04DF1D65" w14:textId="77777777">
        <w:trPr>
          <w:trHeight w:val="968"/>
        </w:trPr>
        <w:tc>
          <w:tcPr>
            <w:tcW w:w="301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1F46FB86" w14:textId="77777777">
            <w:pPr>
              <w:numPr>
                <w:ilvl w:val="0"/>
                <w:numId w:val="4"/>
              </w:numPr>
              <w:contextualSpacing/>
              <w:rPr>
                <w:rFonts w:asciiTheme="minorHAnsi" w:hAnsiTheme="minorHAnsi" w:cstheme="minorHAnsi"/>
                <w:b/>
                <w:sz w:val="18"/>
                <w:szCs w:val="18"/>
              </w:rPr>
            </w:pPr>
            <w:r w:rsidRPr="0099021D">
              <w:rPr>
                <w:rFonts w:asciiTheme="minorHAnsi" w:hAnsiTheme="minorHAnsi" w:cstheme="minorHAnsi"/>
                <w:b/>
                <w:sz w:val="18"/>
                <w:szCs w:val="18"/>
              </w:rPr>
              <w:t>Wereldbank – URTF</w:t>
            </w:r>
          </w:p>
        </w:tc>
        <w:tc>
          <w:tcPr>
            <w:tcW w:w="2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012C0FBC"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Afkomstig uit steunpakket intensivering energiesteun, bijdrage wordt in januari 2025 overgeboekt</w:t>
            </w: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126460CA"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Contributie</w:t>
            </w: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2FE1CF6C"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€55 miljoen</w:t>
            </w:r>
          </w:p>
        </w:tc>
      </w:tr>
      <w:tr w:rsidRPr="0099021D" w:rsidR="007E7481" w:rsidTr="003309F8" w14:paraId="5F9DB55A" w14:textId="77777777">
        <w:trPr>
          <w:trHeight w:val="968"/>
        </w:trPr>
        <w:tc>
          <w:tcPr>
            <w:tcW w:w="301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7E775B88"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Totaalbedrag financiële steun aan Oekraïne via de Wereldbank</w:t>
            </w:r>
          </w:p>
        </w:tc>
        <w:tc>
          <w:tcPr>
            <w:tcW w:w="2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43FF5C91" w14:textId="77777777">
            <w:pPr>
              <w:contextualSpacing/>
              <w:rPr>
                <w:rFonts w:asciiTheme="minorHAnsi" w:hAnsiTheme="minorHAnsi" w:cstheme="minorHAnsi"/>
                <w:bCs/>
                <w:sz w:val="18"/>
                <w:szCs w:val="18"/>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368EF4FA" w14:textId="77777777">
            <w:pPr>
              <w:contextualSpacing/>
              <w:rPr>
                <w:rFonts w:asciiTheme="minorHAnsi" w:hAnsiTheme="minorHAnsi" w:cstheme="minorHAnsi"/>
                <w:bCs/>
                <w:sz w:val="18"/>
                <w:szCs w:val="18"/>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2558ED8B" w14:textId="77777777">
            <w:pPr>
              <w:contextualSpacing/>
              <w:rPr>
                <w:rFonts w:asciiTheme="minorHAnsi" w:hAnsiTheme="minorHAnsi" w:cstheme="minorHAnsi"/>
                <w:bCs/>
                <w:sz w:val="18"/>
                <w:szCs w:val="18"/>
              </w:rPr>
            </w:pPr>
            <w:r w:rsidRPr="0099021D">
              <w:rPr>
                <w:rFonts w:asciiTheme="minorHAnsi" w:hAnsiTheme="minorHAnsi" w:cstheme="minorHAnsi"/>
                <w:bCs/>
                <w:sz w:val="18"/>
                <w:szCs w:val="18"/>
              </w:rPr>
              <w:t>€465 miljoen</w:t>
            </w:r>
          </w:p>
        </w:tc>
      </w:tr>
      <w:tr w:rsidRPr="00847935" w:rsidR="007E7481" w:rsidTr="003309F8" w14:paraId="3365EE14" w14:textId="77777777">
        <w:trPr>
          <w:trHeight w:val="968"/>
        </w:trPr>
        <w:tc>
          <w:tcPr>
            <w:tcW w:w="3011"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40431EF4"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Totaalbedrag financiële steun via het URTF van de Wereldbank</w:t>
            </w:r>
          </w:p>
        </w:tc>
        <w:tc>
          <w:tcPr>
            <w:tcW w:w="269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6A0747A3" w14:textId="77777777">
            <w:pPr>
              <w:contextualSpacing/>
              <w:rPr>
                <w:rFonts w:asciiTheme="minorHAnsi" w:hAnsiTheme="minorHAnsi" w:cstheme="minorHAnsi"/>
                <w:b/>
                <w:sz w:val="18"/>
                <w:szCs w:val="18"/>
              </w:rPr>
            </w:pPr>
          </w:p>
        </w:tc>
        <w:tc>
          <w:tcPr>
            <w:tcW w:w="200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99021D" w:rsidR="007E7481" w:rsidP="003309F8" w:rsidRDefault="007E7481" w14:paraId="34541F9E" w14:textId="77777777">
            <w:pPr>
              <w:contextualSpacing/>
              <w:rPr>
                <w:rFonts w:asciiTheme="minorHAnsi" w:hAnsiTheme="minorHAnsi" w:cstheme="minorHAnsi"/>
                <w:b/>
                <w:sz w:val="18"/>
                <w:szCs w:val="18"/>
              </w:rPr>
            </w:pPr>
          </w:p>
        </w:tc>
        <w:tc>
          <w:tcPr>
            <w:tcW w:w="1619"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Pr="00847935" w:rsidR="007E7481" w:rsidP="003309F8" w:rsidRDefault="007E7481" w14:paraId="1A4DBD5A" w14:textId="77777777">
            <w:pPr>
              <w:contextualSpacing/>
              <w:rPr>
                <w:rFonts w:asciiTheme="minorHAnsi" w:hAnsiTheme="minorHAnsi" w:cstheme="minorHAnsi"/>
                <w:b/>
                <w:sz w:val="18"/>
                <w:szCs w:val="18"/>
              </w:rPr>
            </w:pPr>
            <w:r w:rsidRPr="0099021D">
              <w:rPr>
                <w:rFonts w:asciiTheme="minorHAnsi" w:hAnsiTheme="minorHAnsi" w:cstheme="minorHAnsi"/>
                <w:b/>
                <w:sz w:val="18"/>
                <w:szCs w:val="18"/>
              </w:rPr>
              <w:t>€263 miljoen (inclusief bijdrage in januari 2025)</w:t>
            </w:r>
            <w:r w:rsidRPr="00847935">
              <w:rPr>
                <w:rFonts w:asciiTheme="minorHAnsi" w:hAnsiTheme="minorHAnsi" w:cstheme="minorHAnsi"/>
                <w:b/>
                <w:sz w:val="18"/>
                <w:szCs w:val="18"/>
              </w:rPr>
              <w:t xml:space="preserve"> </w:t>
            </w:r>
          </w:p>
        </w:tc>
      </w:tr>
    </w:tbl>
    <w:p w:rsidRPr="00847935" w:rsidR="007E7481" w:rsidP="007E7481" w:rsidRDefault="007E7481" w14:paraId="686B3A92" w14:textId="77777777">
      <w:pPr>
        <w:contextualSpacing/>
        <w:rPr>
          <w:rFonts w:asciiTheme="minorHAnsi" w:hAnsiTheme="minorHAnsi" w:cstheme="minorHAnsi"/>
          <w:b/>
          <w:i/>
          <w:iCs/>
          <w:sz w:val="18"/>
          <w:szCs w:val="18"/>
        </w:rPr>
      </w:pPr>
    </w:p>
    <w:p w:rsidRPr="00847935" w:rsidR="007E7481" w:rsidP="007E7481" w:rsidRDefault="007E7481" w14:paraId="74B2F3EA" w14:textId="77777777">
      <w:pPr>
        <w:rPr>
          <w:rFonts w:asciiTheme="minorHAnsi" w:hAnsiTheme="minorHAnsi" w:cstheme="minorHAnsi"/>
          <w:sz w:val="18"/>
          <w:szCs w:val="18"/>
        </w:rPr>
      </w:pPr>
    </w:p>
    <w:p w:rsidRPr="00847935" w:rsidR="007E7481" w:rsidP="007E7481" w:rsidRDefault="007E7481" w14:paraId="10444209" w14:textId="77777777">
      <w:pPr>
        <w:spacing w:after="160" w:line="259" w:lineRule="auto"/>
        <w:rPr>
          <w:rFonts w:asciiTheme="minorHAnsi" w:hAnsiTheme="minorHAnsi" w:cstheme="minorHAnsi"/>
          <w:sz w:val="18"/>
          <w:szCs w:val="18"/>
        </w:rPr>
      </w:pPr>
    </w:p>
    <w:p w:rsidRPr="00EC7CCD" w:rsidR="007E7481" w:rsidP="007E7481" w:rsidRDefault="007E7481" w14:paraId="25A607A5" w14:textId="77777777">
      <w:pPr>
        <w:rPr>
          <w:rFonts w:asciiTheme="minorHAnsi" w:hAnsiTheme="minorHAnsi" w:cstheme="minorHAnsi"/>
          <w:sz w:val="18"/>
          <w:szCs w:val="18"/>
        </w:rPr>
      </w:pPr>
    </w:p>
    <w:p w:rsidRPr="00EC7CCD" w:rsidR="007E7481" w:rsidP="007E7481" w:rsidRDefault="007E7481" w14:paraId="6D801D81" w14:textId="77777777">
      <w:pPr>
        <w:rPr>
          <w:rFonts w:asciiTheme="minorHAnsi" w:hAnsiTheme="minorHAnsi" w:cstheme="minorHAnsi"/>
          <w:sz w:val="18"/>
          <w:szCs w:val="18"/>
        </w:rPr>
      </w:pPr>
    </w:p>
    <w:p w:rsidRPr="00EC7CCD" w:rsidR="007E7481" w:rsidP="007E7481" w:rsidRDefault="007E7481" w14:paraId="66F8D286" w14:textId="77777777">
      <w:pPr>
        <w:rPr>
          <w:rFonts w:asciiTheme="minorHAnsi" w:hAnsiTheme="minorHAnsi" w:cstheme="minorHAnsi"/>
          <w:sz w:val="16"/>
          <w:szCs w:val="16"/>
        </w:rPr>
      </w:pPr>
    </w:p>
    <w:p w:rsidRPr="007007D7" w:rsidR="007E7481" w:rsidP="007E7481" w:rsidRDefault="007E7481" w14:paraId="72B157D6" w14:textId="77777777"/>
    <w:p w:rsidRPr="007E7481" w:rsidR="0045721A" w:rsidP="007E7481" w:rsidRDefault="0045721A" w14:paraId="09974250" w14:textId="77777777"/>
    <w:sectPr w:rsidRPr="007E7481" w:rsidR="0045721A" w:rsidSect="00EC7CCD">
      <w:headerReference w:type="default" r:id="rId12"/>
      <w:footerReference w:type="default" r:id="rId13"/>
      <w:pgSz w:w="11906" w:h="16838" w:code="9"/>
      <w:pgMar w:top="1440" w:right="1440" w:bottom="1440" w:left="1440" w:header="709" w:footer="709" w:gutter="0"/>
      <w:pgNumType w:fmt="lowerRoman"/>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AD5E" w14:textId="77777777" w:rsidR="00182478" w:rsidRDefault="00182478">
      <w:r>
        <w:separator/>
      </w:r>
    </w:p>
  </w:endnote>
  <w:endnote w:type="continuationSeparator" w:id="0">
    <w:p w14:paraId="14FFAA2A" w14:textId="77777777" w:rsidR="00182478" w:rsidRDefault="0018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8034080"/>
      <w:docPartObj>
        <w:docPartGallery w:val="Page Numbers (Bottom of Page)"/>
        <w:docPartUnique/>
      </w:docPartObj>
    </w:sdtPr>
    <w:sdtContent>
      <w:p w14:paraId="348B8EFD" w14:textId="77777777" w:rsidR="0045721A" w:rsidRDefault="000B6FC3">
        <w:pPr>
          <w:pStyle w:val="Footer"/>
          <w:jc w:val="right"/>
        </w:pPr>
        <w:r>
          <w:fldChar w:fldCharType="begin"/>
        </w:r>
        <w:r>
          <w:instrText>PAGE   \* MERGEFORMAT</w:instrText>
        </w:r>
        <w:r>
          <w:fldChar w:fldCharType="separate"/>
        </w:r>
        <w:r>
          <w:rPr>
            <w:noProof/>
          </w:rPr>
          <w:t>viii</w:t>
        </w:r>
        <w:r>
          <w:fldChar w:fldCharType="end"/>
        </w:r>
      </w:p>
    </w:sdtContent>
  </w:sdt>
  <w:p w14:paraId="68F94F68" w14:textId="77777777" w:rsidR="0045721A" w:rsidRDefault="0045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CCF9" w14:textId="77777777" w:rsidR="00182478" w:rsidRDefault="00182478">
      <w:r>
        <w:separator/>
      </w:r>
    </w:p>
  </w:footnote>
  <w:footnote w:type="continuationSeparator" w:id="0">
    <w:p w14:paraId="11488336" w14:textId="77777777" w:rsidR="00182478" w:rsidRDefault="00182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610872"/>
      <w:docPartObj>
        <w:docPartGallery w:val="Page Numbers (Top of Page)"/>
        <w:docPartUnique/>
      </w:docPartObj>
    </w:sdtPr>
    <w:sdtContent>
      <w:p w14:paraId="7EDC0D8F" w14:textId="77777777" w:rsidR="0045721A" w:rsidRDefault="000B6FC3">
        <w:pPr>
          <w:pStyle w:val="Header"/>
          <w:jc w:val="right"/>
        </w:pPr>
        <w:r>
          <w:fldChar w:fldCharType="begin"/>
        </w:r>
        <w:r>
          <w:instrText>PAGE   \* MERGEFORMAT</w:instrText>
        </w:r>
        <w:r>
          <w:fldChar w:fldCharType="separate"/>
        </w:r>
        <w:r>
          <w:rPr>
            <w:noProof/>
          </w:rPr>
          <w:t>viii</w:t>
        </w:r>
        <w:r>
          <w:fldChar w:fldCharType="end"/>
        </w:r>
      </w:p>
    </w:sdtContent>
  </w:sdt>
  <w:p w14:paraId="5B01208E" w14:textId="77777777" w:rsidR="0045721A" w:rsidRDefault="00457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2B1C"/>
    <w:multiLevelType w:val="hybridMultilevel"/>
    <w:tmpl w:val="7D2C7CC6"/>
    <w:lvl w:ilvl="0" w:tplc="A36AC568">
      <w:numFmt w:val="bullet"/>
      <w:lvlText w:val="•"/>
      <w:lvlJc w:val="left"/>
      <w:pPr>
        <w:ind w:left="3" w:hanging="610"/>
      </w:pPr>
      <w:rPr>
        <w:rFonts w:ascii="Calibri" w:eastAsiaTheme="minorHAnsi" w:hAnsi="Calibri" w:cs="Calibri" w:hint="default"/>
      </w:rPr>
    </w:lvl>
    <w:lvl w:ilvl="1" w:tplc="04130003" w:tentative="1">
      <w:start w:val="1"/>
      <w:numFmt w:val="bullet"/>
      <w:lvlText w:val="o"/>
      <w:lvlJc w:val="left"/>
      <w:pPr>
        <w:ind w:left="720" w:hanging="360"/>
      </w:pPr>
      <w:rPr>
        <w:rFonts w:ascii="Courier New" w:hAnsi="Courier New" w:cs="Courier New" w:hint="default"/>
      </w:rPr>
    </w:lvl>
    <w:lvl w:ilvl="2" w:tplc="04130005" w:tentative="1">
      <w:start w:val="1"/>
      <w:numFmt w:val="bullet"/>
      <w:lvlText w:val=""/>
      <w:lvlJc w:val="left"/>
      <w:pPr>
        <w:ind w:left="1440" w:hanging="360"/>
      </w:pPr>
      <w:rPr>
        <w:rFonts w:ascii="Wingdings" w:hAnsi="Wingdings" w:hint="default"/>
      </w:rPr>
    </w:lvl>
    <w:lvl w:ilvl="3" w:tplc="04130001" w:tentative="1">
      <w:start w:val="1"/>
      <w:numFmt w:val="bullet"/>
      <w:lvlText w:val=""/>
      <w:lvlJc w:val="left"/>
      <w:pPr>
        <w:ind w:left="2160" w:hanging="360"/>
      </w:pPr>
      <w:rPr>
        <w:rFonts w:ascii="Symbol" w:hAnsi="Symbol" w:hint="default"/>
      </w:rPr>
    </w:lvl>
    <w:lvl w:ilvl="4" w:tplc="04130003" w:tentative="1">
      <w:start w:val="1"/>
      <w:numFmt w:val="bullet"/>
      <w:lvlText w:val="o"/>
      <w:lvlJc w:val="left"/>
      <w:pPr>
        <w:ind w:left="2880" w:hanging="360"/>
      </w:pPr>
      <w:rPr>
        <w:rFonts w:ascii="Courier New" w:hAnsi="Courier New" w:cs="Courier New" w:hint="default"/>
      </w:rPr>
    </w:lvl>
    <w:lvl w:ilvl="5" w:tplc="04130005" w:tentative="1">
      <w:start w:val="1"/>
      <w:numFmt w:val="bullet"/>
      <w:lvlText w:val=""/>
      <w:lvlJc w:val="left"/>
      <w:pPr>
        <w:ind w:left="3600" w:hanging="360"/>
      </w:pPr>
      <w:rPr>
        <w:rFonts w:ascii="Wingdings" w:hAnsi="Wingdings" w:hint="default"/>
      </w:rPr>
    </w:lvl>
    <w:lvl w:ilvl="6" w:tplc="04130001" w:tentative="1">
      <w:start w:val="1"/>
      <w:numFmt w:val="bullet"/>
      <w:lvlText w:val=""/>
      <w:lvlJc w:val="left"/>
      <w:pPr>
        <w:ind w:left="4320" w:hanging="360"/>
      </w:pPr>
      <w:rPr>
        <w:rFonts w:ascii="Symbol" w:hAnsi="Symbol" w:hint="default"/>
      </w:rPr>
    </w:lvl>
    <w:lvl w:ilvl="7" w:tplc="04130003" w:tentative="1">
      <w:start w:val="1"/>
      <w:numFmt w:val="bullet"/>
      <w:lvlText w:val="o"/>
      <w:lvlJc w:val="left"/>
      <w:pPr>
        <w:ind w:left="5040" w:hanging="360"/>
      </w:pPr>
      <w:rPr>
        <w:rFonts w:ascii="Courier New" w:hAnsi="Courier New" w:cs="Courier New" w:hint="default"/>
      </w:rPr>
    </w:lvl>
    <w:lvl w:ilvl="8" w:tplc="04130005" w:tentative="1">
      <w:start w:val="1"/>
      <w:numFmt w:val="bullet"/>
      <w:lvlText w:val=""/>
      <w:lvlJc w:val="left"/>
      <w:pPr>
        <w:ind w:left="5760" w:hanging="360"/>
      </w:pPr>
      <w:rPr>
        <w:rFonts w:ascii="Wingdings" w:hAnsi="Wingdings" w:hint="default"/>
      </w:rPr>
    </w:lvl>
  </w:abstractNum>
  <w:abstractNum w:abstractNumId="1" w15:restartNumberingAfterBreak="0">
    <w:nsid w:val="10055234"/>
    <w:multiLevelType w:val="multilevel"/>
    <w:tmpl w:val="DD7A3B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16D09A1"/>
    <w:multiLevelType w:val="hybridMultilevel"/>
    <w:tmpl w:val="204C68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DAC25B1"/>
    <w:multiLevelType w:val="hybridMultilevel"/>
    <w:tmpl w:val="75FE03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9C26168"/>
    <w:multiLevelType w:val="multilevel"/>
    <w:tmpl w:val="E39A49D0"/>
    <w:lvl w:ilvl="0">
      <w:start w:val="1"/>
      <w:numFmt w:val="decimal"/>
      <w:lvlText w:val="%1."/>
      <w:lvlJc w:val="left"/>
      <w:pPr>
        <w:ind w:left="360" w:hanging="360"/>
      </w:pPr>
      <w:rPr>
        <w:rFonts w:asciiTheme="minorHAnsi" w:hAnsiTheme="minorHAnsi" w:cstheme="minorHAnsi" w:hint="default"/>
        <w:sz w:val="16"/>
        <w:szCs w:val="16"/>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5" w15:restartNumberingAfterBreak="0">
    <w:nsid w:val="4F774F82"/>
    <w:multiLevelType w:val="hybridMultilevel"/>
    <w:tmpl w:val="85386006"/>
    <w:lvl w:ilvl="0" w:tplc="04130003">
      <w:start w:val="1"/>
      <w:numFmt w:val="bullet"/>
      <w:lvlText w:val="o"/>
      <w:lvlJc w:val="left"/>
      <w:pPr>
        <w:ind w:left="363" w:hanging="61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1980DC5"/>
    <w:multiLevelType w:val="hybridMultilevel"/>
    <w:tmpl w:val="0EC86DC0"/>
    <w:lvl w:ilvl="0" w:tplc="DAA0EF58">
      <w:start w:val="1"/>
      <w:numFmt w:val="bullet"/>
      <w:lvlText w:val=""/>
      <w:lvlJc w:val="left"/>
      <w:pPr>
        <w:ind w:left="363" w:hanging="61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677959CB"/>
    <w:multiLevelType w:val="hybridMultilevel"/>
    <w:tmpl w:val="2B4A3E72"/>
    <w:lvl w:ilvl="0" w:tplc="A36AC568">
      <w:numFmt w:val="bullet"/>
      <w:lvlText w:val="•"/>
      <w:lvlJc w:val="left"/>
      <w:pPr>
        <w:ind w:left="812" w:hanging="610"/>
      </w:pPr>
      <w:rPr>
        <w:rFonts w:ascii="Calibri" w:eastAsiaTheme="minorHAnsi" w:hAnsi="Calibri" w:cs="Calibri" w:hint="default"/>
      </w:rPr>
    </w:lvl>
    <w:lvl w:ilvl="1" w:tplc="04130003" w:tentative="1">
      <w:start w:val="1"/>
      <w:numFmt w:val="bullet"/>
      <w:lvlText w:val="o"/>
      <w:lvlJc w:val="left"/>
      <w:pPr>
        <w:ind w:left="1529" w:hanging="360"/>
      </w:pPr>
      <w:rPr>
        <w:rFonts w:ascii="Courier New" w:hAnsi="Courier New" w:cs="Courier New" w:hint="default"/>
      </w:rPr>
    </w:lvl>
    <w:lvl w:ilvl="2" w:tplc="04130005" w:tentative="1">
      <w:start w:val="1"/>
      <w:numFmt w:val="bullet"/>
      <w:lvlText w:val=""/>
      <w:lvlJc w:val="left"/>
      <w:pPr>
        <w:ind w:left="2249" w:hanging="360"/>
      </w:pPr>
      <w:rPr>
        <w:rFonts w:ascii="Wingdings" w:hAnsi="Wingdings" w:hint="default"/>
      </w:rPr>
    </w:lvl>
    <w:lvl w:ilvl="3" w:tplc="04130001" w:tentative="1">
      <w:start w:val="1"/>
      <w:numFmt w:val="bullet"/>
      <w:lvlText w:val=""/>
      <w:lvlJc w:val="left"/>
      <w:pPr>
        <w:ind w:left="2969" w:hanging="360"/>
      </w:pPr>
      <w:rPr>
        <w:rFonts w:ascii="Symbol" w:hAnsi="Symbol" w:hint="default"/>
      </w:rPr>
    </w:lvl>
    <w:lvl w:ilvl="4" w:tplc="04130003" w:tentative="1">
      <w:start w:val="1"/>
      <w:numFmt w:val="bullet"/>
      <w:lvlText w:val="o"/>
      <w:lvlJc w:val="left"/>
      <w:pPr>
        <w:ind w:left="3689" w:hanging="360"/>
      </w:pPr>
      <w:rPr>
        <w:rFonts w:ascii="Courier New" w:hAnsi="Courier New" w:cs="Courier New" w:hint="default"/>
      </w:rPr>
    </w:lvl>
    <w:lvl w:ilvl="5" w:tplc="04130005" w:tentative="1">
      <w:start w:val="1"/>
      <w:numFmt w:val="bullet"/>
      <w:lvlText w:val=""/>
      <w:lvlJc w:val="left"/>
      <w:pPr>
        <w:ind w:left="4409" w:hanging="360"/>
      </w:pPr>
      <w:rPr>
        <w:rFonts w:ascii="Wingdings" w:hAnsi="Wingdings" w:hint="default"/>
      </w:rPr>
    </w:lvl>
    <w:lvl w:ilvl="6" w:tplc="04130001" w:tentative="1">
      <w:start w:val="1"/>
      <w:numFmt w:val="bullet"/>
      <w:lvlText w:val=""/>
      <w:lvlJc w:val="left"/>
      <w:pPr>
        <w:ind w:left="5129" w:hanging="360"/>
      </w:pPr>
      <w:rPr>
        <w:rFonts w:ascii="Symbol" w:hAnsi="Symbol" w:hint="default"/>
      </w:rPr>
    </w:lvl>
    <w:lvl w:ilvl="7" w:tplc="04130003" w:tentative="1">
      <w:start w:val="1"/>
      <w:numFmt w:val="bullet"/>
      <w:lvlText w:val="o"/>
      <w:lvlJc w:val="left"/>
      <w:pPr>
        <w:ind w:left="5849" w:hanging="360"/>
      </w:pPr>
      <w:rPr>
        <w:rFonts w:ascii="Courier New" w:hAnsi="Courier New" w:cs="Courier New" w:hint="default"/>
      </w:rPr>
    </w:lvl>
    <w:lvl w:ilvl="8" w:tplc="04130005" w:tentative="1">
      <w:start w:val="1"/>
      <w:numFmt w:val="bullet"/>
      <w:lvlText w:val=""/>
      <w:lvlJc w:val="left"/>
      <w:pPr>
        <w:ind w:left="6569" w:hanging="360"/>
      </w:pPr>
      <w:rPr>
        <w:rFonts w:ascii="Wingdings" w:hAnsi="Wingdings" w:hint="default"/>
      </w:rPr>
    </w:lvl>
  </w:abstractNum>
  <w:abstractNum w:abstractNumId="8" w15:restartNumberingAfterBreak="0">
    <w:nsid w:val="741D6043"/>
    <w:multiLevelType w:val="multilevel"/>
    <w:tmpl w:val="DD7A3B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C912827"/>
    <w:multiLevelType w:val="multilevel"/>
    <w:tmpl w:val="586455CC"/>
    <w:lvl w:ilvl="0">
      <w:numFmt w:val="bullet"/>
      <w:lvlText w:val=""/>
      <w:lvlJc w:val="left"/>
      <w:pPr>
        <w:ind w:left="72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79435446">
    <w:abstractNumId w:val="0"/>
  </w:num>
  <w:num w:numId="2" w16cid:durableId="195242159">
    <w:abstractNumId w:val="3"/>
  </w:num>
  <w:num w:numId="3" w16cid:durableId="785587557">
    <w:abstractNumId w:val="7"/>
  </w:num>
  <w:num w:numId="4" w16cid:durableId="1597979988">
    <w:abstractNumId w:val="4"/>
  </w:num>
  <w:num w:numId="5" w16cid:durableId="1350526899">
    <w:abstractNumId w:val="1"/>
  </w:num>
  <w:num w:numId="6" w16cid:durableId="1047490787">
    <w:abstractNumId w:val="8"/>
  </w:num>
  <w:num w:numId="7" w16cid:durableId="2132432474">
    <w:abstractNumId w:val="9"/>
  </w:num>
  <w:num w:numId="8" w16cid:durableId="1658921273">
    <w:abstractNumId w:val="5"/>
  </w:num>
  <w:num w:numId="9" w16cid:durableId="1815220905">
    <w:abstractNumId w:val="6"/>
  </w:num>
  <w:num w:numId="10" w16cid:durableId="1768502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CD"/>
    <w:rsid w:val="00001EA8"/>
    <w:rsid w:val="00043176"/>
    <w:rsid w:val="000A063A"/>
    <w:rsid w:val="000B6FC3"/>
    <w:rsid w:val="00137E30"/>
    <w:rsid w:val="00154BFB"/>
    <w:rsid w:val="001732F9"/>
    <w:rsid w:val="00182478"/>
    <w:rsid w:val="001924CB"/>
    <w:rsid w:val="001E33F9"/>
    <w:rsid w:val="0020049F"/>
    <w:rsid w:val="00331DBC"/>
    <w:rsid w:val="0037191E"/>
    <w:rsid w:val="00394DB0"/>
    <w:rsid w:val="003B29E2"/>
    <w:rsid w:val="0045721A"/>
    <w:rsid w:val="005B789B"/>
    <w:rsid w:val="00625149"/>
    <w:rsid w:val="006C51E4"/>
    <w:rsid w:val="007E7481"/>
    <w:rsid w:val="00847935"/>
    <w:rsid w:val="008C44C3"/>
    <w:rsid w:val="0099021D"/>
    <w:rsid w:val="009B1847"/>
    <w:rsid w:val="009D274D"/>
    <w:rsid w:val="00A50BD2"/>
    <w:rsid w:val="00A60A70"/>
    <w:rsid w:val="00B44FB8"/>
    <w:rsid w:val="00C654E3"/>
    <w:rsid w:val="00D93755"/>
    <w:rsid w:val="00EC7CCD"/>
    <w:rsid w:val="00EF7263"/>
    <w:rsid w:val="00F71B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27DFC"/>
  <w15:chartTrackingRefBased/>
  <w15:docId w15:val="{F34F5F15-22BB-4F27-B968-3AAC9F5D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C7CCD"/>
  </w:style>
  <w:style w:type="paragraph" w:customStyle="1" w:styleId="TableParagraph">
    <w:name w:val="Table Paragraph"/>
    <w:basedOn w:val="Normal"/>
    <w:uiPriority w:val="1"/>
    <w:rsid w:val="00EC7CCD"/>
    <w:pPr>
      <w:autoSpaceDE w:val="0"/>
      <w:autoSpaceDN w:val="0"/>
      <w:spacing w:before="82"/>
      <w:ind w:left="113"/>
    </w:p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C7CCD"/>
    <w:pPr>
      <w:spacing w:line="240" w:lineRule="atLeast"/>
      <w:ind w:left="720"/>
      <w:contextualSpacing/>
    </w:pPr>
    <w:rPr>
      <w:rFonts w:ascii="Verdana" w:eastAsia="Times New Roman" w:hAnsi="Verdana" w:cs="Times New Roman"/>
      <w:sz w:val="18"/>
      <w:szCs w:val="24"/>
      <w:lang w:eastAsia="nl-NL"/>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C7CCD"/>
    <w:rPr>
      <w:rFonts w:ascii="Verdana" w:eastAsia="Times New Roman" w:hAnsi="Verdana" w:cs="Times New Roman"/>
      <w:sz w:val="18"/>
      <w:szCs w:val="24"/>
      <w:lang w:eastAsia="nl-NL"/>
    </w:rPr>
  </w:style>
  <w:style w:type="paragraph" w:styleId="Header">
    <w:name w:val="header"/>
    <w:basedOn w:val="Normal"/>
    <w:link w:val="HeaderChar"/>
    <w:uiPriority w:val="99"/>
    <w:unhideWhenUsed/>
    <w:rsid w:val="00EC7CCD"/>
    <w:pPr>
      <w:tabs>
        <w:tab w:val="center" w:pos="4513"/>
        <w:tab w:val="right" w:pos="9026"/>
      </w:tabs>
    </w:pPr>
  </w:style>
  <w:style w:type="character" w:customStyle="1" w:styleId="HeaderChar">
    <w:name w:val="Header Char"/>
    <w:basedOn w:val="DefaultParagraphFont"/>
    <w:link w:val="Header"/>
    <w:uiPriority w:val="99"/>
    <w:rsid w:val="00EC7CCD"/>
    <w:rPr>
      <w:rFonts w:ascii="Calibri" w:hAnsi="Calibri" w:cs="Calibri"/>
    </w:rPr>
  </w:style>
  <w:style w:type="paragraph" w:styleId="Footer">
    <w:name w:val="footer"/>
    <w:basedOn w:val="Normal"/>
    <w:link w:val="FooterChar"/>
    <w:uiPriority w:val="99"/>
    <w:unhideWhenUsed/>
    <w:rsid w:val="00EC7CCD"/>
    <w:pPr>
      <w:tabs>
        <w:tab w:val="center" w:pos="4513"/>
        <w:tab w:val="right" w:pos="9026"/>
      </w:tabs>
    </w:pPr>
  </w:style>
  <w:style w:type="character" w:customStyle="1" w:styleId="FooterChar">
    <w:name w:val="Footer Char"/>
    <w:basedOn w:val="DefaultParagraphFont"/>
    <w:link w:val="Footer"/>
    <w:uiPriority w:val="99"/>
    <w:rsid w:val="00EC7CCD"/>
    <w:rPr>
      <w:rFonts w:ascii="Calibri" w:hAnsi="Calibri" w:cs="Calibri"/>
    </w:rPr>
  </w:style>
  <w:style w:type="character" w:styleId="Hyperlink">
    <w:name w:val="Hyperlink"/>
    <w:basedOn w:val="DefaultParagraphFont"/>
    <w:uiPriority w:val="99"/>
    <w:unhideWhenUsed/>
    <w:rsid w:val="00EC7CCD"/>
    <w:rPr>
      <w:color w:val="0563C1" w:themeColor="hyperlink"/>
      <w:u w:val="single"/>
    </w:rPr>
  </w:style>
  <w:style w:type="character" w:styleId="UnresolvedMention">
    <w:name w:val="Unresolved Mention"/>
    <w:basedOn w:val="DefaultParagraphFont"/>
    <w:uiPriority w:val="99"/>
    <w:semiHidden/>
    <w:unhideWhenUsed/>
    <w:rsid w:val="00EC7CCD"/>
    <w:rPr>
      <w:color w:val="605E5C"/>
      <w:shd w:val="clear" w:color="auto" w:fill="E1DFDD"/>
    </w:rPr>
  </w:style>
  <w:style w:type="paragraph" w:customStyle="1" w:styleId="Lijstalinea">
    <w:name w:val="Lijstalinea"/>
    <w:basedOn w:val="Normal"/>
    <w:rsid w:val="00EC7CCD"/>
    <w:pPr>
      <w:suppressAutoHyphens/>
      <w:autoSpaceDN w:val="0"/>
      <w:spacing w:after="160" w:line="259" w:lineRule="auto"/>
      <w:ind w:left="720"/>
      <w:contextualSpacing/>
    </w:pPr>
    <w:rPr>
      <w:rFonts w:eastAsia="Calibri" w:cs="Times New Roman"/>
    </w:rPr>
  </w:style>
  <w:style w:type="paragraph" w:styleId="Revision">
    <w:name w:val="Revision"/>
    <w:hidden/>
    <w:uiPriority w:val="99"/>
    <w:semiHidden/>
    <w:rsid w:val="00043176"/>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3B29E2"/>
    <w:rPr>
      <w:sz w:val="16"/>
      <w:szCs w:val="16"/>
    </w:rPr>
  </w:style>
  <w:style w:type="paragraph" w:styleId="CommentText">
    <w:name w:val="annotation text"/>
    <w:basedOn w:val="Normal"/>
    <w:link w:val="CommentTextChar"/>
    <w:uiPriority w:val="99"/>
    <w:unhideWhenUsed/>
    <w:rsid w:val="003B29E2"/>
    <w:rPr>
      <w:sz w:val="20"/>
      <w:szCs w:val="20"/>
    </w:rPr>
  </w:style>
  <w:style w:type="character" w:customStyle="1" w:styleId="CommentTextChar">
    <w:name w:val="Comment Text Char"/>
    <w:basedOn w:val="DefaultParagraphFont"/>
    <w:link w:val="CommentText"/>
    <w:uiPriority w:val="99"/>
    <w:rsid w:val="003B29E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B29E2"/>
    <w:rPr>
      <w:b/>
      <w:bCs/>
    </w:rPr>
  </w:style>
  <w:style w:type="character" w:customStyle="1" w:styleId="CommentSubjectChar">
    <w:name w:val="Comment Subject Char"/>
    <w:basedOn w:val="CommentTextChar"/>
    <w:link w:val="CommentSubject"/>
    <w:uiPriority w:val="99"/>
    <w:semiHidden/>
    <w:rsid w:val="003B29E2"/>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hyperlink" Target="https://projects.worldbank.org/en/projects-operations/project-detail/P506476"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1949</ap:Words>
  <ap:Characters>10724</ap:Characters>
  <ap:DocSecurity>0</ap:DocSecurity>
  <ap:Lines>89</ap:Lines>
  <ap:Paragraphs>25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12648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2025-09-17T11:52:00.0000000Z</dcterms:created>
  <dcterms:modified xsi:type="dcterms:W3CDTF">2025-10-03T12:01:00.0000000Z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cc4b55a5ee91473b87ec338540cdae54">
    <vt:lpwstr>Ukraine|1d0b3b4a-20e6-48f4-9620-63d5fcfa06a4</vt:lpwstr>
  </property>
  <property fmtid="{D5CDD505-2E9C-101B-9397-08002B2CF9AE}" pid="4" name="BZForumOrganisation">
    <vt:lpwstr>2;#Not applicable|0049e722-bfb1-4a3f-9d08-af7366a9af40</vt:lpwstr>
  </property>
  <property fmtid="{D5CDD505-2E9C-101B-9397-08002B2CF9AE}" pid="5" name="BZDossierProcessType">
    <vt:lpwstr/>
  </property>
  <property fmtid="{D5CDD505-2E9C-101B-9397-08002B2CF9AE}" pid="6" name="gc2efd3bfea04f7f8169be07009f5536">
    <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d1b77f58b5724360bd683b4bf0d30054">
    <vt:lpwstr>UNCLASSIFIED (U)|284e6a62-15ab-4017-be27-a1e965f4e940</vt:lpwstr>
  </property>
  <property fmtid="{D5CDD505-2E9C-101B-9397-08002B2CF9AE}" pid="11" name="e35afc56668347c3aef24194d1ed59ea">
    <vt:lpwstr>Not applicable|0049e722-bfb1-4a3f-9d08-af7366a9af40</vt:lpwstr>
  </property>
  <property fmtid="{D5CDD505-2E9C-101B-9397-08002B2CF9AE}" pid="12" name="f7af940f06314dc78018242c25682d67">
    <vt:lpwstr>NO MARKING|0a4eb9ae-69eb-4d9e-b573-43ab99ef8592</vt:lpwstr>
  </property>
  <property fmtid="{D5CDD505-2E9C-101B-9397-08002B2CF9AE}" pid="13" name="BZDossierResponsibleDepartment">
    <vt:lpwstr/>
  </property>
  <property fmtid="{D5CDD505-2E9C-101B-9397-08002B2CF9AE}" pid="14" name="TaxCatchAll">
    <vt:lpwstr>5;#NO MARKING|0a4eb9ae-69eb-4d9e-b573-43ab99ef8592;#4;#UNCLASSIFIED (U)|284e6a62-15ab-4017-be27-a1e965f4e940;#3;#Ukraine|1d0b3b4a-20e6-48f4-9620-63d5fcfa06a4;#2;#Not applicable|0049e722-bfb1-4a3f-9d08-af7366a9af40;#1;#Post-conflict reconstruction|976874ee-bc22-46e8-ac34-2e9fd7650b79</vt:lpwstr>
  </property>
  <property fmtid="{D5CDD505-2E9C-101B-9397-08002B2CF9AE}" pid="15" name="BZCountryState">
    <vt:lpwstr>3;#Not applicable|ec01d90b-9d0f-4785-8785-e1ea615196bf</vt:lpwstr>
  </property>
  <property fmtid="{D5CDD505-2E9C-101B-9397-08002B2CF9AE}" pid="16" name="BZDossierProcessLocation">
    <vt:lpwstr/>
  </property>
  <property fmtid="{D5CDD505-2E9C-101B-9397-08002B2CF9AE}" pid="17" name="BZDossierGovernmentOfficial">
    <vt:lpwstr/>
  </property>
  <property fmtid="{D5CDD505-2E9C-101B-9397-08002B2CF9AE}" pid="18" name="BZMarking">
    <vt:lpwstr>5;#NO MARKING|0a4eb9ae-69eb-4d9e-b573-43ab99ef8592</vt:lpwstr>
  </property>
  <property fmtid="{D5CDD505-2E9C-101B-9397-08002B2CF9AE}" pid="19" name="f2fb2a8e39404f1ab554e4e4a49d2918">
    <vt:lpwstr/>
  </property>
  <property fmtid="{D5CDD505-2E9C-101B-9397-08002B2CF9AE}" pid="20" name="BZDossierPublishingWOOCategory">
    <vt:lpwstr/>
  </property>
  <property fmtid="{D5CDD505-2E9C-101B-9397-08002B2CF9AE}" pid="21" name="i42ef48d5fa942a0ad0d60e44f201751">
    <vt:lpwstr/>
  </property>
  <property fmtid="{D5CDD505-2E9C-101B-9397-08002B2CF9AE}" pid="22" name="BZClassification">
    <vt:lpwstr>4;#UNCLASSIFIED (U)|284e6a62-15ab-4017-be27-a1e965f4e940</vt:lpwstr>
  </property>
  <property fmtid="{D5CDD505-2E9C-101B-9397-08002B2CF9AE}" pid="23" name="f8e003236e1c4ac2ab9051d5d8789bbb">
    <vt:lpwstr/>
  </property>
  <property fmtid="{D5CDD505-2E9C-101B-9397-08002B2CF9AE}" pid="24" name="p29721a54a5c4bbe9786e930fc91e270">
    <vt:lpwstr/>
  </property>
  <property fmtid="{D5CDD505-2E9C-101B-9397-08002B2CF9AE}" pid="25" name="BZThemeAsText">
    <vt:lpwstr>Post-conflict reconstruction</vt:lpwstr>
  </property>
  <property fmtid="{D5CDD505-2E9C-101B-9397-08002B2CF9AE}" pid="26" name="bb20b5f81c9f47a48f8188e85aec1253">
    <vt:lpwstr>Post-conflict reconstruction|976874ee-bc22-46e8-ac34-2e9fd7650b79</vt:lpwstr>
  </property>
  <property fmtid="{D5CDD505-2E9C-101B-9397-08002B2CF9AE}" pid="27" name="ed9282a3f18446ec8c17c7829edf82dd">
    <vt:lpwstr/>
  </property>
  <property fmtid="{D5CDD505-2E9C-101B-9397-08002B2CF9AE}" pid="28" name="e256f556a7b748329ab47889947c7d40">
    <vt:lpwstr/>
  </property>
  <property fmtid="{D5CDD505-2E9C-101B-9397-08002B2CF9AE}" pid="29" name="_dlc_DocIdItemGuid">
    <vt:lpwstr>b6227024-92b4-49d4-a55f-f556edf5d6ba</vt:lpwstr>
  </property>
  <property fmtid="{D5CDD505-2E9C-101B-9397-08002B2CF9AE}" pid="30" name="_docset_NoMedatataSyncRequired">
    <vt:lpwstr>False</vt:lpwstr>
  </property>
</Properties>
</file>