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21FC" w:rsidR="00191822" w:rsidP="00191822" w:rsidRDefault="00191822" w14:paraId="1A3C47B4" w14:textId="77777777">
      <w:pPr>
        <w:pStyle w:val="NoSpacing"/>
        <w:rPr>
          <w:rFonts w:ascii="Verdana" w:hAnsi="Verdana"/>
          <w:b/>
          <w:bCs/>
          <w:sz w:val="20"/>
          <w:szCs w:val="20"/>
        </w:rPr>
      </w:pPr>
    </w:p>
    <w:tbl>
      <w:tblPr>
        <w:tblW w:w="5000" w:type="pct"/>
        <w:tblCellMar>
          <w:left w:w="0" w:type="dxa"/>
          <w:right w:w="0" w:type="dxa"/>
        </w:tblCellMar>
        <w:tblLook w:val="04A0" w:firstRow="1" w:lastRow="0" w:firstColumn="1" w:lastColumn="0" w:noHBand="0" w:noVBand="1"/>
      </w:tblPr>
      <w:tblGrid>
        <w:gridCol w:w="2092"/>
        <w:gridCol w:w="6934"/>
      </w:tblGrid>
      <w:tr w:rsidRPr="0060043E" w:rsidR="00191822" w:rsidTr="0060043E" w14:paraId="671AC7F1" w14:textId="77777777">
        <w:trPr>
          <w:trHeight w:val="507"/>
        </w:trPr>
        <w:tc>
          <w:tcPr>
            <w:tcW w:w="5000" w:type="pct"/>
            <w:gridSpan w:val="2"/>
            <w:shd w:val="clear" w:color="auto" w:fill="39870C"/>
            <w:hideMark/>
          </w:tcPr>
          <w:p w:rsidRPr="0060043E" w:rsidR="00191822" w:rsidP="001341C8" w:rsidRDefault="00191822" w14:paraId="15979371" w14:textId="77777777">
            <w:pPr>
              <w:pStyle w:val="TableParagraph"/>
              <w:spacing w:before="57" w:line="252" w:lineRule="auto"/>
              <w:ind w:left="89"/>
              <w:rPr>
                <w:b/>
                <w:bCs/>
                <w:sz w:val="18"/>
                <w:szCs w:val="18"/>
              </w:rPr>
            </w:pPr>
            <w:r w:rsidRPr="0060043E">
              <w:rPr>
                <w:b/>
                <w:bCs/>
                <w:color w:val="FFFFFF"/>
                <w:sz w:val="18"/>
                <w:szCs w:val="18"/>
              </w:rPr>
              <w:t>Bestedingsvoorstel</w:t>
            </w:r>
          </w:p>
          <w:p w:rsidRPr="0060043E" w:rsidR="00191822" w:rsidP="001341C8" w:rsidRDefault="00191822" w14:paraId="730021BA" w14:textId="77777777">
            <w:pPr>
              <w:pStyle w:val="TableParagraph"/>
              <w:spacing w:before="4" w:line="252" w:lineRule="auto"/>
              <w:ind w:left="89"/>
              <w:rPr>
                <w:b/>
                <w:bCs/>
                <w:sz w:val="18"/>
                <w:szCs w:val="18"/>
              </w:rPr>
            </w:pPr>
            <w:r w:rsidRPr="0060043E">
              <w:rPr>
                <w:b/>
                <w:bCs/>
                <w:color w:val="FFFFFF"/>
                <w:sz w:val="18"/>
                <w:szCs w:val="18"/>
              </w:rPr>
              <w:t>Onderbouwing doeltreffendheid, doelmatigheid en evaluatie (CW 3.1)</w:t>
            </w:r>
          </w:p>
        </w:tc>
      </w:tr>
      <w:tr w:rsidRPr="0060043E" w:rsidR="00191822" w:rsidTr="0060043E" w14:paraId="2C715E2E" w14:textId="77777777">
        <w:trPr>
          <w:trHeight w:val="564"/>
        </w:trPr>
        <w:tc>
          <w:tcPr>
            <w:tcW w:w="1159" w:type="pct"/>
            <w:tcBorders>
              <w:top w:val="nil"/>
              <w:left w:val="nil"/>
              <w:bottom w:val="single" w:color="017BC7" w:sz="8" w:space="0"/>
              <w:right w:val="nil"/>
            </w:tcBorders>
            <w:shd w:val="clear" w:color="auto" w:fill="D6EFF9"/>
            <w:hideMark/>
          </w:tcPr>
          <w:p w:rsidRPr="0060043E" w:rsidR="00191822" w:rsidP="001341C8" w:rsidRDefault="00191822" w14:paraId="09754DA2" w14:textId="77777777">
            <w:pPr>
              <w:pStyle w:val="TableParagraph"/>
              <w:spacing w:before="57" w:line="252" w:lineRule="auto"/>
              <w:ind w:left="89"/>
              <w:rPr>
                <w:b/>
                <w:bCs/>
                <w:sz w:val="18"/>
                <w:szCs w:val="18"/>
                <w:lang w:val="en-US"/>
              </w:rPr>
            </w:pPr>
            <w:r w:rsidRPr="0060043E">
              <w:rPr>
                <w:b/>
                <w:bCs/>
                <w:sz w:val="18"/>
                <w:szCs w:val="18"/>
                <w:lang w:val="en-US"/>
              </w:rPr>
              <w:t>1. Doel(en)</w:t>
            </w:r>
          </w:p>
        </w:tc>
        <w:tc>
          <w:tcPr>
            <w:tcW w:w="3841" w:type="pct"/>
            <w:tcBorders>
              <w:top w:val="nil"/>
              <w:left w:val="nil"/>
              <w:bottom w:val="single" w:color="017BC7" w:sz="8" w:space="0"/>
              <w:right w:val="nil"/>
            </w:tcBorders>
            <w:hideMark/>
          </w:tcPr>
          <w:p w:rsidR="002A4603" w:rsidP="002A4603" w:rsidRDefault="000901FC" w14:paraId="52F516F1" w14:textId="77777777">
            <w:pPr>
              <w:pStyle w:val="TableParagraph"/>
              <w:spacing w:before="8" w:line="252" w:lineRule="auto"/>
              <w:rPr>
                <w:sz w:val="18"/>
                <w:szCs w:val="18"/>
              </w:rPr>
            </w:pPr>
            <w:r w:rsidRPr="0060043E">
              <w:rPr>
                <w:sz w:val="18"/>
                <w:szCs w:val="18"/>
              </w:rPr>
              <w:t>Welke doelen worden nagestreefd met het voorstel in termen van beoogde prestaties en effecten?</w:t>
            </w:r>
            <w:r w:rsidR="003131DD">
              <w:rPr>
                <w:sz w:val="18"/>
                <w:szCs w:val="18"/>
              </w:rPr>
              <w:t xml:space="preserve"> Op welke termijn worden doelen </w:t>
            </w:r>
            <w:r w:rsidR="00DB18F5">
              <w:rPr>
                <w:sz w:val="18"/>
                <w:szCs w:val="18"/>
              </w:rPr>
              <w:t xml:space="preserve">naar verwachting </w:t>
            </w:r>
            <w:r w:rsidR="003131DD">
              <w:rPr>
                <w:sz w:val="18"/>
                <w:szCs w:val="18"/>
              </w:rPr>
              <w:t>gere</w:t>
            </w:r>
            <w:r w:rsidR="00DB18F5">
              <w:rPr>
                <w:sz w:val="18"/>
                <w:szCs w:val="18"/>
              </w:rPr>
              <w:t xml:space="preserve">aliseerd? </w:t>
            </w:r>
          </w:p>
          <w:p w:rsidR="005B1561" w:rsidP="006739BB" w:rsidRDefault="005B1561" w14:paraId="56F692A0" w14:textId="77777777">
            <w:pPr>
              <w:pStyle w:val="TableParagraph"/>
              <w:spacing w:before="8" w:line="252" w:lineRule="auto"/>
              <w:ind w:left="0"/>
              <w:rPr>
                <w:sz w:val="18"/>
                <w:szCs w:val="18"/>
              </w:rPr>
            </w:pPr>
          </w:p>
          <w:p w:rsidRPr="008B3DF2" w:rsidR="008B3DF2" w:rsidP="002A4603" w:rsidRDefault="00CC20EB" w14:paraId="45DA0382" w14:textId="214227E7">
            <w:pPr>
              <w:pStyle w:val="TableParagraph"/>
              <w:spacing w:before="8" w:line="252" w:lineRule="auto"/>
              <w:rPr>
                <w:sz w:val="18"/>
                <w:szCs w:val="18"/>
              </w:rPr>
            </w:pPr>
            <w:r>
              <w:rPr>
                <w:sz w:val="18"/>
                <w:szCs w:val="18"/>
              </w:rPr>
              <w:t>Oekraïne</w:t>
            </w:r>
            <w:r w:rsidR="00E93482">
              <w:rPr>
                <w:sz w:val="18"/>
                <w:szCs w:val="18"/>
              </w:rPr>
              <w:t xml:space="preserve"> heeft</w:t>
            </w:r>
            <w:r>
              <w:rPr>
                <w:sz w:val="18"/>
                <w:szCs w:val="18"/>
              </w:rPr>
              <w:t xml:space="preserve"> in de afgelopen jaren</w:t>
            </w:r>
            <w:r w:rsidR="002A4603">
              <w:rPr>
                <w:sz w:val="18"/>
                <w:szCs w:val="18"/>
              </w:rPr>
              <w:t xml:space="preserve"> ondanks de oorlog </w:t>
            </w:r>
            <w:r>
              <w:rPr>
                <w:sz w:val="18"/>
                <w:szCs w:val="18"/>
              </w:rPr>
              <w:t xml:space="preserve">gestaag voortgang geboekt op </w:t>
            </w:r>
            <w:r w:rsidR="00E93482">
              <w:rPr>
                <w:sz w:val="18"/>
                <w:szCs w:val="18"/>
              </w:rPr>
              <w:t>zijn</w:t>
            </w:r>
            <w:r>
              <w:rPr>
                <w:sz w:val="18"/>
                <w:szCs w:val="18"/>
              </w:rPr>
              <w:t xml:space="preserve"> brede hervormingsagenda, incl. de overname en implementatie van het EU-</w:t>
            </w:r>
            <w:proofErr w:type="spellStart"/>
            <w:r>
              <w:rPr>
                <w:sz w:val="18"/>
                <w:szCs w:val="18"/>
              </w:rPr>
              <w:t>acquis</w:t>
            </w:r>
            <w:proofErr w:type="spellEnd"/>
            <w:r>
              <w:rPr>
                <w:sz w:val="18"/>
                <w:szCs w:val="18"/>
              </w:rPr>
              <w:t xml:space="preserve">. </w:t>
            </w:r>
            <w:r w:rsidRPr="008B3DF2" w:rsidR="008B3DF2">
              <w:rPr>
                <w:sz w:val="18"/>
                <w:szCs w:val="18"/>
              </w:rPr>
              <w:t xml:space="preserve">Tegelijkertijd is nog een lange weg te gaan. Democratie, </w:t>
            </w:r>
            <w:r w:rsidR="00091559">
              <w:rPr>
                <w:sz w:val="18"/>
                <w:szCs w:val="18"/>
              </w:rPr>
              <w:t>de rechtsstaat</w:t>
            </w:r>
            <w:r w:rsidRPr="008B3DF2" w:rsidR="008B3DF2">
              <w:rPr>
                <w:sz w:val="18"/>
                <w:szCs w:val="18"/>
              </w:rPr>
              <w:t xml:space="preserve"> en corruptiebestrijding zijn hierbij centrale aandachtspunten en behoeven</w:t>
            </w:r>
            <w:r w:rsidR="00BC31D7">
              <w:rPr>
                <w:sz w:val="18"/>
                <w:szCs w:val="18"/>
              </w:rPr>
              <w:t xml:space="preserve"> juist</w:t>
            </w:r>
            <w:r w:rsidR="00F95FF4">
              <w:rPr>
                <w:sz w:val="18"/>
                <w:szCs w:val="18"/>
              </w:rPr>
              <w:t xml:space="preserve"> </w:t>
            </w:r>
            <w:r w:rsidR="00E93482">
              <w:rPr>
                <w:sz w:val="18"/>
                <w:szCs w:val="18"/>
              </w:rPr>
              <w:t xml:space="preserve">nu - </w:t>
            </w:r>
            <w:r w:rsidR="00F95FF4">
              <w:rPr>
                <w:sz w:val="18"/>
                <w:szCs w:val="18"/>
              </w:rPr>
              <w:t xml:space="preserve">ten tijde van </w:t>
            </w:r>
            <w:r w:rsidR="00E93482">
              <w:rPr>
                <w:sz w:val="18"/>
                <w:szCs w:val="18"/>
              </w:rPr>
              <w:t xml:space="preserve">de oorlog - </w:t>
            </w:r>
            <w:r w:rsidRPr="008B3DF2" w:rsidR="008B3DF2">
              <w:rPr>
                <w:sz w:val="18"/>
                <w:szCs w:val="18"/>
              </w:rPr>
              <w:t>continue aandacht.</w:t>
            </w:r>
            <w:r w:rsidR="00BC31D7">
              <w:rPr>
                <w:sz w:val="18"/>
                <w:szCs w:val="18"/>
              </w:rPr>
              <w:t xml:space="preserve"> </w:t>
            </w:r>
            <w:r w:rsidR="005B1561">
              <w:rPr>
                <w:sz w:val="18"/>
                <w:szCs w:val="18"/>
              </w:rPr>
              <w:t>V</w:t>
            </w:r>
            <w:r w:rsidRPr="005B1561" w:rsidR="005B1561">
              <w:rPr>
                <w:sz w:val="18"/>
                <w:szCs w:val="18"/>
              </w:rPr>
              <w:t xml:space="preserve">anuit Rusland </w:t>
            </w:r>
            <w:r w:rsidR="005B1561">
              <w:rPr>
                <w:sz w:val="18"/>
                <w:szCs w:val="18"/>
              </w:rPr>
              <w:t xml:space="preserve">wordt er </w:t>
            </w:r>
            <w:r w:rsidRPr="005B1561" w:rsidR="005B1561">
              <w:rPr>
                <w:sz w:val="18"/>
                <w:szCs w:val="18"/>
              </w:rPr>
              <w:t>als onderdeel van de oorlog</w:t>
            </w:r>
            <w:r w:rsidR="005B1561">
              <w:rPr>
                <w:sz w:val="18"/>
                <w:szCs w:val="18"/>
              </w:rPr>
              <w:t xml:space="preserve"> immers</w:t>
            </w:r>
            <w:r w:rsidRPr="005B1561" w:rsidR="005B1561">
              <w:rPr>
                <w:sz w:val="18"/>
                <w:szCs w:val="18"/>
              </w:rPr>
              <w:t xml:space="preserve"> alles aan gedaan om Oekraïne van de EU </w:t>
            </w:r>
            <w:r w:rsidR="005B1561">
              <w:rPr>
                <w:sz w:val="18"/>
                <w:szCs w:val="18"/>
              </w:rPr>
              <w:t xml:space="preserve">en Europese waarden </w:t>
            </w:r>
            <w:r w:rsidRPr="005B1561" w:rsidR="005B1561">
              <w:rPr>
                <w:sz w:val="18"/>
                <w:szCs w:val="18"/>
              </w:rPr>
              <w:t>af te drijven en een pro-Russisch regime aan de macht te brengen.</w:t>
            </w:r>
            <w:r w:rsidR="005B1561">
              <w:rPr>
                <w:sz w:val="18"/>
                <w:szCs w:val="18"/>
              </w:rPr>
              <w:t xml:space="preserve"> B</w:t>
            </w:r>
            <w:r w:rsidR="00C325EC">
              <w:rPr>
                <w:sz w:val="18"/>
                <w:szCs w:val="18"/>
              </w:rPr>
              <w:t xml:space="preserve">ovendien vraagt de </w:t>
            </w:r>
            <w:r w:rsidR="005B1561">
              <w:rPr>
                <w:sz w:val="18"/>
                <w:szCs w:val="18"/>
              </w:rPr>
              <w:t xml:space="preserve"> </w:t>
            </w:r>
            <w:r w:rsidR="00BC31D7">
              <w:rPr>
                <w:sz w:val="18"/>
                <w:szCs w:val="18"/>
              </w:rPr>
              <w:t>grootschalige geleverde (financiële) steun uit o.m. Nederland</w:t>
            </w:r>
            <w:r w:rsidR="00C325EC">
              <w:rPr>
                <w:sz w:val="18"/>
                <w:szCs w:val="18"/>
              </w:rPr>
              <w:t xml:space="preserve"> om blijvende inzet op dit terrein, m.n. t.a.v. de corruptiebestrijding</w:t>
            </w:r>
            <w:r w:rsidR="00BC31D7">
              <w:rPr>
                <w:sz w:val="18"/>
                <w:szCs w:val="18"/>
              </w:rPr>
              <w:t>.</w:t>
            </w:r>
            <w:r w:rsidRPr="008B3DF2" w:rsidR="008B3DF2">
              <w:rPr>
                <w:sz w:val="18"/>
                <w:szCs w:val="18"/>
              </w:rPr>
              <w:t xml:space="preserve"> Nu de VS zich op het terrein van hervormingen als voornaamste speler hebben teruggetrokken, is een meer prominente rol van </w:t>
            </w:r>
            <w:r w:rsidR="002A4603">
              <w:rPr>
                <w:sz w:val="18"/>
                <w:szCs w:val="18"/>
              </w:rPr>
              <w:t>Europa</w:t>
            </w:r>
            <w:r w:rsidRPr="008B3DF2" w:rsidR="008B3DF2">
              <w:rPr>
                <w:sz w:val="18"/>
                <w:szCs w:val="18"/>
              </w:rPr>
              <w:t xml:space="preserve"> </w:t>
            </w:r>
            <w:r w:rsidR="00C325EC">
              <w:rPr>
                <w:sz w:val="18"/>
                <w:szCs w:val="18"/>
              </w:rPr>
              <w:t xml:space="preserve">(incl. Nederland) </w:t>
            </w:r>
            <w:r w:rsidRPr="008B3DF2" w:rsidR="008B3DF2">
              <w:rPr>
                <w:sz w:val="18"/>
                <w:szCs w:val="18"/>
              </w:rPr>
              <w:t>noodzakelijk om</w:t>
            </w:r>
            <w:r w:rsidR="00B8653E">
              <w:rPr>
                <w:sz w:val="18"/>
                <w:szCs w:val="18"/>
              </w:rPr>
              <w:t xml:space="preserve"> Oekra</w:t>
            </w:r>
            <w:r w:rsidRPr="00B8653E" w:rsidR="00B8653E">
              <w:rPr>
                <w:sz w:val="18"/>
                <w:szCs w:val="18"/>
              </w:rPr>
              <w:t>ï</w:t>
            </w:r>
            <w:r w:rsidR="00B8653E">
              <w:rPr>
                <w:sz w:val="18"/>
                <w:szCs w:val="18"/>
              </w:rPr>
              <w:t xml:space="preserve">ne te ondersteunen bij het </w:t>
            </w:r>
            <w:r w:rsidRPr="008B3DF2" w:rsidR="008B3DF2">
              <w:rPr>
                <w:sz w:val="18"/>
                <w:szCs w:val="18"/>
              </w:rPr>
              <w:t>bewerkstellige</w:t>
            </w:r>
            <w:r w:rsidR="00B8653E">
              <w:rPr>
                <w:sz w:val="18"/>
                <w:szCs w:val="18"/>
              </w:rPr>
              <w:t xml:space="preserve">n van </w:t>
            </w:r>
            <w:r w:rsidR="00C325EC">
              <w:rPr>
                <w:sz w:val="18"/>
                <w:szCs w:val="18"/>
              </w:rPr>
              <w:t>verder</w:t>
            </w:r>
            <w:r w:rsidR="0053618E">
              <w:rPr>
                <w:sz w:val="18"/>
                <w:szCs w:val="18"/>
              </w:rPr>
              <w:t>e</w:t>
            </w:r>
            <w:r w:rsidR="00C325EC">
              <w:rPr>
                <w:sz w:val="18"/>
                <w:szCs w:val="18"/>
              </w:rPr>
              <w:t xml:space="preserve"> </w:t>
            </w:r>
            <w:r w:rsidR="00B8653E">
              <w:rPr>
                <w:sz w:val="18"/>
                <w:szCs w:val="18"/>
              </w:rPr>
              <w:t>voortgang</w:t>
            </w:r>
            <w:r w:rsidRPr="008B3DF2" w:rsidR="008B3DF2">
              <w:rPr>
                <w:sz w:val="18"/>
                <w:szCs w:val="18"/>
              </w:rPr>
              <w:t>.</w:t>
            </w:r>
          </w:p>
          <w:p w:rsidRPr="003E260C" w:rsidR="003E260C" w:rsidP="00091559" w:rsidRDefault="003E260C" w14:paraId="79A2C2D0" w14:textId="17EC8328">
            <w:pPr>
              <w:pStyle w:val="TableParagraph"/>
              <w:spacing w:before="8" w:line="252" w:lineRule="auto"/>
              <w:ind w:left="0"/>
              <w:rPr>
                <w:sz w:val="18"/>
                <w:szCs w:val="18"/>
              </w:rPr>
            </w:pPr>
            <w:r w:rsidRPr="003E260C">
              <w:rPr>
                <w:sz w:val="18"/>
                <w:szCs w:val="18"/>
              </w:rPr>
              <w:t> </w:t>
            </w:r>
          </w:p>
          <w:p w:rsidR="0012084E" w:rsidP="0012084E" w:rsidRDefault="003E260C" w14:paraId="798ED87B" w14:textId="6C304825">
            <w:pPr>
              <w:pStyle w:val="TableParagraph"/>
              <w:spacing w:before="8" w:line="252" w:lineRule="auto"/>
              <w:rPr>
                <w:sz w:val="18"/>
                <w:szCs w:val="18"/>
              </w:rPr>
            </w:pPr>
            <w:r w:rsidRPr="003E260C">
              <w:rPr>
                <w:sz w:val="18"/>
                <w:szCs w:val="18"/>
              </w:rPr>
              <w:t>Hervormingen worden</w:t>
            </w:r>
            <w:r w:rsidR="0012084E">
              <w:rPr>
                <w:sz w:val="18"/>
                <w:szCs w:val="18"/>
              </w:rPr>
              <w:t xml:space="preserve"> ondertussen </w:t>
            </w:r>
            <w:r w:rsidR="0053618E">
              <w:rPr>
                <w:sz w:val="18"/>
                <w:szCs w:val="18"/>
              </w:rPr>
              <w:t>steeds</w:t>
            </w:r>
            <w:r w:rsidRPr="003E260C" w:rsidR="00091559">
              <w:rPr>
                <w:sz w:val="18"/>
                <w:szCs w:val="18"/>
              </w:rPr>
              <w:t xml:space="preserve"> moeilijker</w:t>
            </w:r>
            <w:r w:rsidR="0012084E">
              <w:rPr>
                <w:sz w:val="18"/>
                <w:szCs w:val="18"/>
              </w:rPr>
              <w:t xml:space="preserve"> door de enorme capaciteitsgebreken binnen de overheid </w:t>
            </w:r>
            <w:proofErr w:type="spellStart"/>
            <w:r w:rsidR="0012084E">
              <w:rPr>
                <w:sz w:val="18"/>
                <w:szCs w:val="18"/>
              </w:rPr>
              <w:t>a.g.v.</w:t>
            </w:r>
            <w:proofErr w:type="spellEnd"/>
            <w:r w:rsidR="0012084E">
              <w:rPr>
                <w:sz w:val="18"/>
                <w:szCs w:val="18"/>
              </w:rPr>
              <w:t xml:space="preserve"> de oorlog</w:t>
            </w:r>
            <w:r w:rsidR="0066649A">
              <w:rPr>
                <w:sz w:val="18"/>
                <w:szCs w:val="18"/>
              </w:rPr>
              <w:t>: een deel van de bevolking is gemobiliseerd voor het leger, een deel is gevlucht, terwijl veel aandacht wordt opgeslokt door de oorlogsvoering</w:t>
            </w:r>
            <w:r w:rsidR="0012084E">
              <w:rPr>
                <w:sz w:val="18"/>
                <w:szCs w:val="18"/>
              </w:rPr>
              <w:t>.</w:t>
            </w:r>
            <w:r w:rsidR="00091559">
              <w:rPr>
                <w:sz w:val="18"/>
                <w:szCs w:val="18"/>
              </w:rPr>
              <w:t xml:space="preserve"> </w:t>
            </w:r>
            <w:r w:rsidR="0012084E">
              <w:rPr>
                <w:sz w:val="18"/>
                <w:szCs w:val="18"/>
              </w:rPr>
              <w:t>H</w:t>
            </w:r>
            <w:r w:rsidR="00CC20EB">
              <w:rPr>
                <w:sz w:val="18"/>
                <w:szCs w:val="18"/>
              </w:rPr>
              <w:t xml:space="preserve">et maatschappelijk middenveld </w:t>
            </w:r>
            <w:r w:rsidR="0012084E">
              <w:rPr>
                <w:sz w:val="18"/>
                <w:szCs w:val="18"/>
              </w:rPr>
              <w:t xml:space="preserve">speelt </w:t>
            </w:r>
            <w:r w:rsidR="00CC20EB">
              <w:rPr>
                <w:sz w:val="18"/>
                <w:szCs w:val="18"/>
              </w:rPr>
              <w:t xml:space="preserve">een cruciale rol </w:t>
            </w:r>
            <w:r w:rsidR="0012084E">
              <w:rPr>
                <w:sz w:val="18"/>
                <w:szCs w:val="18"/>
              </w:rPr>
              <w:t xml:space="preserve">door </w:t>
            </w:r>
            <w:r w:rsidR="00CC20EB">
              <w:rPr>
                <w:sz w:val="18"/>
                <w:szCs w:val="18"/>
              </w:rPr>
              <w:t>de Oekraïense overheid te ondersteunen</w:t>
            </w:r>
            <w:r w:rsidR="0012084E">
              <w:rPr>
                <w:sz w:val="18"/>
                <w:szCs w:val="18"/>
              </w:rPr>
              <w:t xml:space="preserve"> en gaten te dichten</w:t>
            </w:r>
            <w:r w:rsidR="00C97394">
              <w:rPr>
                <w:sz w:val="18"/>
                <w:szCs w:val="18"/>
              </w:rPr>
              <w:t xml:space="preserve">. </w:t>
            </w:r>
            <w:r w:rsidR="00E93482">
              <w:rPr>
                <w:sz w:val="18"/>
                <w:szCs w:val="18"/>
              </w:rPr>
              <w:t>Verdere ondersteuning van het maatschappelijk middenveld</w:t>
            </w:r>
            <w:r w:rsidR="0012084E">
              <w:rPr>
                <w:sz w:val="18"/>
                <w:szCs w:val="18"/>
              </w:rPr>
              <w:t>, de drijvende kracht achter vele hervormingen,</w:t>
            </w:r>
            <w:r w:rsidR="00E93482">
              <w:rPr>
                <w:sz w:val="18"/>
                <w:szCs w:val="18"/>
              </w:rPr>
              <w:t xml:space="preserve"> is juist nu cruciaal. </w:t>
            </w:r>
            <w:r w:rsidR="005A00E6">
              <w:rPr>
                <w:sz w:val="18"/>
                <w:szCs w:val="18"/>
              </w:rPr>
              <w:t xml:space="preserve">Met name waar het betreft de voor Nederland prioritaire </w:t>
            </w:r>
            <w:r w:rsidR="005A00E6">
              <w:rPr>
                <w:i/>
                <w:iCs/>
                <w:sz w:val="18"/>
                <w:szCs w:val="18"/>
              </w:rPr>
              <w:t>Fundamentals</w:t>
            </w:r>
            <w:r w:rsidR="005A00E6">
              <w:rPr>
                <w:sz w:val="18"/>
                <w:szCs w:val="18"/>
              </w:rPr>
              <w:t xml:space="preserve"> (democratie, rechtsstaat, corruptiebestrijding, mensenrechten). </w:t>
            </w:r>
            <w:r w:rsidR="0012084E">
              <w:rPr>
                <w:sz w:val="18"/>
                <w:szCs w:val="18"/>
              </w:rPr>
              <w:t>Dit is des te urgenter nu de VS zich, als een van de grootste financiers op dit terrein,</w:t>
            </w:r>
            <w:r w:rsidRPr="003E260C">
              <w:rPr>
                <w:sz w:val="18"/>
                <w:szCs w:val="18"/>
              </w:rPr>
              <w:t xml:space="preserve"> </w:t>
            </w:r>
            <w:r w:rsidR="00091559">
              <w:rPr>
                <w:sz w:val="18"/>
                <w:szCs w:val="18"/>
              </w:rPr>
              <w:t>bijna volledig</w:t>
            </w:r>
            <w:r w:rsidRPr="003E260C">
              <w:rPr>
                <w:sz w:val="18"/>
                <w:szCs w:val="18"/>
              </w:rPr>
              <w:t xml:space="preserve"> heeft teruggetrokken</w:t>
            </w:r>
            <w:r w:rsidR="00C97394">
              <w:rPr>
                <w:sz w:val="18"/>
                <w:szCs w:val="18"/>
              </w:rPr>
              <w:t xml:space="preserve"> en daarmee grote financieringstekorten zijn ontstaan bij specifieke, cruciale projecten op voor Nederland en Europa prioritaire thema</w:t>
            </w:r>
            <w:r w:rsidR="0012084E">
              <w:rPr>
                <w:sz w:val="18"/>
                <w:szCs w:val="18"/>
              </w:rPr>
              <w:t>’</w:t>
            </w:r>
            <w:r w:rsidR="00C97394">
              <w:rPr>
                <w:sz w:val="18"/>
                <w:szCs w:val="18"/>
              </w:rPr>
              <w:t>s</w:t>
            </w:r>
            <w:r w:rsidR="0012084E">
              <w:rPr>
                <w:sz w:val="18"/>
                <w:szCs w:val="18"/>
              </w:rPr>
              <w:t xml:space="preserve"> als de rechtsstaat en corruptiebestrijding.</w:t>
            </w:r>
            <w:r w:rsidRPr="003E260C">
              <w:rPr>
                <w:sz w:val="18"/>
                <w:szCs w:val="18"/>
              </w:rPr>
              <w:t xml:space="preserve"> </w:t>
            </w:r>
            <w:r w:rsidR="0012084E">
              <w:rPr>
                <w:sz w:val="18"/>
                <w:szCs w:val="18"/>
              </w:rPr>
              <w:t xml:space="preserve">Verdere inzet voor het versterken van de democratische </w:t>
            </w:r>
            <w:r w:rsidR="0012084E">
              <w:rPr>
                <w:i/>
                <w:iCs/>
                <w:sz w:val="18"/>
                <w:szCs w:val="18"/>
              </w:rPr>
              <w:t xml:space="preserve">checks &amp; </w:t>
            </w:r>
            <w:proofErr w:type="spellStart"/>
            <w:r w:rsidR="0012084E">
              <w:rPr>
                <w:i/>
                <w:iCs/>
                <w:sz w:val="18"/>
                <w:szCs w:val="18"/>
              </w:rPr>
              <w:t>balances</w:t>
            </w:r>
            <w:proofErr w:type="spellEnd"/>
            <w:r w:rsidR="0012084E">
              <w:rPr>
                <w:sz w:val="18"/>
                <w:szCs w:val="18"/>
              </w:rPr>
              <w:t xml:space="preserve"> is bovendien geboden gezien de spanningen die op de loer liggen in aanloop naar verkiezingen die op termijn zullen plaatsvinden –  en naar verwachting grootschalige Russische inmenging hierbij.</w:t>
            </w:r>
          </w:p>
          <w:p w:rsidR="006739BB" w:rsidP="0012084E" w:rsidRDefault="006739BB" w14:paraId="4B7CFE6A" w14:textId="77777777">
            <w:pPr>
              <w:pStyle w:val="TableParagraph"/>
              <w:spacing w:before="8" w:line="252" w:lineRule="auto"/>
              <w:rPr>
                <w:sz w:val="18"/>
                <w:szCs w:val="18"/>
              </w:rPr>
            </w:pPr>
          </w:p>
          <w:p w:rsidR="006739BB" w:rsidP="006739BB" w:rsidRDefault="006739BB" w14:paraId="46302C9C" w14:textId="61990F12">
            <w:pPr>
              <w:pStyle w:val="TableParagraph"/>
              <w:spacing w:before="8" w:line="252" w:lineRule="auto"/>
              <w:rPr>
                <w:sz w:val="18"/>
                <w:szCs w:val="18"/>
              </w:rPr>
            </w:pPr>
            <w:r>
              <w:rPr>
                <w:sz w:val="18"/>
                <w:szCs w:val="18"/>
              </w:rPr>
              <w:t xml:space="preserve">De Nederlandse ambassade in Kyiv krijgt veel verzoeken vanuit het maatschappelijk middenveld (meer dan 400 in 2024 en ruim 300 in 2025) voor ondersteuning. Dat gaat onder meer om het ondersteunen van onafhankelijke media in Oekraïne (van essentieel belang in de context van een oorlog die Rusland niet alleen fysiek aan het front voert maar ook ter kwade trouw in het publieke debat), het versterken van de rechtsstaat (essentieel voor o.a. de corruptiebestrijding), het bestrijden van corruptie (van groot belang met het oog op o.a. de Nederlandse steun die ten tijde van de oorlog wordt geleverd) en het helpen bijdragen aan het hooghouden van Europese waarden als vrijheid en democratie die voor de Oekraïense bevolking als licht aan het einde van een jarenlange door oorlog geteisterde tunnel worden gezien. De kaders, criteria en financiële ruimte van bestaande fondsen bieden echter niet voldoende ruimte en flexibiliteit om snel en volledig in te kunnen spelen op deze thema’s. Derhalve zijn additionele middelen voor een versterkte inzet hierop via de ambassade gewenst. </w:t>
            </w:r>
          </w:p>
          <w:p w:rsidR="002A4603" w:rsidP="002A4603" w:rsidRDefault="002A4603" w14:paraId="5A357D21" w14:textId="77777777">
            <w:pPr>
              <w:pStyle w:val="TableParagraph"/>
              <w:spacing w:before="8" w:line="252" w:lineRule="auto"/>
              <w:ind w:left="0"/>
              <w:rPr>
                <w:sz w:val="18"/>
                <w:szCs w:val="18"/>
              </w:rPr>
            </w:pPr>
          </w:p>
          <w:p w:rsidR="006739BB" w:rsidP="006739BB" w:rsidRDefault="006739BB" w14:paraId="75E06595" w14:textId="7BD63E5C">
            <w:pPr>
              <w:pStyle w:val="TableParagraph"/>
              <w:spacing w:before="8" w:line="252" w:lineRule="auto"/>
              <w:rPr>
                <w:sz w:val="18"/>
                <w:szCs w:val="18"/>
              </w:rPr>
            </w:pPr>
            <w:r>
              <w:rPr>
                <w:sz w:val="18"/>
                <w:szCs w:val="18"/>
              </w:rPr>
              <w:t xml:space="preserve">Een dergelijke bijdrage past onmiskenbaar </w:t>
            </w:r>
            <w:r w:rsidRPr="003E260C">
              <w:rPr>
                <w:sz w:val="18"/>
                <w:szCs w:val="18"/>
              </w:rPr>
              <w:t>in</w:t>
            </w:r>
            <w:r>
              <w:rPr>
                <w:sz w:val="18"/>
                <w:szCs w:val="18"/>
              </w:rPr>
              <w:t xml:space="preserve"> het kader van</w:t>
            </w:r>
            <w:r w:rsidRPr="003E260C">
              <w:rPr>
                <w:sz w:val="18"/>
                <w:szCs w:val="18"/>
              </w:rPr>
              <w:t xml:space="preserve"> de jaarlijkse bilaterale </w:t>
            </w:r>
            <w:r>
              <w:rPr>
                <w:sz w:val="18"/>
                <w:szCs w:val="18"/>
              </w:rPr>
              <w:t>“</w:t>
            </w:r>
            <w:r w:rsidRPr="003E260C">
              <w:rPr>
                <w:sz w:val="18"/>
                <w:szCs w:val="18"/>
              </w:rPr>
              <w:t>Lviv-conferentie</w:t>
            </w:r>
            <w:r>
              <w:rPr>
                <w:sz w:val="18"/>
                <w:szCs w:val="18"/>
              </w:rPr>
              <w:t>”</w:t>
            </w:r>
            <w:r w:rsidRPr="003E260C">
              <w:rPr>
                <w:sz w:val="18"/>
                <w:szCs w:val="18"/>
              </w:rPr>
              <w:t xml:space="preserve"> die Nederland </w:t>
            </w:r>
            <w:r>
              <w:rPr>
                <w:sz w:val="18"/>
                <w:szCs w:val="18"/>
              </w:rPr>
              <w:t xml:space="preserve">sinds </w:t>
            </w:r>
            <w:r w:rsidRPr="003E260C">
              <w:rPr>
                <w:sz w:val="18"/>
                <w:szCs w:val="18"/>
              </w:rPr>
              <w:t xml:space="preserve">dit jaar </w:t>
            </w:r>
            <w:r>
              <w:rPr>
                <w:sz w:val="18"/>
                <w:szCs w:val="18"/>
              </w:rPr>
              <w:t xml:space="preserve">is begonnen </w:t>
            </w:r>
            <w:r w:rsidRPr="003E260C">
              <w:rPr>
                <w:sz w:val="18"/>
                <w:szCs w:val="18"/>
              </w:rPr>
              <w:t>met Oekraïne</w:t>
            </w:r>
            <w:r>
              <w:rPr>
                <w:sz w:val="18"/>
                <w:szCs w:val="18"/>
              </w:rPr>
              <w:t xml:space="preserve"> </w:t>
            </w:r>
            <w:r w:rsidRPr="00D34BDA">
              <w:rPr>
                <w:sz w:val="18"/>
                <w:szCs w:val="18"/>
              </w:rPr>
              <w:t>als onderdeel van de breed aangenomen Kamermotie Veldkamp/Paternotte (kenmerk 21501-20-1983) om Oekraïne steun en expertise te bieden bij het voldoen aan de Kopenhagencriteria</w:t>
            </w:r>
            <w:r>
              <w:rPr>
                <w:sz w:val="18"/>
                <w:szCs w:val="18"/>
              </w:rPr>
              <w:t xml:space="preserve">. EU-toetreding en de daarbij horende hervormingen zijn onderdeel van de existentiële oorlog waar Oekraïne zich in bevindt; aan de frontlinie wordt namelijk door Oekraïne gevochten voor Europese waarden. Nederland stelt zich </w:t>
            </w:r>
            <w:proofErr w:type="spellStart"/>
            <w:r>
              <w:rPr>
                <w:sz w:val="18"/>
                <w:szCs w:val="18"/>
              </w:rPr>
              <w:t>cfm</w:t>
            </w:r>
            <w:proofErr w:type="spellEnd"/>
            <w:r>
              <w:rPr>
                <w:sz w:val="18"/>
                <w:szCs w:val="18"/>
              </w:rPr>
              <w:t xml:space="preserve">. staand kabinetsbeleid strikt en fair op t.a.v. EU-toetreding en voorziet Oekraïne via deze jaarlijkse dialoog van hoognodige steun en </w:t>
            </w:r>
            <w:proofErr w:type="spellStart"/>
            <w:r>
              <w:rPr>
                <w:i/>
                <w:iCs/>
                <w:sz w:val="18"/>
                <w:szCs w:val="18"/>
              </w:rPr>
              <w:t>guidance</w:t>
            </w:r>
            <w:proofErr w:type="spellEnd"/>
            <w:r>
              <w:rPr>
                <w:i/>
                <w:iCs/>
                <w:sz w:val="18"/>
                <w:szCs w:val="18"/>
              </w:rPr>
              <w:t xml:space="preserve"> </w:t>
            </w:r>
            <w:r>
              <w:rPr>
                <w:sz w:val="18"/>
                <w:szCs w:val="18"/>
              </w:rPr>
              <w:t>bij de hiertoe benodigde hervormingen. De voorstellen voortkomend uit dit budget zullen expliciet worden gekoppeld aan de doelstellingen van deze conferentie, te weten 1) het steunen van Oekra</w:t>
            </w:r>
            <w:r w:rsidRPr="00C2287A">
              <w:rPr>
                <w:sz w:val="18"/>
                <w:szCs w:val="18"/>
              </w:rPr>
              <w:t>ïne b</w:t>
            </w:r>
            <w:r>
              <w:rPr>
                <w:sz w:val="18"/>
                <w:szCs w:val="18"/>
              </w:rPr>
              <w:t xml:space="preserve">ij het doorvoeren van hervormingen incl. het voldoen aan de criteria voor toetreding tot de EU, met het oog op een toekomstig lidmaatschap van de Unie; </w:t>
            </w:r>
            <w:r>
              <w:rPr>
                <w:sz w:val="18"/>
                <w:szCs w:val="18"/>
              </w:rPr>
              <w:lastRenderedPageBreak/>
              <w:t xml:space="preserve">en 2) het verder ontwikkelen van de bilaterale betrekkingen. De projecten die gekozen worden voor financiering dienen aan te sluiten bij de opvolging van de conferentie van april jl., dan wel bij de voorbereiding op de volgende editie van deze conferentie (april 2026). </w:t>
            </w:r>
          </w:p>
          <w:p w:rsidR="0017354C" w:rsidP="006739BB" w:rsidRDefault="0017354C" w14:paraId="1264AAAB" w14:textId="77777777">
            <w:pPr>
              <w:pStyle w:val="TableParagraph"/>
              <w:spacing w:before="8" w:line="252" w:lineRule="auto"/>
              <w:rPr>
                <w:sz w:val="18"/>
                <w:szCs w:val="18"/>
              </w:rPr>
            </w:pPr>
          </w:p>
          <w:p w:rsidR="0017354C" w:rsidP="006739BB" w:rsidRDefault="0017354C" w14:paraId="56E41DEC" w14:textId="48CC3110">
            <w:pPr>
              <w:pStyle w:val="TableParagraph"/>
              <w:spacing w:before="8" w:line="252" w:lineRule="auto"/>
              <w:rPr>
                <w:sz w:val="18"/>
                <w:szCs w:val="18"/>
              </w:rPr>
            </w:pPr>
            <w:r>
              <w:rPr>
                <w:sz w:val="18"/>
                <w:szCs w:val="18"/>
              </w:rPr>
              <w:t xml:space="preserve">De middelen beogen een bijdrage te leveren aan het versterken van de democratie en rechtsstaat in Oekraïne. Hiermee wordt Oekraïne ondersteunt in het voortzetten van de brede hervormingsagenda. Dit levert ook een bijdrage aan het aanpakken van corruptiebestrijding. De middelen vormen ook een onderdeel van de bredere </w:t>
            </w:r>
            <w:r w:rsidRPr="005534A2">
              <w:rPr>
                <w:sz w:val="18"/>
                <w:szCs w:val="18"/>
              </w:rPr>
              <w:t xml:space="preserve">Europese steun </w:t>
            </w:r>
            <w:r>
              <w:rPr>
                <w:sz w:val="18"/>
                <w:szCs w:val="18"/>
              </w:rPr>
              <w:t xml:space="preserve">aan Oekraïne die een bijdrage leveren aan de (brede) weerbaarheid van Oekraïne tijdens de aanhoudende Russische </w:t>
            </w:r>
            <w:proofErr w:type="spellStart"/>
            <w:r>
              <w:rPr>
                <w:sz w:val="18"/>
                <w:szCs w:val="18"/>
              </w:rPr>
              <w:t>aggresieoorlog</w:t>
            </w:r>
            <w:proofErr w:type="spellEnd"/>
            <w:r>
              <w:rPr>
                <w:sz w:val="18"/>
                <w:szCs w:val="18"/>
              </w:rPr>
              <w:t>.</w:t>
            </w:r>
          </w:p>
          <w:p w:rsidRPr="007852AF" w:rsidR="007852AF" w:rsidP="006739BB" w:rsidRDefault="007852AF" w14:paraId="7DD729D6" w14:textId="6ECE2E8F">
            <w:pPr>
              <w:pStyle w:val="TableParagraph"/>
              <w:spacing w:before="8" w:line="252" w:lineRule="auto"/>
              <w:ind w:left="0"/>
              <w:rPr>
                <w:sz w:val="18"/>
                <w:szCs w:val="18"/>
              </w:rPr>
            </w:pPr>
          </w:p>
          <w:p w:rsidRPr="0060043E" w:rsidR="00DB18F5" w:rsidP="007852AF" w:rsidRDefault="00DB18F5" w14:paraId="18526820" w14:textId="2FDE6180">
            <w:pPr>
              <w:pStyle w:val="TableParagraph"/>
              <w:spacing w:before="8" w:line="252" w:lineRule="auto"/>
              <w:rPr>
                <w:sz w:val="18"/>
                <w:szCs w:val="18"/>
              </w:rPr>
            </w:pPr>
          </w:p>
        </w:tc>
      </w:tr>
      <w:tr w:rsidRPr="0060043E" w:rsidR="00191822" w:rsidTr="0060043E" w14:paraId="4B2A6865" w14:textId="77777777">
        <w:trPr>
          <w:trHeight w:val="559"/>
        </w:trPr>
        <w:tc>
          <w:tcPr>
            <w:tcW w:w="1159" w:type="pct"/>
            <w:tcBorders>
              <w:top w:val="nil"/>
              <w:left w:val="nil"/>
              <w:bottom w:val="single" w:color="017BC7" w:sz="8" w:space="0"/>
              <w:right w:val="nil"/>
            </w:tcBorders>
            <w:shd w:val="clear" w:color="auto" w:fill="D6EFF9"/>
            <w:hideMark/>
          </w:tcPr>
          <w:p w:rsidRPr="0060043E" w:rsidR="000901FC" w:rsidP="00745692" w:rsidRDefault="000901FC" w14:paraId="1436DA4A" w14:textId="4914CAE9">
            <w:pPr>
              <w:pStyle w:val="TableParagraph"/>
              <w:spacing w:before="57" w:line="252" w:lineRule="auto"/>
              <w:ind w:left="89"/>
              <w:rPr>
                <w:b/>
                <w:bCs/>
                <w:sz w:val="18"/>
                <w:szCs w:val="18"/>
                <w:lang w:val="en-US"/>
              </w:rPr>
            </w:pPr>
            <w:r w:rsidRPr="0060043E">
              <w:rPr>
                <w:b/>
                <w:bCs/>
                <w:sz w:val="18"/>
                <w:szCs w:val="18"/>
                <w:lang w:val="en-US"/>
              </w:rPr>
              <w:lastRenderedPageBreak/>
              <w:t xml:space="preserve">2. </w:t>
            </w:r>
            <w:proofErr w:type="spellStart"/>
            <w:r w:rsidRPr="0060043E">
              <w:rPr>
                <w:b/>
                <w:bCs/>
                <w:sz w:val="18"/>
                <w:szCs w:val="18"/>
                <w:lang w:val="en-US"/>
              </w:rPr>
              <w:t>Beleidsinstrument</w:t>
            </w:r>
            <w:proofErr w:type="spellEnd"/>
            <w:r w:rsidRPr="0060043E">
              <w:rPr>
                <w:b/>
                <w:bCs/>
                <w:sz w:val="18"/>
                <w:szCs w:val="18"/>
                <w:lang w:val="en-US"/>
              </w:rPr>
              <w:t>(en)</w:t>
            </w:r>
          </w:p>
        </w:tc>
        <w:tc>
          <w:tcPr>
            <w:tcW w:w="3841" w:type="pct"/>
            <w:tcBorders>
              <w:top w:val="nil"/>
              <w:left w:val="nil"/>
              <w:bottom w:val="single" w:color="017BC7" w:sz="8" w:space="0"/>
              <w:right w:val="nil"/>
            </w:tcBorders>
          </w:tcPr>
          <w:p w:rsidR="00191822" w:rsidP="000901FC" w:rsidRDefault="000901FC" w14:paraId="4A0ACC84" w14:textId="77777777">
            <w:pPr>
              <w:pStyle w:val="TableParagraph"/>
              <w:spacing w:before="8" w:line="252" w:lineRule="auto"/>
              <w:rPr>
                <w:sz w:val="18"/>
                <w:szCs w:val="18"/>
              </w:rPr>
            </w:pPr>
            <w:r w:rsidRPr="0060043E">
              <w:rPr>
                <w:sz w:val="18"/>
                <w:szCs w:val="18"/>
              </w:rPr>
              <w:t>Welke beleidsinstrumenten worden ingezet om deze doelen te realiseren?</w:t>
            </w:r>
          </w:p>
          <w:p w:rsidR="00EF35D0" w:rsidP="000901FC" w:rsidRDefault="00EF35D0" w14:paraId="1CD1089E" w14:textId="77777777">
            <w:pPr>
              <w:pStyle w:val="TableParagraph"/>
              <w:spacing w:before="8" w:line="252" w:lineRule="auto"/>
              <w:rPr>
                <w:sz w:val="18"/>
                <w:szCs w:val="18"/>
              </w:rPr>
            </w:pPr>
          </w:p>
          <w:p w:rsidR="00B664C7" w:rsidP="00B664C7" w:rsidRDefault="00E93482" w14:paraId="2A5DF2AE" w14:textId="55190506">
            <w:pPr>
              <w:pStyle w:val="TableParagraph"/>
              <w:spacing w:before="8" w:line="252" w:lineRule="auto"/>
              <w:rPr>
                <w:sz w:val="18"/>
                <w:szCs w:val="18"/>
              </w:rPr>
            </w:pPr>
            <w:r>
              <w:rPr>
                <w:sz w:val="18"/>
                <w:szCs w:val="18"/>
              </w:rPr>
              <w:t xml:space="preserve">Door </w:t>
            </w:r>
            <w:r w:rsidR="007852AF">
              <w:rPr>
                <w:sz w:val="18"/>
                <w:szCs w:val="18"/>
              </w:rPr>
              <w:t xml:space="preserve">middel van </w:t>
            </w:r>
            <w:r>
              <w:rPr>
                <w:sz w:val="18"/>
                <w:szCs w:val="18"/>
              </w:rPr>
              <w:t xml:space="preserve">het vrijmaken van </w:t>
            </w:r>
            <w:r w:rsidR="007852AF">
              <w:rPr>
                <w:sz w:val="18"/>
                <w:szCs w:val="18"/>
              </w:rPr>
              <w:t xml:space="preserve">een </w:t>
            </w:r>
            <w:r>
              <w:rPr>
                <w:sz w:val="18"/>
                <w:szCs w:val="18"/>
              </w:rPr>
              <w:t>eenmalig budget van EUR 3 m</w:t>
            </w:r>
            <w:r w:rsidR="002878B1">
              <w:rPr>
                <w:sz w:val="18"/>
                <w:szCs w:val="18"/>
              </w:rPr>
              <w:t>iljoen vanuit de door het kabinet gereserveerde middelen voor niet-militaire steun aan Oekraïne</w:t>
            </w:r>
            <w:r>
              <w:rPr>
                <w:sz w:val="18"/>
                <w:szCs w:val="18"/>
              </w:rPr>
              <w:t xml:space="preserve"> kan de Nederlandse ambassade in Kyiv een selectie aan projecten van het maatschappelijk middenveld in Oekraïne ondersteunen op de </w:t>
            </w:r>
            <w:r w:rsidR="0066649A">
              <w:rPr>
                <w:sz w:val="18"/>
                <w:szCs w:val="18"/>
              </w:rPr>
              <w:t xml:space="preserve">prioritaire </w:t>
            </w:r>
            <w:r w:rsidR="00C2287A">
              <w:rPr>
                <w:sz w:val="18"/>
                <w:szCs w:val="18"/>
              </w:rPr>
              <w:t>hervormings</w:t>
            </w:r>
            <w:r>
              <w:rPr>
                <w:sz w:val="18"/>
                <w:szCs w:val="18"/>
              </w:rPr>
              <w:t xml:space="preserve">thema’s democratie, rechtstaat, </w:t>
            </w:r>
            <w:r w:rsidR="000D5B47">
              <w:rPr>
                <w:sz w:val="18"/>
                <w:szCs w:val="18"/>
              </w:rPr>
              <w:t xml:space="preserve">goed bestuur, </w:t>
            </w:r>
            <w:r>
              <w:rPr>
                <w:sz w:val="18"/>
                <w:szCs w:val="18"/>
              </w:rPr>
              <w:t xml:space="preserve">anti-corruptie en </w:t>
            </w:r>
            <w:r w:rsidR="000D5B47">
              <w:rPr>
                <w:sz w:val="18"/>
                <w:szCs w:val="18"/>
              </w:rPr>
              <w:t xml:space="preserve">pers(vrijheid). </w:t>
            </w:r>
            <w:r w:rsidR="00B664C7">
              <w:rPr>
                <w:sz w:val="18"/>
                <w:szCs w:val="18"/>
              </w:rPr>
              <w:t xml:space="preserve">De post heeft reeds een groot aantal </w:t>
            </w:r>
            <w:r w:rsidR="0066649A">
              <w:rPr>
                <w:sz w:val="18"/>
                <w:szCs w:val="18"/>
              </w:rPr>
              <w:t>projectvoorstellen</w:t>
            </w:r>
            <w:r w:rsidR="00C2287A">
              <w:rPr>
                <w:sz w:val="18"/>
                <w:szCs w:val="18"/>
              </w:rPr>
              <w:t xml:space="preserve"> – in lijn met de beoogde doelstellingen van de Lviv-conferentie -</w:t>
            </w:r>
            <w:r w:rsidR="00B664C7">
              <w:rPr>
                <w:sz w:val="18"/>
                <w:szCs w:val="18"/>
              </w:rPr>
              <w:t xml:space="preserve"> op de plank liggen die de waarde van </w:t>
            </w:r>
            <w:r w:rsidR="0066649A">
              <w:rPr>
                <w:sz w:val="18"/>
                <w:szCs w:val="18"/>
              </w:rPr>
              <w:t xml:space="preserve">dit budget </w:t>
            </w:r>
            <w:r w:rsidR="00B664C7">
              <w:rPr>
                <w:sz w:val="18"/>
                <w:szCs w:val="18"/>
              </w:rPr>
              <w:t>ver overstijgen. Dat betreft bijvoorbeeld</w:t>
            </w:r>
            <w:r w:rsidR="000C3992">
              <w:rPr>
                <w:sz w:val="18"/>
                <w:szCs w:val="18"/>
              </w:rPr>
              <w:t>:</w:t>
            </w:r>
            <w:r w:rsidR="00B664C7">
              <w:rPr>
                <w:sz w:val="18"/>
                <w:szCs w:val="18"/>
              </w:rPr>
              <w:t xml:space="preserve"> </w:t>
            </w:r>
          </w:p>
          <w:p w:rsidR="00B664C7" w:rsidP="000901FC" w:rsidRDefault="00B664C7" w14:paraId="6B2FF204" w14:textId="77777777">
            <w:pPr>
              <w:pStyle w:val="TableParagraph"/>
              <w:spacing w:before="8" w:line="252" w:lineRule="auto"/>
              <w:rPr>
                <w:sz w:val="18"/>
                <w:szCs w:val="18"/>
              </w:rPr>
            </w:pPr>
          </w:p>
          <w:p w:rsidR="00EF35D0" w:rsidP="00B664C7" w:rsidRDefault="00B664C7" w14:paraId="2A1F036C" w14:textId="516EB45A">
            <w:pPr>
              <w:pStyle w:val="TableParagraph"/>
              <w:numPr>
                <w:ilvl w:val="0"/>
                <w:numId w:val="17"/>
              </w:numPr>
              <w:spacing w:before="8" w:line="252" w:lineRule="auto"/>
              <w:rPr>
                <w:sz w:val="18"/>
                <w:szCs w:val="18"/>
              </w:rPr>
            </w:pPr>
            <w:r>
              <w:rPr>
                <w:sz w:val="18"/>
                <w:szCs w:val="18"/>
              </w:rPr>
              <w:t>Een project</w:t>
            </w:r>
            <w:r w:rsidR="0066649A">
              <w:rPr>
                <w:sz w:val="18"/>
                <w:szCs w:val="18"/>
              </w:rPr>
              <w:t>voorstel</w:t>
            </w:r>
            <w:r>
              <w:rPr>
                <w:sz w:val="18"/>
                <w:szCs w:val="18"/>
              </w:rPr>
              <w:t xml:space="preserve"> ter ondersteuning bij de implementatie van verschillende hervormingen </w:t>
            </w:r>
            <w:r w:rsidR="0066649A">
              <w:rPr>
                <w:sz w:val="18"/>
                <w:szCs w:val="18"/>
              </w:rPr>
              <w:t>voor</w:t>
            </w:r>
            <w:r>
              <w:rPr>
                <w:sz w:val="18"/>
                <w:szCs w:val="18"/>
              </w:rPr>
              <w:t xml:space="preserve"> het </w:t>
            </w:r>
            <w:r w:rsidR="0066649A">
              <w:rPr>
                <w:sz w:val="18"/>
                <w:szCs w:val="18"/>
              </w:rPr>
              <w:t>democratische functioneren</w:t>
            </w:r>
            <w:r>
              <w:rPr>
                <w:sz w:val="18"/>
                <w:szCs w:val="18"/>
              </w:rPr>
              <w:t xml:space="preserve"> van </w:t>
            </w:r>
            <w:r w:rsidR="0066649A">
              <w:rPr>
                <w:sz w:val="18"/>
                <w:szCs w:val="18"/>
              </w:rPr>
              <w:t>de overheid</w:t>
            </w:r>
            <w:r>
              <w:rPr>
                <w:sz w:val="18"/>
                <w:szCs w:val="18"/>
              </w:rPr>
              <w:t xml:space="preserve"> in licht van EU-toetreding. </w:t>
            </w:r>
          </w:p>
          <w:p w:rsidR="00B664C7" w:rsidP="00B664C7" w:rsidRDefault="00B664C7" w14:paraId="16939CF7" w14:textId="755E2D05">
            <w:pPr>
              <w:pStyle w:val="TableParagraph"/>
              <w:numPr>
                <w:ilvl w:val="0"/>
                <w:numId w:val="17"/>
              </w:numPr>
              <w:spacing w:before="8" w:line="252" w:lineRule="auto"/>
              <w:rPr>
                <w:sz w:val="18"/>
                <w:szCs w:val="18"/>
              </w:rPr>
            </w:pPr>
            <w:r>
              <w:rPr>
                <w:sz w:val="18"/>
                <w:szCs w:val="18"/>
              </w:rPr>
              <w:t xml:space="preserve">Een </w:t>
            </w:r>
            <w:r w:rsidR="0066649A">
              <w:rPr>
                <w:sz w:val="18"/>
                <w:szCs w:val="18"/>
              </w:rPr>
              <w:t>projectvoorstel</w:t>
            </w:r>
            <w:r>
              <w:rPr>
                <w:sz w:val="18"/>
                <w:szCs w:val="18"/>
              </w:rPr>
              <w:t xml:space="preserve"> ter ondersteuning van </w:t>
            </w:r>
            <w:r w:rsidR="0066649A">
              <w:rPr>
                <w:sz w:val="18"/>
                <w:szCs w:val="18"/>
              </w:rPr>
              <w:t>de monitoring en implementatie van hervormingen t.b.v.</w:t>
            </w:r>
            <w:r>
              <w:rPr>
                <w:sz w:val="18"/>
                <w:szCs w:val="18"/>
              </w:rPr>
              <w:t xml:space="preserve"> transparantie van parlementaire processen en beleid. </w:t>
            </w:r>
          </w:p>
          <w:p w:rsidR="00B664C7" w:rsidP="00B664C7" w:rsidRDefault="00B664C7" w14:paraId="18A2FEEA" w14:textId="0A815750">
            <w:pPr>
              <w:pStyle w:val="TableParagraph"/>
              <w:numPr>
                <w:ilvl w:val="0"/>
                <w:numId w:val="17"/>
              </w:numPr>
              <w:spacing w:before="8" w:line="252" w:lineRule="auto"/>
              <w:rPr>
                <w:sz w:val="18"/>
                <w:szCs w:val="18"/>
              </w:rPr>
            </w:pPr>
            <w:r>
              <w:rPr>
                <w:sz w:val="18"/>
                <w:szCs w:val="18"/>
              </w:rPr>
              <w:t>Steun aan verscheidene organisaties ter ondersteuning van onafhankelijke media in Oekraïne via o.m. capaciteitsontwikkeling</w:t>
            </w:r>
            <w:r w:rsidR="00AD6F06">
              <w:rPr>
                <w:sz w:val="18"/>
                <w:szCs w:val="18"/>
              </w:rPr>
              <w:t>.</w:t>
            </w:r>
          </w:p>
          <w:p w:rsidR="00E722D3" w:rsidP="00B664C7" w:rsidRDefault="00E722D3" w14:paraId="3BFC0F6A" w14:textId="237A5B46">
            <w:pPr>
              <w:pStyle w:val="TableParagraph"/>
              <w:numPr>
                <w:ilvl w:val="0"/>
                <w:numId w:val="17"/>
              </w:numPr>
              <w:spacing w:before="8" w:line="252" w:lineRule="auto"/>
              <w:rPr>
                <w:sz w:val="18"/>
                <w:szCs w:val="18"/>
              </w:rPr>
            </w:pPr>
            <w:r>
              <w:rPr>
                <w:sz w:val="18"/>
                <w:szCs w:val="18"/>
              </w:rPr>
              <w:t>Een projectvoorstel ter ondersteuning van het versterken van de rechtstaat en juridische onafhankelijk</w:t>
            </w:r>
            <w:r w:rsidR="00D04718">
              <w:rPr>
                <w:sz w:val="18"/>
                <w:szCs w:val="18"/>
              </w:rPr>
              <w:t>heid</w:t>
            </w:r>
            <w:r>
              <w:rPr>
                <w:sz w:val="18"/>
                <w:szCs w:val="18"/>
              </w:rPr>
              <w:t xml:space="preserve"> . </w:t>
            </w:r>
          </w:p>
          <w:p w:rsidR="00E722D3" w:rsidP="00B664C7" w:rsidRDefault="00E722D3" w14:paraId="7776AC2E" w14:textId="45E64173">
            <w:pPr>
              <w:pStyle w:val="TableParagraph"/>
              <w:numPr>
                <w:ilvl w:val="0"/>
                <w:numId w:val="17"/>
              </w:numPr>
              <w:spacing w:before="8" w:line="252" w:lineRule="auto"/>
              <w:rPr>
                <w:sz w:val="18"/>
                <w:szCs w:val="18"/>
              </w:rPr>
            </w:pPr>
            <w:r>
              <w:rPr>
                <w:sz w:val="18"/>
                <w:szCs w:val="18"/>
              </w:rPr>
              <w:t xml:space="preserve">Een projectvoorstel ter ondersteuning van het trainingen van Oekraïense ambtenaren die werkzaam zijn op het EU-toetredingstraject van Oekraïne. </w:t>
            </w:r>
          </w:p>
          <w:p w:rsidRPr="0060043E" w:rsidR="00EF35D0" w:rsidP="000901FC" w:rsidRDefault="00EF35D0" w14:paraId="63B5A93D" w14:textId="4D96FE98">
            <w:pPr>
              <w:pStyle w:val="TableParagraph"/>
              <w:spacing w:before="8" w:line="252" w:lineRule="auto"/>
              <w:rPr>
                <w:sz w:val="18"/>
                <w:szCs w:val="18"/>
              </w:rPr>
            </w:pPr>
          </w:p>
        </w:tc>
      </w:tr>
      <w:tr w:rsidRPr="0060043E" w:rsidR="009F2881" w:rsidTr="0060043E" w14:paraId="422A7ABF" w14:textId="77777777">
        <w:trPr>
          <w:trHeight w:val="559"/>
        </w:trPr>
        <w:tc>
          <w:tcPr>
            <w:tcW w:w="1159" w:type="pct"/>
            <w:tcBorders>
              <w:top w:val="nil"/>
              <w:left w:val="nil"/>
              <w:bottom w:val="single" w:color="017BC7" w:sz="8" w:space="0"/>
              <w:right w:val="nil"/>
            </w:tcBorders>
            <w:shd w:val="clear" w:color="auto" w:fill="D6EFF9"/>
          </w:tcPr>
          <w:p w:rsidR="009F2881" w:rsidP="00DB18F5" w:rsidRDefault="009F2881" w14:paraId="0A378D95" w14:textId="77777777">
            <w:pPr>
              <w:pStyle w:val="TableParagraph"/>
              <w:spacing w:before="52" w:line="252" w:lineRule="auto"/>
              <w:ind w:left="89"/>
              <w:rPr>
                <w:b/>
                <w:bCs/>
                <w:sz w:val="18"/>
                <w:szCs w:val="18"/>
              </w:rPr>
            </w:pPr>
            <w:r>
              <w:rPr>
                <w:b/>
                <w:bCs/>
                <w:sz w:val="18"/>
                <w:szCs w:val="18"/>
              </w:rPr>
              <w:t>3. Samenhang eerdere steuninitiatieven</w:t>
            </w:r>
          </w:p>
          <w:p w:rsidRPr="0060043E" w:rsidR="009F2881" w:rsidP="00DB18F5" w:rsidRDefault="009F2881" w14:paraId="63452EB5" w14:textId="4A7FBBC3">
            <w:pPr>
              <w:pStyle w:val="TableParagraph"/>
              <w:spacing w:before="52" w:line="252" w:lineRule="auto"/>
              <w:ind w:left="89"/>
              <w:rPr>
                <w:b/>
                <w:bCs/>
                <w:sz w:val="18"/>
                <w:szCs w:val="18"/>
              </w:rPr>
            </w:pPr>
          </w:p>
        </w:tc>
        <w:tc>
          <w:tcPr>
            <w:tcW w:w="3841" w:type="pct"/>
            <w:tcBorders>
              <w:top w:val="nil"/>
              <w:left w:val="nil"/>
              <w:bottom w:val="single" w:color="017BC7" w:sz="8" w:space="0"/>
              <w:right w:val="nil"/>
            </w:tcBorders>
          </w:tcPr>
          <w:p w:rsidR="009F2881" w:rsidP="009F2881" w:rsidRDefault="009F2881" w14:paraId="3E14BB2B" w14:textId="5F92D2CC">
            <w:pPr>
              <w:autoSpaceDE w:val="0"/>
              <w:autoSpaceDN w:val="0"/>
              <w:spacing w:before="52" w:line="252" w:lineRule="auto"/>
              <w:rPr>
                <w:sz w:val="18"/>
                <w:szCs w:val="18"/>
              </w:rPr>
            </w:pPr>
            <w:r>
              <w:rPr>
                <w:sz w:val="18"/>
                <w:szCs w:val="18"/>
              </w:rPr>
              <w:t xml:space="preserve"> Hoe verhoudt het steunvoorstel zich tot eerdere steuninitiatieven op het betreffende thema?  </w:t>
            </w:r>
          </w:p>
          <w:p w:rsidR="00AD6F06" w:rsidP="00AD6F06" w:rsidRDefault="009F2881" w14:paraId="7BC625B0" w14:textId="77777777">
            <w:pPr>
              <w:autoSpaceDE w:val="0"/>
              <w:autoSpaceDN w:val="0"/>
              <w:spacing w:before="52" w:line="252" w:lineRule="auto"/>
              <w:rPr>
                <w:sz w:val="18"/>
                <w:szCs w:val="18"/>
              </w:rPr>
            </w:pPr>
            <w:r>
              <w:rPr>
                <w:sz w:val="18"/>
                <w:szCs w:val="18"/>
              </w:rPr>
              <w:t xml:space="preserve"> Wat zijn de resultaten tot dusver geweest en de geleerde lessen? </w:t>
            </w:r>
          </w:p>
          <w:p w:rsidR="00AD6F06" w:rsidP="00AD6F06" w:rsidRDefault="00AD6F06" w14:paraId="60708742" w14:textId="77777777">
            <w:pPr>
              <w:autoSpaceDE w:val="0"/>
              <w:autoSpaceDN w:val="0"/>
              <w:spacing w:before="52" w:line="252" w:lineRule="auto"/>
              <w:rPr>
                <w:sz w:val="18"/>
                <w:szCs w:val="18"/>
              </w:rPr>
            </w:pPr>
          </w:p>
          <w:p w:rsidR="009F2881" w:rsidP="00AD6F06" w:rsidRDefault="0025222C" w14:paraId="404985F1" w14:textId="24C6470C">
            <w:pPr>
              <w:autoSpaceDE w:val="0"/>
              <w:autoSpaceDN w:val="0"/>
              <w:spacing w:before="52" w:line="252" w:lineRule="auto"/>
              <w:rPr>
                <w:sz w:val="18"/>
                <w:szCs w:val="18"/>
              </w:rPr>
            </w:pPr>
            <w:r>
              <w:rPr>
                <w:sz w:val="18"/>
                <w:szCs w:val="18"/>
              </w:rPr>
              <w:t xml:space="preserve">Via deze bijdrage wordt voortgebouwd op de verleende steun en </w:t>
            </w:r>
            <w:proofErr w:type="spellStart"/>
            <w:r w:rsidRPr="00AD6F06">
              <w:rPr>
                <w:i/>
                <w:iCs/>
                <w:sz w:val="18"/>
                <w:szCs w:val="18"/>
              </w:rPr>
              <w:t>guidance</w:t>
            </w:r>
            <w:proofErr w:type="spellEnd"/>
            <w:r w:rsidRPr="0025222C">
              <w:rPr>
                <w:sz w:val="18"/>
                <w:szCs w:val="18"/>
              </w:rPr>
              <w:t xml:space="preserve"> </w:t>
            </w:r>
            <w:r w:rsidR="00AD6F06">
              <w:rPr>
                <w:sz w:val="18"/>
                <w:szCs w:val="18"/>
              </w:rPr>
              <w:t>van</w:t>
            </w:r>
            <w:r>
              <w:rPr>
                <w:sz w:val="18"/>
                <w:szCs w:val="18"/>
              </w:rPr>
              <w:t xml:space="preserve"> de Lviv-conferentie</w:t>
            </w:r>
            <w:r w:rsidR="00AD6F06">
              <w:rPr>
                <w:sz w:val="18"/>
                <w:szCs w:val="18"/>
              </w:rPr>
              <w:t>. De voornaamste geleerde les van deze conferentie is dat het ondersteunen van de Oekraïense hervormingsagenda een multidimensionale aanpak vergt, met aandacht voor de meest prangende Oekraïense benodigdheden om de progressie op zijn hervormingsagenda voort te kunnen zetten. Denk daarbij aan capaciteitsopbouw, specifieke technische assistentie op thema’s waar Nederland kennis en kunde heeft, maar ook versterking van de randvoorwaarden die deze progressie mogelijk maken, zoals persvrijheid, een sterk maatschappelijk middenveld, transparantie en rekenschap. In deze optiek bouwt een dergelijke bijdrage ook voort op eerder</w:t>
            </w:r>
            <w:r w:rsidR="004F6CE3">
              <w:rPr>
                <w:sz w:val="18"/>
                <w:szCs w:val="18"/>
              </w:rPr>
              <w:t>e</w:t>
            </w:r>
            <w:r w:rsidR="00AD6F06">
              <w:rPr>
                <w:sz w:val="18"/>
                <w:szCs w:val="18"/>
              </w:rPr>
              <w:t xml:space="preserve">, niet aan de conferentie verwante steun, zoals </w:t>
            </w:r>
            <w:r w:rsidR="004F6CE3">
              <w:rPr>
                <w:sz w:val="18"/>
                <w:szCs w:val="18"/>
              </w:rPr>
              <w:t xml:space="preserve">deze voortkomend uit bv. </w:t>
            </w:r>
            <w:r w:rsidR="00AD6F06">
              <w:rPr>
                <w:sz w:val="18"/>
                <w:szCs w:val="18"/>
              </w:rPr>
              <w:t xml:space="preserve">het </w:t>
            </w:r>
            <w:proofErr w:type="spellStart"/>
            <w:r w:rsidR="00AD6F06">
              <w:rPr>
                <w:sz w:val="18"/>
                <w:szCs w:val="18"/>
              </w:rPr>
              <w:t>Kiesgroepprogramma</w:t>
            </w:r>
            <w:proofErr w:type="spellEnd"/>
            <w:r w:rsidR="00AD6F06">
              <w:rPr>
                <w:sz w:val="18"/>
                <w:szCs w:val="18"/>
              </w:rPr>
              <w:t xml:space="preserve">, Matra, het Mensenrechtenfonds en de verscheidene Europese initiatieven die NL reeds steunt. </w:t>
            </w:r>
            <w:r w:rsidR="00E56CBB">
              <w:rPr>
                <w:sz w:val="18"/>
                <w:szCs w:val="18"/>
              </w:rPr>
              <w:t xml:space="preserve">Daarnaast stuwt Nederland via diplomatieke kanalen </w:t>
            </w:r>
            <w:r w:rsidR="00AD6F06">
              <w:rPr>
                <w:sz w:val="18"/>
                <w:szCs w:val="18"/>
              </w:rPr>
              <w:t xml:space="preserve">(bilateraal, Europees, multilateraal) </w:t>
            </w:r>
            <w:r w:rsidR="00E56CBB">
              <w:rPr>
                <w:sz w:val="18"/>
                <w:szCs w:val="18"/>
              </w:rPr>
              <w:t xml:space="preserve">Oekraïne voort bij het voortzetten van deze progressie. </w:t>
            </w:r>
            <w:r w:rsidR="00AD6F06">
              <w:rPr>
                <w:sz w:val="18"/>
                <w:szCs w:val="18"/>
              </w:rPr>
              <w:t xml:space="preserve">De steun die beoogd wordt met deze bijdrage zal additioneel zijn aan en ter versterking van deze genoemde initiatieven. </w:t>
            </w:r>
          </w:p>
          <w:p w:rsidRPr="0060043E" w:rsidR="00AD6F06" w:rsidP="00AD6F06" w:rsidRDefault="00AD6F06" w14:paraId="701DCC10" w14:textId="1365B2AA">
            <w:pPr>
              <w:autoSpaceDE w:val="0"/>
              <w:autoSpaceDN w:val="0"/>
              <w:spacing w:before="52" w:line="252" w:lineRule="auto"/>
              <w:rPr>
                <w:sz w:val="18"/>
                <w:szCs w:val="18"/>
              </w:rPr>
            </w:pPr>
          </w:p>
        </w:tc>
      </w:tr>
      <w:tr w:rsidRPr="0060043E" w:rsidR="009F2881" w:rsidTr="0060043E" w14:paraId="41921D76" w14:textId="77777777">
        <w:trPr>
          <w:trHeight w:val="559"/>
        </w:trPr>
        <w:tc>
          <w:tcPr>
            <w:tcW w:w="1159" w:type="pct"/>
            <w:tcBorders>
              <w:top w:val="nil"/>
              <w:left w:val="nil"/>
              <w:bottom w:val="single" w:color="017BC7" w:sz="8" w:space="0"/>
              <w:right w:val="nil"/>
            </w:tcBorders>
            <w:shd w:val="clear" w:color="auto" w:fill="D6EFF9"/>
          </w:tcPr>
          <w:p w:rsidR="009F2881" w:rsidP="00DB18F5" w:rsidRDefault="009F2881" w14:paraId="7774D44B" w14:textId="7FBCBD24">
            <w:pPr>
              <w:pStyle w:val="TableParagraph"/>
              <w:spacing w:before="52" w:line="252" w:lineRule="auto"/>
              <w:ind w:left="89"/>
              <w:rPr>
                <w:b/>
                <w:bCs/>
                <w:sz w:val="18"/>
                <w:szCs w:val="18"/>
              </w:rPr>
            </w:pPr>
            <w:r>
              <w:rPr>
                <w:b/>
                <w:bCs/>
                <w:sz w:val="18"/>
                <w:szCs w:val="18"/>
              </w:rPr>
              <w:t>4. Internationale context</w:t>
            </w:r>
          </w:p>
        </w:tc>
        <w:tc>
          <w:tcPr>
            <w:tcW w:w="3841" w:type="pct"/>
            <w:tcBorders>
              <w:top w:val="nil"/>
              <w:left w:val="nil"/>
              <w:bottom w:val="single" w:color="017BC7" w:sz="8" w:space="0"/>
              <w:right w:val="nil"/>
            </w:tcBorders>
          </w:tcPr>
          <w:p w:rsidR="009F2881" w:rsidP="009F2881" w:rsidRDefault="009F2881" w14:paraId="3C293055" w14:textId="36645CA9">
            <w:pPr>
              <w:autoSpaceDE w:val="0"/>
              <w:autoSpaceDN w:val="0"/>
              <w:spacing w:before="52" w:line="252" w:lineRule="auto"/>
              <w:ind w:left="89"/>
              <w:rPr>
                <w:sz w:val="18"/>
                <w:szCs w:val="18"/>
              </w:rPr>
            </w:pPr>
            <w:r>
              <w:rPr>
                <w:sz w:val="18"/>
                <w:szCs w:val="18"/>
              </w:rPr>
              <w:t xml:space="preserve">Hoe verhoudt het voorstel zich tot internationale en EU-steuninitiatieven? Wat is de additionaliteit? Waarom dient Nederland  dit voorstel te financieren? </w:t>
            </w:r>
          </w:p>
          <w:p w:rsidR="000D5B47" w:rsidP="009F2881" w:rsidRDefault="000D5B47" w14:paraId="3298452D" w14:textId="77777777">
            <w:pPr>
              <w:autoSpaceDE w:val="0"/>
              <w:autoSpaceDN w:val="0"/>
              <w:spacing w:before="52" w:line="252" w:lineRule="auto"/>
              <w:ind w:left="89"/>
              <w:rPr>
                <w:sz w:val="18"/>
                <w:szCs w:val="18"/>
              </w:rPr>
            </w:pPr>
          </w:p>
          <w:p w:rsidR="000D5B47" w:rsidP="00A913A5" w:rsidRDefault="000D5B47" w14:paraId="3FAE1BE9" w14:textId="79CDE833">
            <w:pPr>
              <w:autoSpaceDE w:val="0"/>
              <w:autoSpaceDN w:val="0"/>
              <w:spacing w:before="52" w:line="252" w:lineRule="auto"/>
              <w:ind w:left="89"/>
              <w:rPr>
                <w:sz w:val="18"/>
                <w:szCs w:val="18"/>
              </w:rPr>
            </w:pPr>
            <w:r>
              <w:rPr>
                <w:sz w:val="18"/>
                <w:szCs w:val="18"/>
              </w:rPr>
              <w:t>Met het wegvallen van (het merendeel van) de niet-militaire steun van de VS</w:t>
            </w:r>
            <w:r w:rsidR="009A1A67">
              <w:rPr>
                <w:sz w:val="18"/>
                <w:szCs w:val="18"/>
              </w:rPr>
              <w:t xml:space="preserve"> (met name USAID)</w:t>
            </w:r>
            <w:r>
              <w:rPr>
                <w:sz w:val="18"/>
                <w:szCs w:val="18"/>
              </w:rPr>
              <w:t xml:space="preserve"> is ook een groot gat ontstaan in de financiering van cruciale projecten van het Oekraïense maatschappelijk middenveld.</w:t>
            </w:r>
            <w:r w:rsidR="00A913A5">
              <w:rPr>
                <w:sz w:val="18"/>
                <w:szCs w:val="18"/>
              </w:rPr>
              <w:t xml:space="preserve"> Deze projecten zijn fundamenteel voor de verdere </w:t>
            </w:r>
            <w:r w:rsidR="00A913A5">
              <w:rPr>
                <w:sz w:val="18"/>
                <w:szCs w:val="18"/>
              </w:rPr>
              <w:lastRenderedPageBreak/>
              <w:t xml:space="preserve">hervormingsambities van Oekraïne en de stabiliteit van het land. Nederland heeft er grote baat bij – juist als een van de meest kritische EU-lidstaten op het gebied van toetreding – </w:t>
            </w:r>
            <w:r>
              <w:rPr>
                <w:sz w:val="18"/>
                <w:szCs w:val="18"/>
              </w:rPr>
              <w:t xml:space="preserve">dat de benodigde Oekraïense hervormingen naar behoren worden uitgevoerd én geïmplementeerd. </w:t>
            </w:r>
            <w:r w:rsidR="00D35617">
              <w:rPr>
                <w:sz w:val="18"/>
                <w:szCs w:val="18"/>
              </w:rPr>
              <w:t>Verschillende a</w:t>
            </w:r>
            <w:r w:rsidR="00A913A5">
              <w:rPr>
                <w:sz w:val="18"/>
                <w:szCs w:val="18"/>
              </w:rPr>
              <w:t>ndere EU-lidstaten hebben in respons op het wegvallen van VS steun additionele middelen vrijgemaakt voor soortgelijke doeleinden</w:t>
            </w:r>
            <w:r w:rsidR="00D35617">
              <w:rPr>
                <w:sz w:val="18"/>
                <w:szCs w:val="18"/>
              </w:rPr>
              <w:t>; maar dit is nog altijd ruim onvoldoende om alle gaten te vullen</w:t>
            </w:r>
            <w:r w:rsidR="00A913A5">
              <w:rPr>
                <w:sz w:val="18"/>
                <w:szCs w:val="18"/>
              </w:rPr>
              <w:t xml:space="preserve">. </w:t>
            </w:r>
          </w:p>
          <w:p w:rsidR="001C5761" w:rsidP="009F2881" w:rsidRDefault="001C5761" w14:paraId="5801366F" w14:textId="13301362">
            <w:pPr>
              <w:autoSpaceDE w:val="0"/>
              <w:autoSpaceDN w:val="0"/>
              <w:spacing w:before="52" w:line="252" w:lineRule="auto"/>
              <w:rPr>
                <w:sz w:val="18"/>
                <w:szCs w:val="18"/>
              </w:rPr>
            </w:pPr>
          </w:p>
        </w:tc>
      </w:tr>
      <w:tr w:rsidRPr="0060043E" w:rsidR="00191822" w:rsidTr="0060043E" w14:paraId="0AFFE6EF" w14:textId="77777777">
        <w:trPr>
          <w:trHeight w:val="559"/>
        </w:trPr>
        <w:tc>
          <w:tcPr>
            <w:tcW w:w="1159" w:type="pct"/>
            <w:tcBorders>
              <w:top w:val="nil"/>
              <w:left w:val="nil"/>
              <w:bottom w:val="single" w:color="017BC7" w:sz="8" w:space="0"/>
              <w:right w:val="nil"/>
            </w:tcBorders>
            <w:shd w:val="clear" w:color="auto" w:fill="D6EFF9"/>
            <w:hideMark/>
          </w:tcPr>
          <w:p w:rsidR="00191822" w:rsidP="00DB18F5" w:rsidRDefault="009F2881" w14:paraId="6934EE2D" w14:textId="17D96358">
            <w:pPr>
              <w:pStyle w:val="TableParagraph"/>
              <w:spacing w:before="52" w:line="252" w:lineRule="auto"/>
              <w:ind w:left="89"/>
              <w:rPr>
                <w:b/>
                <w:bCs/>
                <w:sz w:val="18"/>
                <w:szCs w:val="18"/>
              </w:rPr>
            </w:pPr>
            <w:r>
              <w:rPr>
                <w:b/>
                <w:bCs/>
                <w:sz w:val="18"/>
                <w:szCs w:val="18"/>
              </w:rPr>
              <w:lastRenderedPageBreak/>
              <w:t>5</w:t>
            </w:r>
            <w:r w:rsidRPr="0060043E" w:rsidR="00191822">
              <w:rPr>
                <w:b/>
                <w:bCs/>
                <w:sz w:val="18"/>
                <w:szCs w:val="18"/>
              </w:rPr>
              <w:t>. A. Financiële gevolgen voor het Rijk</w:t>
            </w:r>
          </w:p>
          <w:p w:rsidRPr="0060043E" w:rsidR="00F13947" w:rsidP="00DB18F5" w:rsidRDefault="00F13947" w14:paraId="06011001" w14:textId="08F82053">
            <w:pPr>
              <w:pStyle w:val="TableParagraph"/>
              <w:spacing w:before="52" w:line="252" w:lineRule="auto"/>
              <w:ind w:left="89"/>
              <w:rPr>
                <w:b/>
                <w:bCs/>
                <w:sz w:val="18"/>
                <w:szCs w:val="18"/>
              </w:rPr>
            </w:pPr>
          </w:p>
        </w:tc>
        <w:tc>
          <w:tcPr>
            <w:tcW w:w="3841" w:type="pct"/>
            <w:tcBorders>
              <w:top w:val="nil"/>
              <w:left w:val="nil"/>
              <w:bottom w:val="single" w:color="017BC7" w:sz="8" w:space="0"/>
              <w:right w:val="nil"/>
            </w:tcBorders>
            <w:hideMark/>
          </w:tcPr>
          <w:p w:rsidR="004D2D77" w:rsidP="000901FC" w:rsidRDefault="000901FC" w14:paraId="5928258A" w14:textId="571418F2">
            <w:pPr>
              <w:spacing w:before="52"/>
              <w:ind w:left="89"/>
              <w:rPr>
                <w:sz w:val="18"/>
                <w:szCs w:val="18"/>
              </w:rPr>
            </w:pPr>
            <w:r w:rsidRPr="0060043E">
              <w:rPr>
                <w:sz w:val="18"/>
                <w:szCs w:val="18"/>
              </w:rPr>
              <w:t>Welke financiële gevolgen heeft het voorstel voor de Rijksbegroting?</w:t>
            </w:r>
          </w:p>
          <w:p w:rsidR="001C5761" w:rsidP="000901FC" w:rsidRDefault="001C5761" w14:paraId="090E9035" w14:textId="77777777">
            <w:pPr>
              <w:spacing w:before="52"/>
              <w:ind w:left="89"/>
              <w:rPr>
                <w:sz w:val="18"/>
                <w:szCs w:val="18"/>
              </w:rPr>
            </w:pPr>
          </w:p>
          <w:p w:rsidR="000D5B47" w:rsidP="000901FC" w:rsidRDefault="000D5B47" w14:paraId="07CEA636" w14:textId="674CD713">
            <w:pPr>
              <w:spacing w:before="52"/>
              <w:ind w:left="89"/>
              <w:rPr>
                <w:sz w:val="18"/>
                <w:szCs w:val="18"/>
              </w:rPr>
            </w:pPr>
            <w:r>
              <w:rPr>
                <w:sz w:val="18"/>
                <w:szCs w:val="18"/>
              </w:rPr>
              <w:t xml:space="preserve">Betreft een eenmalige bijdrage van EUR 3 mln. </w:t>
            </w:r>
            <w:r w:rsidR="00057B96">
              <w:rPr>
                <w:sz w:val="18"/>
                <w:szCs w:val="18"/>
              </w:rPr>
              <w:t>in 2026</w:t>
            </w:r>
            <w:r>
              <w:rPr>
                <w:sz w:val="18"/>
                <w:szCs w:val="18"/>
              </w:rPr>
              <w:t xml:space="preserve"> uit algemene middelen t.b.v. de ondersteuning van verscheidene projecten via de Nederlandse ambassade in Kyiv. </w:t>
            </w:r>
          </w:p>
          <w:p w:rsidRPr="0060043E" w:rsidR="009A145E" w:rsidP="000901FC" w:rsidRDefault="009A145E" w14:paraId="5AFABA7B" w14:textId="77777777">
            <w:pPr>
              <w:spacing w:before="52"/>
              <w:ind w:left="89"/>
              <w:rPr>
                <w:sz w:val="18"/>
                <w:szCs w:val="18"/>
              </w:rPr>
            </w:pPr>
          </w:p>
          <w:p w:rsidRPr="0060043E" w:rsidR="00191822" w:rsidP="000901FC" w:rsidRDefault="00191822" w14:paraId="1A6760F9" w14:textId="4890835E">
            <w:pPr>
              <w:spacing w:before="52"/>
              <w:ind w:left="89"/>
              <w:rPr>
                <w:sz w:val="18"/>
                <w:szCs w:val="18"/>
              </w:rPr>
            </w:pPr>
          </w:p>
        </w:tc>
      </w:tr>
      <w:tr w:rsidRPr="0060043E" w:rsidR="00191822" w:rsidTr="0060043E" w14:paraId="6311F186" w14:textId="77777777">
        <w:trPr>
          <w:trHeight w:val="559"/>
        </w:trPr>
        <w:tc>
          <w:tcPr>
            <w:tcW w:w="1159" w:type="pct"/>
            <w:tcBorders>
              <w:top w:val="nil"/>
              <w:left w:val="nil"/>
              <w:bottom w:val="single" w:color="017BC7" w:sz="8" w:space="0"/>
              <w:right w:val="nil"/>
            </w:tcBorders>
            <w:shd w:val="clear" w:color="auto" w:fill="D6EFF9"/>
            <w:hideMark/>
          </w:tcPr>
          <w:p w:rsidR="00191822" w:rsidP="001341C8" w:rsidRDefault="00191822" w14:paraId="1E7965E6" w14:textId="77777777">
            <w:pPr>
              <w:pStyle w:val="TableParagraph"/>
              <w:spacing w:before="52"/>
              <w:rPr>
                <w:b/>
                <w:bCs/>
                <w:sz w:val="18"/>
                <w:szCs w:val="18"/>
              </w:rPr>
            </w:pPr>
            <w:r w:rsidRPr="0060043E">
              <w:rPr>
                <w:b/>
                <w:bCs/>
                <w:sz w:val="18"/>
                <w:szCs w:val="18"/>
              </w:rPr>
              <w:t>B. Financiële gevolgen voor maatschappelijke sectoren</w:t>
            </w:r>
          </w:p>
          <w:p w:rsidRPr="0060043E" w:rsidR="00F13947" w:rsidP="001341C8" w:rsidRDefault="00F13947" w14:paraId="164B1453" w14:textId="77777777">
            <w:pPr>
              <w:pStyle w:val="TableParagraph"/>
              <w:spacing w:before="52"/>
              <w:rPr>
                <w:b/>
                <w:bCs/>
                <w:sz w:val="18"/>
                <w:szCs w:val="18"/>
              </w:rPr>
            </w:pPr>
          </w:p>
        </w:tc>
        <w:tc>
          <w:tcPr>
            <w:tcW w:w="3841" w:type="pct"/>
            <w:tcBorders>
              <w:top w:val="nil"/>
              <w:left w:val="nil"/>
              <w:bottom w:val="single" w:color="017BC7" w:sz="8" w:space="0"/>
              <w:right w:val="nil"/>
            </w:tcBorders>
            <w:hideMark/>
          </w:tcPr>
          <w:p w:rsidR="00191822" w:rsidP="000901FC" w:rsidRDefault="000901FC" w14:paraId="155A3176" w14:textId="77777777">
            <w:pPr>
              <w:spacing w:before="52"/>
              <w:ind w:left="89"/>
              <w:rPr>
                <w:sz w:val="18"/>
                <w:szCs w:val="18"/>
              </w:rPr>
            </w:pPr>
            <w:r w:rsidRPr="0060043E">
              <w:rPr>
                <w:sz w:val="18"/>
                <w:szCs w:val="18"/>
              </w:rPr>
              <w:t>Welke financiële gevolgen heeft het voorstel voor maatschappelijke sectoren (als van toepassing)?</w:t>
            </w:r>
          </w:p>
          <w:p w:rsidR="000D5B47" w:rsidP="000901FC" w:rsidRDefault="000D5B47" w14:paraId="43B67A2A" w14:textId="77777777">
            <w:pPr>
              <w:spacing w:before="52"/>
              <w:ind w:left="89"/>
              <w:rPr>
                <w:sz w:val="18"/>
                <w:szCs w:val="18"/>
              </w:rPr>
            </w:pPr>
          </w:p>
          <w:p w:rsidRPr="0060043E" w:rsidR="000D5B47" w:rsidP="000901FC" w:rsidRDefault="000D5B47" w14:paraId="76743493" w14:textId="1D4C38D1">
            <w:pPr>
              <w:spacing w:before="52"/>
              <w:ind w:left="89"/>
              <w:rPr>
                <w:sz w:val="18"/>
                <w:szCs w:val="18"/>
              </w:rPr>
            </w:pPr>
            <w:r>
              <w:rPr>
                <w:sz w:val="18"/>
                <w:szCs w:val="18"/>
              </w:rPr>
              <w:t>N.v.t.</w:t>
            </w:r>
          </w:p>
        </w:tc>
      </w:tr>
      <w:tr w:rsidRPr="0060043E" w:rsidR="00191822" w:rsidTr="0060043E" w14:paraId="5A411B6A" w14:textId="77777777">
        <w:trPr>
          <w:trHeight w:val="759"/>
        </w:trPr>
        <w:tc>
          <w:tcPr>
            <w:tcW w:w="1159" w:type="pct"/>
            <w:tcBorders>
              <w:top w:val="nil"/>
              <w:left w:val="nil"/>
              <w:bottom w:val="single" w:color="017BC7" w:sz="8" w:space="0"/>
              <w:right w:val="nil"/>
            </w:tcBorders>
            <w:shd w:val="clear" w:color="auto" w:fill="D6EFF9"/>
            <w:hideMark/>
          </w:tcPr>
          <w:p w:rsidRPr="0060043E" w:rsidR="00191822" w:rsidP="001341C8" w:rsidRDefault="009F2881" w14:paraId="426B80EA" w14:textId="5F78F609">
            <w:pPr>
              <w:pStyle w:val="TableParagraph"/>
              <w:spacing w:before="52" w:line="252" w:lineRule="auto"/>
              <w:ind w:left="89"/>
              <w:rPr>
                <w:b/>
                <w:bCs/>
                <w:sz w:val="18"/>
                <w:szCs w:val="18"/>
                <w:lang w:val="en-US"/>
              </w:rPr>
            </w:pPr>
            <w:r>
              <w:rPr>
                <w:b/>
                <w:bCs/>
                <w:sz w:val="18"/>
                <w:szCs w:val="18"/>
                <w:lang w:val="en-US"/>
              </w:rPr>
              <w:t>6</w:t>
            </w:r>
            <w:r w:rsidRPr="0060043E" w:rsidR="00191822">
              <w:rPr>
                <w:b/>
                <w:bCs/>
                <w:sz w:val="18"/>
                <w:szCs w:val="18"/>
                <w:lang w:val="en-US"/>
              </w:rPr>
              <w:t xml:space="preserve">. </w:t>
            </w:r>
            <w:proofErr w:type="spellStart"/>
            <w:r w:rsidRPr="0060043E" w:rsidR="00191822">
              <w:rPr>
                <w:b/>
                <w:bCs/>
                <w:sz w:val="18"/>
                <w:szCs w:val="18"/>
                <w:lang w:val="en-US"/>
              </w:rPr>
              <w:t>Nagestreefde</w:t>
            </w:r>
            <w:proofErr w:type="spellEnd"/>
            <w:r w:rsidRPr="0060043E" w:rsidR="00191822">
              <w:rPr>
                <w:b/>
                <w:bCs/>
                <w:sz w:val="18"/>
                <w:szCs w:val="18"/>
                <w:lang w:val="en-US"/>
              </w:rPr>
              <w:t xml:space="preserve"> </w:t>
            </w:r>
            <w:proofErr w:type="spellStart"/>
            <w:r w:rsidRPr="0060043E" w:rsidR="00191822">
              <w:rPr>
                <w:b/>
                <w:bCs/>
                <w:sz w:val="18"/>
                <w:szCs w:val="18"/>
                <w:lang w:val="en-US"/>
              </w:rPr>
              <w:t>doeltreffendheid</w:t>
            </w:r>
            <w:proofErr w:type="spellEnd"/>
          </w:p>
        </w:tc>
        <w:tc>
          <w:tcPr>
            <w:tcW w:w="3841" w:type="pct"/>
            <w:tcBorders>
              <w:top w:val="nil"/>
              <w:left w:val="nil"/>
              <w:bottom w:val="single" w:color="017BC7" w:sz="8" w:space="0"/>
              <w:right w:val="nil"/>
            </w:tcBorders>
            <w:hideMark/>
          </w:tcPr>
          <w:p w:rsidR="00191822" w:rsidP="0040243C" w:rsidRDefault="000901FC" w14:paraId="0D5F1537" w14:textId="77777777">
            <w:pPr>
              <w:pStyle w:val="TableParagraph"/>
              <w:spacing w:before="4" w:line="252" w:lineRule="auto"/>
              <w:rPr>
                <w:sz w:val="18"/>
                <w:szCs w:val="18"/>
              </w:rPr>
            </w:pPr>
            <w:r w:rsidRPr="0060043E">
              <w:rPr>
                <w:sz w:val="18"/>
                <w:szCs w:val="18"/>
              </w:rPr>
              <w:t>Op welke wijze en in welke mate wordt verwacht dat het beleidsinstrumentarium gaat bijdragen aan de beoogde prestaties en effecten?</w:t>
            </w:r>
          </w:p>
          <w:p w:rsidR="000D5B47" w:rsidP="0040243C" w:rsidRDefault="000D5B47" w14:paraId="468D12F2" w14:textId="77777777">
            <w:pPr>
              <w:pStyle w:val="TableParagraph"/>
              <w:spacing w:before="4" w:line="252" w:lineRule="auto"/>
              <w:rPr>
                <w:sz w:val="18"/>
                <w:szCs w:val="18"/>
              </w:rPr>
            </w:pPr>
          </w:p>
          <w:p w:rsidR="003F4DEA" w:rsidP="00E94DFF" w:rsidRDefault="00E94DFF" w14:paraId="2BA99D90" w14:textId="77777777">
            <w:pPr>
              <w:pStyle w:val="TableParagraph"/>
              <w:spacing w:before="4" w:line="252" w:lineRule="auto"/>
              <w:rPr>
                <w:sz w:val="18"/>
                <w:szCs w:val="18"/>
              </w:rPr>
            </w:pPr>
            <w:r>
              <w:rPr>
                <w:sz w:val="18"/>
                <w:szCs w:val="18"/>
              </w:rPr>
              <w:t xml:space="preserve">Nederland heeft veel ervaring met het samenwerken met het maatschappelijk middenveld via fondsen zoals Matra en het Mensenrechtenfonds. Dat geldt ook voor Oekraïne. </w:t>
            </w:r>
            <w:r w:rsidR="00F43D12">
              <w:rPr>
                <w:sz w:val="18"/>
                <w:szCs w:val="18"/>
              </w:rPr>
              <w:t>Nederland ondersteunt het maatschappelijk middenveld in Oekra</w:t>
            </w:r>
            <w:r w:rsidRPr="003F4DEA" w:rsidR="00F43D12">
              <w:rPr>
                <w:sz w:val="18"/>
                <w:szCs w:val="18"/>
              </w:rPr>
              <w:t>ï</w:t>
            </w:r>
            <w:r w:rsidR="00F43D12">
              <w:rPr>
                <w:sz w:val="18"/>
                <w:szCs w:val="18"/>
              </w:rPr>
              <w:t>ne sinds 1993 via het Matra-fonds. Een beleidsevaluatie van de Directie International Onderzoek en Beleidsevaluatie (IOB) van het Ministerie van Buitenlandse Zaken concludeerde dat “bijna alle project</w:t>
            </w:r>
            <w:r w:rsidR="00CB20DF">
              <w:rPr>
                <w:sz w:val="18"/>
                <w:szCs w:val="18"/>
              </w:rPr>
              <w:t>en</w:t>
            </w:r>
            <w:r w:rsidR="00F43D12">
              <w:rPr>
                <w:sz w:val="18"/>
                <w:szCs w:val="18"/>
              </w:rPr>
              <w:t xml:space="preserve"> in deze evaluatie de geplande resultaten </w:t>
            </w:r>
            <w:r w:rsidR="00CB20DF">
              <w:rPr>
                <w:sz w:val="18"/>
                <w:szCs w:val="18"/>
              </w:rPr>
              <w:t>[</w:t>
            </w:r>
            <w:r w:rsidR="00F43D12">
              <w:rPr>
                <w:sz w:val="18"/>
                <w:szCs w:val="18"/>
              </w:rPr>
              <w:t>hebbe</w:t>
            </w:r>
            <w:r w:rsidR="00CB20DF">
              <w:rPr>
                <w:sz w:val="18"/>
                <w:szCs w:val="18"/>
              </w:rPr>
              <w:t xml:space="preserve">n] de geplande resultaten behaald en bijgedragen aan de verwachte korte termijnuitkomsten”. Om betere resultaten op programma niveau te behalen raadt de IOB aan om versnippering tegen te gaan en land-specifieke doelstellingen te formuleren. Op projectniveau wordt aangeraden om het doelland de resultaten te laten formuleren. </w:t>
            </w:r>
          </w:p>
          <w:p w:rsidR="003F4DEA" w:rsidP="00E94DFF" w:rsidRDefault="003F4DEA" w14:paraId="1118088F" w14:textId="77777777">
            <w:pPr>
              <w:pStyle w:val="TableParagraph"/>
              <w:spacing w:before="4" w:line="252" w:lineRule="auto"/>
              <w:rPr>
                <w:sz w:val="18"/>
                <w:szCs w:val="18"/>
              </w:rPr>
            </w:pPr>
          </w:p>
          <w:p w:rsidR="00CB20DF" w:rsidP="00E94DFF" w:rsidRDefault="00CB20DF" w14:paraId="696679B3" w14:textId="0ED8B75A">
            <w:pPr>
              <w:pStyle w:val="TableParagraph"/>
              <w:spacing w:before="4" w:line="252" w:lineRule="auto"/>
              <w:rPr>
                <w:sz w:val="18"/>
                <w:szCs w:val="18"/>
              </w:rPr>
            </w:pPr>
            <w:r>
              <w:rPr>
                <w:sz w:val="18"/>
                <w:szCs w:val="18"/>
              </w:rPr>
              <w:t xml:space="preserve">Daarom is ervoor gekozen dit beleidsinstrument </w:t>
            </w:r>
            <w:r w:rsidR="003F4DEA">
              <w:rPr>
                <w:sz w:val="18"/>
                <w:szCs w:val="18"/>
              </w:rPr>
              <w:t xml:space="preserve">voornamelijk </w:t>
            </w:r>
            <w:r>
              <w:rPr>
                <w:sz w:val="18"/>
                <w:szCs w:val="18"/>
              </w:rPr>
              <w:t xml:space="preserve">te koppelen aan </w:t>
            </w:r>
            <w:r w:rsidR="003F4DEA">
              <w:rPr>
                <w:sz w:val="18"/>
                <w:szCs w:val="18"/>
              </w:rPr>
              <w:t>de doelstellingen van de</w:t>
            </w:r>
            <w:r w:rsidR="00817B1E">
              <w:rPr>
                <w:sz w:val="18"/>
                <w:szCs w:val="18"/>
              </w:rPr>
              <w:t xml:space="preserve"> </w:t>
            </w:r>
            <w:r w:rsidR="00D35617">
              <w:rPr>
                <w:sz w:val="18"/>
                <w:szCs w:val="18"/>
              </w:rPr>
              <w:t>genoemde</w:t>
            </w:r>
            <w:r>
              <w:rPr>
                <w:sz w:val="18"/>
                <w:szCs w:val="18"/>
              </w:rPr>
              <w:t xml:space="preserve"> </w:t>
            </w:r>
            <w:r w:rsidR="00D35617">
              <w:rPr>
                <w:sz w:val="18"/>
                <w:szCs w:val="18"/>
              </w:rPr>
              <w:t>“</w:t>
            </w:r>
            <w:r>
              <w:rPr>
                <w:sz w:val="18"/>
                <w:szCs w:val="18"/>
              </w:rPr>
              <w:t>Lviv</w:t>
            </w:r>
            <w:r w:rsidR="00D35617">
              <w:rPr>
                <w:sz w:val="18"/>
                <w:szCs w:val="18"/>
              </w:rPr>
              <w:t>-</w:t>
            </w:r>
            <w:r>
              <w:rPr>
                <w:sz w:val="18"/>
                <w:szCs w:val="18"/>
              </w:rPr>
              <w:t>conferentie</w:t>
            </w:r>
            <w:r w:rsidR="00D35617">
              <w:rPr>
                <w:sz w:val="18"/>
                <w:szCs w:val="18"/>
              </w:rPr>
              <w:t>”</w:t>
            </w:r>
            <w:r>
              <w:rPr>
                <w:sz w:val="18"/>
                <w:szCs w:val="18"/>
              </w:rPr>
              <w:t>. Op deze manier wordt een koppeling gemaakt met de bredere beleidsdoelstellingen en wordt duidelijk de vraag vanuit Oekra</w:t>
            </w:r>
            <w:r w:rsidRPr="003F4DEA">
              <w:rPr>
                <w:sz w:val="18"/>
                <w:szCs w:val="18"/>
              </w:rPr>
              <w:t>ïne</w:t>
            </w:r>
            <w:r>
              <w:rPr>
                <w:sz w:val="18"/>
                <w:szCs w:val="18"/>
              </w:rPr>
              <w:t xml:space="preserve"> meegenomen in het formuleren van de doelstellingen. Daarnaast wordt versnippering voorkomen door te kiezen voor een beperkt aantal grotere projecten die onder de paraplu van de opvolging van de Lviv-conferentie passen.</w:t>
            </w:r>
          </w:p>
          <w:p w:rsidR="0099286A" w:rsidP="00C97394" w:rsidRDefault="0099286A" w14:paraId="21770AF1" w14:textId="77777777">
            <w:pPr>
              <w:pStyle w:val="TableParagraph"/>
              <w:spacing w:before="4" w:line="252" w:lineRule="auto"/>
              <w:ind w:left="0"/>
              <w:rPr>
                <w:sz w:val="18"/>
                <w:szCs w:val="18"/>
              </w:rPr>
            </w:pPr>
          </w:p>
          <w:p w:rsidRPr="0060043E" w:rsidR="0099286A" w:rsidP="0040243C" w:rsidRDefault="0099286A" w14:paraId="11613BD5" w14:textId="1DEBECEB">
            <w:pPr>
              <w:pStyle w:val="TableParagraph"/>
              <w:spacing w:before="4" w:line="252" w:lineRule="auto"/>
              <w:rPr>
                <w:sz w:val="18"/>
                <w:szCs w:val="18"/>
              </w:rPr>
            </w:pPr>
          </w:p>
        </w:tc>
      </w:tr>
      <w:tr w:rsidRPr="0060043E" w:rsidR="00191822" w:rsidTr="00B03318" w14:paraId="7A2CB2A8" w14:textId="77777777">
        <w:trPr>
          <w:trHeight w:val="559"/>
        </w:trPr>
        <w:tc>
          <w:tcPr>
            <w:tcW w:w="1159" w:type="pct"/>
            <w:tcBorders>
              <w:top w:val="nil"/>
              <w:left w:val="nil"/>
              <w:bottom w:val="single" w:color="017BC7" w:sz="8" w:space="0"/>
              <w:right w:val="nil"/>
            </w:tcBorders>
            <w:shd w:val="clear" w:color="auto" w:fill="D6EFF9"/>
            <w:hideMark/>
          </w:tcPr>
          <w:p w:rsidRPr="0060043E" w:rsidR="00191822" w:rsidP="001341C8" w:rsidRDefault="009F2881" w14:paraId="0EC5A4D3" w14:textId="5C5F22EE">
            <w:pPr>
              <w:pStyle w:val="TableParagraph"/>
              <w:spacing w:before="52" w:line="252" w:lineRule="auto"/>
              <w:ind w:left="89"/>
              <w:rPr>
                <w:b/>
                <w:bCs/>
                <w:sz w:val="18"/>
                <w:szCs w:val="18"/>
                <w:lang w:val="en-US"/>
              </w:rPr>
            </w:pPr>
            <w:r>
              <w:rPr>
                <w:b/>
                <w:bCs/>
                <w:sz w:val="18"/>
                <w:szCs w:val="18"/>
                <w:lang w:val="en-US"/>
              </w:rPr>
              <w:t>7</w:t>
            </w:r>
            <w:r w:rsidRPr="0060043E" w:rsidR="00191822">
              <w:rPr>
                <w:b/>
                <w:bCs/>
                <w:sz w:val="18"/>
                <w:szCs w:val="18"/>
                <w:lang w:val="en-US"/>
              </w:rPr>
              <w:t xml:space="preserve">. </w:t>
            </w:r>
            <w:proofErr w:type="spellStart"/>
            <w:r w:rsidRPr="0060043E" w:rsidR="00191822">
              <w:rPr>
                <w:b/>
                <w:bCs/>
                <w:sz w:val="18"/>
                <w:szCs w:val="18"/>
                <w:lang w:val="en-US"/>
              </w:rPr>
              <w:t>Nagestreefde</w:t>
            </w:r>
            <w:proofErr w:type="spellEnd"/>
            <w:r w:rsidRPr="0060043E" w:rsidR="00191822">
              <w:rPr>
                <w:b/>
                <w:bCs/>
                <w:sz w:val="18"/>
                <w:szCs w:val="18"/>
                <w:lang w:val="en-US"/>
              </w:rPr>
              <w:t xml:space="preserve"> </w:t>
            </w:r>
            <w:proofErr w:type="spellStart"/>
            <w:r w:rsidRPr="0060043E" w:rsidR="00191822">
              <w:rPr>
                <w:b/>
                <w:bCs/>
                <w:sz w:val="18"/>
                <w:szCs w:val="18"/>
                <w:lang w:val="en-US"/>
              </w:rPr>
              <w:t>doelmatigheid</w:t>
            </w:r>
            <w:proofErr w:type="spellEnd"/>
          </w:p>
        </w:tc>
        <w:tc>
          <w:tcPr>
            <w:tcW w:w="3841" w:type="pct"/>
            <w:tcBorders>
              <w:top w:val="nil"/>
              <w:left w:val="nil"/>
              <w:bottom w:val="single" w:color="017BC7" w:sz="8" w:space="0"/>
              <w:right w:val="nil"/>
            </w:tcBorders>
            <w:hideMark/>
          </w:tcPr>
          <w:p w:rsidR="00E94DFF" w:rsidP="00E94DFF" w:rsidRDefault="000901FC" w14:paraId="1B5A0FEA" w14:textId="32CCDB69">
            <w:pPr>
              <w:spacing w:before="52"/>
              <w:ind w:left="89"/>
              <w:rPr>
                <w:sz w:val="18"/>
                <w:szCs w:val="18"/>
              </w:rPr>
            </w:pPr>
            <w:r w:rsidRPr="0060043E">
              <w:rPr>
                <w:sz w:val="18"/>
                <w:szCs w:val="18"/>
              </w:rPr>
              <w:t>Waarom is het voorgestelde instrumentarium een efficiënte manier om de beoogde prestaties en effecten te bereiken?</w:t>
            </w:r>
          </w:p>
          <w:p w:rsidR="00817B1E" w:rsidP="00E94DFF" w:rsidRDefault="00817B1E" w14:paraId="6D064462" w14:textId="77777777">
            <w:pPr>
              <w:spacing w:before="52"/>
              <w:ind w:left="89"/>
              <w:rPr>
                <w:sz w:val="18"/>
                <w:szCs w:val="18"/>
              </w:rPr>
            </w:pPr>
          </w:p>
          <w:p w:rsidR="00E94DFF" w:rsidP="00EF3A90" w:rsidRDefault="00C97394" w14:paraId="04CC0D19" w14:textId="009449B9">
            <w:pPr>
              <w:spacing w:before="52"/>
              <w:ind w:left="89"/>
              <w:rPr>
                <w:sz w:val="18"/>
                <w:szCs w:val="18"/>
              </w:rPr>
            </w:pPr>
            <w:r>
              <w:rPr>
                <w:sz w:val="18"/>
                <w:szCs w:val="18"/>
              </w:rPr>
              <w:t xml:space="preserve">De kracht van </w:t>
            </w:r>
            <w:r w:rsidR="00E94DFF">
              <w:rPr>
                <w:sz w:val="18"/>
                <w:szCs w:val="18"/>
              </w:rPr>
              <w:t xml:space="preserve">het maatschappelijk middenveld </w:t>
            </w:r>
            <w:r>
              <w:rPr>
                <w:sz w:val="18"/>
                <w:szCs w:val="18"/>
              </w:rPr>
              <w:t xml:space="preserve">ligt in de verbindende rol die </w:t>
            </w:r>
            <w:r w:rsidR="00E94DFF">
              <w:rPr>
                <w:sz w:val="18"/>
                <w:szCs w:val="18"/>
              </w:rPr>
              <w:t xml:space="preserve">het speelt </w:t>
            </w:r>
            <w:r>
              <w:rPr>
                <w:sz w:val="18"/>
                <w:szCs w:val="18"/>
              </w:rPr>
              <w:t>tussen burgers en overheid</w:t>
            </w:r>
            <w:r w:rsidR="00EF3A90">
              <w:rPr>
                <w:sz w:val="18"/>
                <w:szCs w:val="18"/>
              </w:rPr>
              <w:t xml:space="preserve">, en de uitgebreide kennis die het heeft van de – zeker in Oekraïne – complexe en snel veranderende situatie. Doordat maatschappelijke organisaties nauwe contacten onderhouden met alle relevante spelers in het land (overheid, bevolking, media, etc.) hebben ze ook het vermogen om snel grote impact te maken. </w:t>
            </w:r>
            <w:r>
              <w:rPr>
                <w:sz w:val="18"/>
                <w:szCs w:val="18"/>
              </w:rPr>
              <w:t xml:space="preserve">Het maatschappelijk middenveld geeft </w:t>
            </w:r>
            <w:r w:rsidR="00EF3A90">
              <w:rPr>
                <w:sz w:val="18"/>
                <w:szCs w:val="18"/>
              </w:rPr>
              <w:t xml:space="preserve">daarnaast </w:t>
            </w:r>
            <w:r>
              <w:rPr>
                <w:sz w:val="18"/>
                <w:szCs w:val="18"/>
              </w:rPr>
              <w:t xml:space="preserve">stem aan diverse belangen die anders wellicht over het hoofd worden gezien en moedigt burgers aan actief deel te nemen, waardoor ook democratische betrokkenheid en sociale cohesie worden versterkt. </w:t>
            </w:r>
            <w:r w:rsidR="00EF3A90">
              <w:rPr>
                <w:sz w:val="18"/>
                <w:szCs w:val="18"/>
              </w:rPr>
              <w:t>Ook</w:t>
            </w:r>
            <w:r>
              <w:rPr>
                <w:sz w:val="18"/>
                <w:szCs w:val="18"/>
              </w:rPr>
              <w:t xml:space="preserve"> heeft het een controlerende functie, en is het in staat om de overheid verantwoordelijk te houden daar waar onvoldoende progressie wordt geboekt op de hervormingsagenda. </w:t>
            </w:r>
          </w:p>
          <w:p w:rsidR="004F6CE3" w:rsidP="00EF3A90" w:rsidRDefault="004F6CE3" w14:paraId="56FE24E1" w14:textId="77777777">
            <w:pPr>
              <w:spacing w:before="52"/>
              <w:ind w:left="89"/>
              <w:rPr>
                <w:sz w:val="18"/>
                <w:szCs w:val="18"/>
              </w:rPr>
            </w:pPr>
          </w:p>
          <w:p w:rsidRPr="0060043E" w:rsidR="008F363F" w:rsidP="0040243C" w:rsidRDefault="008F363F" w14:paraId="2476BC90" w14:textId="1EE74F0E">
            <w:pPr>
              <w:spacing w:before="52"/>
              <w:ind w:left="89"/>
              <w:rPr>
                <w:sz w:val="18"/>
                <w:szCs w:val="18"/>
              </w:rPr>
            </w:pPr>
          </w:p>
        </w:tc>
      </w:tr>
      <w:tr w:rsidRPr="0060043E" w:rsidR="00191822" w:rsidTr="00B03318" w14:paraId="32F345EA" w14:textId="77777777">
        <w:trPr>
          <w:trHeight w:val="354"/>
        </w:trPr>
        <w:tc>
          <w:tcPr>
            <w:tcW w:w="1159" w:type="pct"/>
            <w:tcBorders>
              <w:top w:val="single" w:color="017BC7" w:sz="8" w:space="0"/>
              <w:left w:val="nil"/>
              <w:bottom w:val="single" w:color="017BC7" w:sz="8" w:space="0"/>
              <w:right w:val="nil"/>
            </w:tcBorders>
            <w:shd w:val="clear" w:color="auto" w:fill="D6EFF9"/>
            <w:hideMark/>
          </w:tcPr>
          <w:p w:rsidRPr="0060043E" w:rsidR="00191822" w:rsidP="001341C8" w:rsidRDefault="009F2881" w14:paraId="1FCEC8C6" w14:textId="55042921">
            <w:pPr>
              <w:pStyle w:val="TableParagraph"/>
              <w:spacing w:before="52" w:line="252" w:lineRule="auto"/>
              <w:ind w:left="89"/>
              <w:rPr>
                <w:b/>
                <w:bCs/>
                <w:sz w:val="18"/>
                <w:szCs w:val="18"/>
                <w:lang w:val="en-US"/>
              </w:rPr>
            </w:pPr>
            <w:r>
              <w:rPr>
                <w:b/>
                <w:bCs/>
                <w:sz w:val="18"/>
                <w:szCs w:val="18"/>
                <w:lang w:val="en-US"/>
              </w:rPr>
              <w:t>8</w:t>
            </w:r>
            <w:r w:rsidRPr="0060043E" w:rsidR="00191822">
              <w:rPr>
                <w:b/>
                <w:bCs/>
                <w:sz w:val="18"/>
                <w:szCs w:val="18"/>
                <w:lang w:val="en-US"/>
              </w:rPr>
              <w:t xml:space="preserve">. </w:t>
            </w:r>
            <w:proofErr w:type="spellStart"/>
            <w:r w:rsidRPr="0060043E" w:rsidR="00191822">
              <w:rPr>
                <w:b/>
                <w:bCs/>
                <w:sz w:val="18"/>
                <w:szCs w:val="18"/>
                <w:lang w:val="en-US"/>
              </w:rPr>
              <w:t>Evaluatieparagraaf</w:t>
            </w:r>
            <w:proofErr w:type="spellEnd"/>
          </w:p>
        </w:tc>
        <w:tc>
          <w:tcPr>
            <w:tcW w:w="3841" w:type="pct"/>
            <w:tcBorders>
              <w:top w:val="single" w:color="017BC7" w:sz="8" w:space="0"/>
              <w:left w:val="nil"/>
              <w:bottom w:val="single" w:color="017BC7" w:sz="8" w:space="0"/>
              <w:right w:val="nil"/>
            </w:tcBorders>
            <w:hideMark/>
          </w:tcPr>
          <w:p w:rsidR="00191822" w:rsidP="000901FC" w:rsidRDefault="000901FC" w14:paraId="1B336F11" w14:textId="10C93D54">
            <w:pPr>
              <w:autoSpaceDE w:val="0"/>
              <w:autoSpaceDN w:val="0"/>
              <w:spacing w:before="52" w:line="252" w:lineRule="auto"/>
              <w:ind w:left="89"/>
              <w:rPr>
                <w:sz w:val="18"/>
                <w:szCs w:val="18"/>
              </w:rPr>
            </w:pPr>
            <w:r w:rsidRPr="0060043E">
              <w:rPr>
                <w:sz w:val="18"/>
                <w:szCs w:val="18"/>
              </w:rPr>
              <w:t>Hoe wordt het voorstel gemonitord en geëvalueerd?</w:t>
            </w:r>
            <w:r w:rsidR="00115875">
              <w:rPr>
                <w:sz w:val="18"/>
                <w:szCs w:val="18"/>
              </w:rPr>
              <w:t xml:space="preserve"> </w:t>
            </w:r>
          </w:p>
          <w:p w:rsidR="00125332" w:rsidP="000901FC" w:rsidRDefault="00125332" w14:paraId="40914E45" w14:textId="77777777">
            <w:pPr>
              <w:autoSpaceDE w:val="0"/>
              <w:autoSpaceDN w:val="0"/>
              <w:spacing w:before="52" w:line="252" w:lineRule="auto"/>
              <w:ind w:left="89"/>
              <w:rPr>
                <w:sz w:val="18"/>
                <w:szCs w:val="18"/>
              </w:rPr>
            </w:pPr>
          </w:p>
          <w:p w:rsidRPr="003F4DEA" w:rsidR="000D5B47" w:rsidP="000901FC" w:rsidRDefault="00D35617" w14:paraId="380EEAE5" w14:textId="3344856F">
            <w:pPr>
              <w:autoSpaceDE w:val="0"/>
              <w:autoSpaceDN w:val="0"/>
              <w:spacing w:before="52" w:line="252" w:lineRule="auto"/>
              <w:ind w:left="89"/>
              <w:rPr>
                <w:sz w:val="18"/>
                <w:szCs w:val="18"/>
              </w:rPr>
            </w:pPr>
            <w:r>
              <w:rPr>
                <w:sz w:val="18"/>
                <w:szCs w:val="18"/>
              </w:rPr>
              <w:t xml:space="preserve">Monitoring en evaluatie vormt een centraal onderdeel van de projectvoorstellen en de beoordeling daarvan door de ambassade. Alle voorstellen dienen een uitgebreid M&amp;E raamwerk te hebben (met concrete </w:t>
            </w:r>
            <w:proofErr w:type="spellStart"/>
            <w:r>
              <w:rPr>
                <w:sz w:val="18"/>
                <w:szCs w:val="18"/>
              </w:rPr>
              <w:t>outcomes</w:t>
            </w:r>
            <w:proofErr w:type="spellEnd"/>
            <w:r>
              <w:rPr>
                <w:sz w:val="18"/>
                <w:szCs w:val="18"/>
              </w:rPr>
              <w:t xml:space="preserve"> en </w:t>
            </w:r>
            <w:proofErr w:type="spellStart"/>
            <w:r>
              <w:rPr>
                <w:sz w:val="18"/>
                <w:szCs w:val="18"/>
              </w:rPr>
              <w:t>outputs</w:t>
            </w:r>
            <w:proofErr w:type="spellEnd"/>
            <w:r>
              <w:rPr>
                <w:sz w:val="18"/>
                <w:szCs w:val="18"/>
              </w:rPr>
              <w:t xml:space="preserve">) om te kunnen worden goedgekeurd. Gedurende de implementatie van het project wordt hier volgens vaste kaders </w:t>
            </w:r>
            <w:r>
              <w:rPr>
                <w:sz w:val="18"/>
                <w:szCs w:val="18"/>
              </w:rPr>
              <w:lastRenderedPageBreak/>
              <w:t>over gerapporteerd aan de ambassade. Betalingen kunnen tevens afhankelijk zijn van deze rapportages.</w:t>
            </w:r>
          </w:p>
          <w:p w:rsidRPr="0060043E" w:rsidR="008F363F" w:rsidP="000901FC" w:rsidRDefault="008F363F" w14:paraId="36BD67E9" w14:textId="77777777">
            <w:pPr>
              <w:autoSpaceDE w:val="0"/>
              <w:autoSpaceDN w:val="0"/>
              <w:spacing w:before="52" w:line="252" w:lineRule="auto"/>
              <w:ind w:left="89"/>
              <w:rPr>
                <w:sz w:val="18"/>
                <w:szCs w:val="18"/>
              </w:rPr>
            </w:pPr>
          </w:p>
          <w:p w:rsidRPr="0060043E" w:rsidR="000901FC" w:rsidP="000901FC" w:rsidRDefault="000901FC" w14:paraId="63AE5B59" w14:textId="2AD07C0B">
            <w:pPr>
              <w:rPr>
                <w:sz w:val="18"/>
                <w:szCs w:val="18"/>
              </w:rPr>
            </w:pPr>
          </w:p>
        </w:tc>
      </w:tr>
      <w:tr w:rsidRPr="0060043E" w:rsidR="00B03318" w:rsidTr="00B03318" w14:paraId="33E7DC19" w14:textId="77777777">
        <w:trPr>
          <w:trHeight w:val="354"/>
        </w:trPr>
        <w:tc>
          <w:tcPr>
            <w:tcW w:w="1159" w:type="pct"/>
            <w:tcBorders>
              <w:top w:val="single" w:color="017BC7" w:sz="8" w:space="0"/>
              <w:left w:val="nil"/>
              <w:bottom w:val="single" w:color="017BC7" w:sz="8" w:space="0"/>
              <w:right w:val="nil"/>
            </w:tcBorders>
            <w:shd w:val="clear" w:color="auto" w:fill="D6EFF9"/>
          </w:tcPr>
          <w:p w:rsidRPr="00B03318" w:rsidR="00B03318" w:rsidP="00B03318" w:rsidRDefault="009F2881" w14:paraId="19B9C6BF" w14:textId="7E90A3B6">
            <w:pPr>
              <w:pStyle w:val="TableParagraph"/>
              <w:spacing w:before="52" w:line="252" w:lineRule="auto"/>
              <w:ind w:left="89"/>
              <w:rPr>
                <w:b/>
                <w:bCs/>
                <w:sz w:val="18"/>
                <w:szCs w:val="18"/>
              </w:rPr>
            </w:pPr>
            <w:r>
              <w:rPr>
                <w:b/>
                <w:bCs/>
                <w:sz w:val="18"/>
                <w:szCs w:val="18"/>
              </w:rPr>
              <w:lastRenderedPageBreak/>
              <w:t>9</w:t>
            </w:r>
            <w:r w:rsidR="00B03318">
              <w:rPr>
                <w:b/>
                <w:bCs/>
                <w:sz w:val="18"/>
                <w:szCs w:val="18"/>
              </w:rPr>
              <w:t xml:space="preserve">. Risicoparagraaf </w:t>
            </w:r>
          </w:p>
        </w:tc>
        <w:tc>
          <w:tcPr>
            <w:tcW w:w="3841" w:type="pct"/>
            <w:tcBorders>
              <w:top w:val="single" w:color="017BC7" w:sz="8" w:space="0"/>
              <w:left w:val="nil"/>
              <w:bottom w:val="single" w:color="017BC7" w:sz="8" w:space="0"/>
              <w:right w:val="nil"/>
            </w:tcBorders>
          </w:tcPr>
          <w:p w:rsidR="00B03318" w:rsidP="00B03318" w:rsidRDefault="00B03318" w14:paraId="395E5039" w14:textId="77777777">
            <w:pPr>
              <w:autoSpaceDE w:val="0"/>
              <w:autoSpaceDN w:val="0"/>
              <w:spacing w:before="52" w:line="252" w:lineRule="auto"/>
              <w:ind w:left="89"/>
              <w:rPr>
                <w:sz w:val="18"/>
                <w:szCs w:val="18"/>
              </w:rPr>
            </w:pPr>
            <w:r>
              <w:rPr>
                <w:sz w:val="18"/>
                <w:szCs w:val="18"/>
              </w:rPr>
              <w:t xml:space="preserve">Hoe worden anti-fraude en anti-corruptie risico’s gemitigeerd? </w:t>
            </w:r>
          </w:p>
          <w:p w:rsidRPr="003F4DEA" w:rsidR="008F363F" w:rsidP="00B03318" w:rsidRDefault="00A62C67" w14:paraId="7A4D5529" w14:textId="7C5590CA">
            <w:pPr>
              <w:autoSpaceDE w:val="0"/>
              <w:autoSpaceDN w:val="0"/>
              <w:spacing w:before="52" w:line="252" w:lineRule="auto"/>
              <w:ind w:left="89"/>
              <w:rPr>
                <w:sz w:val="18"/>
                <w:szCs w:val="18"/>
              </w:rPr>
            </w:pPr>
            <w:r w:rsidRPr="00A62C67">
              <w:rPr>
                <w:sz w:val="18"/>
                <w:szCs w:val="18"/>
              </w:rPr>
              <w:t>De mitigatie van fraude e</w:t>
            </w:r>
            <w:r w:rsidRPr="003F4DEA">
              <w:rPr>
                <w:sz w:val="18"/>
                <w:szCs w:val="18"/>
              </w:rPr>
              <w:t>n corruptierisico’s vormt een centra</w:t>
            </w:r>
            <w:r w:rsidR="00702DF0">
              <w:rPr>
                <w:sz w:val="18"/>
                <w:szCs w:val="18"/>
              </w:rPr>
              <w:t>a</w:t>
            </w:r>
            <w:r w:rsidRPr="003F4DEA">
              <w:rPr>
                <w:sz w:val="18"/>
                <w:szCs w:val="18"/>
              </w:rPr>
              <w:t>l onderdeel van de project</w:t>
            </w:r>
            <w:r>
              <w:rPr>
                <w:sz w:val="18"/>
                <w:szCs w:val="18"/>
              </w:rPr>
              <w:t xml:space="preserve">voorstellen en de beoordeling daarvan door de ambassade. Alle voorstellend dienen hier een uitgebreide toelichting op te bevatten om te kunnen worden goedgekeurd. De ambassade werkt met </w:t>
            </w:r>
            <w:r w:rsidR="00D906E5">
              <w:rPr>
                <w:sz w:val="18"/>
                <w:szCs w:val="18"/>
              </w:rPr>
              <w:t xml:space="preserve">maatschappelijke </w:t>
            </w:r>
            <w:r>
              <w:rPr>
                <w:sz w:val="18"/>
                <w:szCs w:val="18"/>
              </w:rPr>
              <w:t>organisaties die ruime ervaring hebben en goed bekend staan</w:t>
            </w:r>
            <w:r w:rsidR="00D906E5">
              <w:rPr>
                <w:sz w:val="18"/>
                <w:szCs w:val="18"/>
              </w:rPr>
              <w:t>. De organisaties ondergaan</w:t>
            </w:r>
            <w:r>
              <w:rPr>
                <w:sz w:val="18"/>
                <w:szCs w:val="18"/>
              </w:rPr>
              <w:t xml:space="preserve"> bovendien regelmatig audits en financiële evaluaties ondergaan.</w:t>
            </w:r>
          </w:p>
          <w:p w:rsidRPr="00817B1E" w:rsidR="000D5B47" w:rsidP="00817B1E" w:rsidRDefault="000D5B47" w14:paraId="070A5EEA" w14:textId="46C2A97F">
            <w:pPr>
              <w:autoSpaceDE w:val="0"/>
              <w:autoSpaceDN w:val="0"/>
              <w:spacing w:before="52" w:line="252" w:lineRule="auto"/>
              <w:rPr>
                <w:b/>
                <w:szCs w:val="18"/>
              </w:rPr>
            </w:pPr>
          </w:p>
        </w:tc>
      </w:tr>
      <w:tr w:rsidRPr="0060043E" w:rsidR="00B03318" w:rsidTr="00B03318" w14:paraId="41764A63" w14:textId="77777777">
        <w:trPr>
          <w:trHeight w:val="354"/>
        </w:trPr>
        <w:tc>
          <w:tcPr>
            <w:tcW w:w="1159" w:type="pct"/>
            <w:tcBorders>
              <w:top w:val="single" w:color="017BC7" w:sz="8" w:space="0"/>
              <w:left w:val="nil"/>
              <w:bottom w:val="single" w:color="017BC7" w:sz="8" w:space="0"/>
              <w:right w:val="nil"/>
            </w:tcBorders>
            <w:shd w:val="clear" w:color="auto" w:fill="D6EFF9"/>
          </w:tcPr>
          <w:p w:rsidRPr="00B03318" w:rsidR="00B03318" w:rsidP="009F2881" w:rsidRDefault="009F2881" w14:paraId="042D833B" w14:textId="60C75143">
            <w:pPr>
              <w:pStyle w:val="TableParagraph"/>
              <w:spacing w:before="52" w:line="252" w:lineRule="auto"/>
              <w:ind w:left="89"/>
              <w:rPr>
                <w:b/>
                <w:bCs/>
                <w:sz w:val="18"/>
                <w:szCs w:val="18"/>
              </w:rPr>
            </w:pPr>
            <w:r>
              <w:rPr>
                <w:b/>
                <w:bCs/>
                <w:sz w:val="18"/>
                <w:szCs w:val="18"/>
              </w:rPr>
              <w:t>10</w:t>
            </w:r>
            <w:r w:rsidR="00B03318">
              <w:rPr>
                <w:b/>
                <w:bCs/>
                <w:sz w:val="18"/>
                <w:szCs w:val="18"/>
              </w:rPr>
              <w:t>. Publiekscommunicatie</w:t>
            </w:r>
          </w:p>
        </w:tc>
        <w:tc>
          <w:tcPr>
            <w:tcW w:w="3841" w:type="pct"/>
            <w:tcBorders>
              <w:top w:val="single" w:color="017BC7" w:sz="8" w:space="0"/>
              <w:left w:val="nil"/>
              <w:bottom w:val="single" w:color="017BC7" w:sz="8" w:space="0"/>
              <w:right w:val="nil"/>
            </w:tcBorders>
          </w:tcPr>
          <w:p w:rsidR="00B03318" w:rsidP="00B03318" w:rsidRDefault="00B03318" w14:paraId="2EDB40E6" w14:textId="5895C9C9">
            <w:pPr>
              <w:autoSpaceDE w:val="0"/>
              <w:autoSpaceDN w:val="0"/>
              <w:spacing w:before="52" w:line="252" w:lineRule="auto"/>
              <w:ind w:left="89"/>
              <w:rPr>
                <w:sz w:val="18"/>
                <w:szCs w:val="18"/>
              </w:rPr>
            </w:pPr>
            <w:r>
              <w:rPr>
                <w:sz w:val="18"/>
                <w:szCs w:val="18"/>
              </w:rPr>
              <w:t xml:space="preserve">Hoe kan </w:t>
            </w:r>
            <w:r w:rsidR="00FD3A49">
              <w:rPr>
                <w:sz w:val="18"/>
                <w:szCs w:val="18"/>
              </w:rPr>
              <w:t>het voorstel</w:t>
            </w:r>
            <w:r>
              <w:rPr>
                <w:sz w:val="18"/>
                <w:szCs w:val="18"/>
              </w:rPr>
              <w:t xml:space="preserve"> gebruikt worden in de bredere publiekscommunicatie rondom de steun aan Oekraïne zowel in Nederland, Oekraïne </w:t>
            </w:r>
            <w:r w:rsidR="00F13947">
              <w:rPr>
                <w:sz w:val="18"/>
                <w:szCs w:val="18"/>
              </w:rPr>
              <w:t>en</w:t>
            </w:r>
            <w:r>
              <w:rPr>
                <w:sz w:val="18"/>
                <w:szCs w:val="18"/>
              </w:rPr>
              <w:t xml:space="preserve"> internationaal? </w:t>
            </w:r>
          </w:p>
          <w:p w:rsidR="00C97394" w:rsidP="00C97394" w:rsidRDefault="00C97394" w14:paraId="0C8C13A4" w14:textId="77777777">
            <w:pPr>
              <w:autoSpaceDE w:val="0"/>
              <w:autoSpaceDN w:val="0"/>
              <w:spacing w:before="52" w:line="252" w:lineRule="auto"/>
              <w:rPr>
                <w:sz w:val="18"/>
                <w:szCs w:val="18"/>
              </w:rPr>
            </w:pPr>
          </w:p>
          <w:p w:rsidRPr="003F4DEA" w:rsidR="00C97394" w:rsidP="00C97394" w:rsidRDefault="004C20A8" w14:paraId="61101804" w14:textId="1D3144E5">
            <w:pPr>
              <w:autoSpaceDE w:val="0"/>
              <w:autoSpaceDN w:val="0"/>
              <w:spacing w:before="52" w:line="252" w:lineRule="auto"/>
              <w:rPr>
                <w:i/>
                <w:sz w:val="18"/>
                <w:szCs w:val="18"/>
              </w:rPr>
            </w:pPr>
            <w:r>
              <w:rPr>
                <w:sz w:val="18"/>
                <w:szCs w:val="18"/>
              </w:rPr>
              <w:t xml:space="preserve">De democratische hervormingen waar Oekraïne aan werkt vormen een centraal onderdeel – en vaak ook een voorwaarde – van de Nederlandse (en Europese) steun aan Oekraïne. </w:t>
            </w:r>
            <w:r w:rsidR="002F175F">
              <w:rPr>
                <w:sz w:val="18"/>
                <w:szCs w:val="18"/>
              </w:rPr>
              <w:t>Gerichte Nederlandse steun aan het maatschappelijk middenveld hierbij zal helpen om verdere voortgang op dit terrein uit te lichten en past tevens in het kader van de steun die Nederland geeft als onderdeel van de jaarlijkse “Lviv-</w:t>
            </w:r>
            <w:r w:rsidR="00125332">
              <w:rPr>
                <w:sz w:val="18"/>
                <w:szCs w:val="18"/>
              </w:rPr>
              <w:t>conferentie</w:t>
            </w:r>
            <w:r w:rsidR="002F175F">
              <w:rPr>
                <w:sz w:val="18"/>
                <w:szCs w:val="18"/>
              </w:rPr>
              <w:t>”. Bovendien laat Nederland met extra steun aan het maatschappelijk middenveld zien dat het internationaal verantwoordelijk neemt om te helpen de gaten op dit terrein te dichten.</w:t>
            </w:r>
            <w:r w:rsidR="002441F3">
              <w:rPr>
                <w:sz w:val="18"/>
                <w:szCs w:val="18"/>
              </w:rPr>
              <w:t xml:space="preserve"> Richting </w:t>
            </w:r>
            <w:r w:rsidR="003F4DEA">
              <w:rPr>
                <w:sz w:val="18"/>
                <w:szCs w:val="18"/>
              </w:rPr>
              <w:t>Oekraïners</w:t>
            </w:r>
            <w:r w:rsidR="002441F3">
              <w:rPr>
                <w:sz w:val="18"/>
                <w:szCs w:val="18"/>
              </w:rPr>
              <w:t xml:space="preserve"> vormt deze steun een belangrijke aanmoediging van de overweldigende wens van de bevolking (ruim 90% volgens recente peilingen) om bij de EU te horen en hiervoor verdere hervormingen door te voeren</w:t>
            </w:r>
            <w:r w:rsidR="004C74DC">
              <w:rPr>
                <w:sz w:val="18"/>
                <w:szCs w:val="18"/>
              </w:rPr>
              <w:t>.</w:t>
            </w:r>
          </w:p>
        </w:tc>
      </w:tr>
    </w:tbl>
    <w:p w:rsidR="00DB18F5" w:rsidP="00191822" w:rsidRDefault="00DB18F5" w14:paraId="75DF85A4" w14:textId="77777777"/>
    <w:p w:rsidR="00DB18F5" w:rsidP="00191822" w:rsidRDefault="00DB18F5" w14:paraId="595372D1" w14:textId="77777777"/>
    <w:p w:rsidR="00DB18F5" w:rsidP="00191822" w:rsidRDefault="00DB18F5" w14:paraId="56BBD58D" w14:textId="77777777"/>
    <w:p w:rsidRPr="00B902C5" w:rsidR="003131DD" w:rsidP="000901FC" w:rsidRDefault="003131DD" w14:paraId="5BF869B3" w14:textId="77777777">
      <w:pPr>
        <w:spacing w:after="160" w:line="259" w:lineRule="auto"/>
        <w:rPr>
          <w:rFonts w:ascii="Verdana" w:hAnsi="Verdana"/>
          <w:sz w:val="18"/>
          <w:szCs w:val="18"/>
        </w:rPr>
      </w:pPr>
    </w:p>
    <w:sectPr w:rsidRPr="00B902C5" w:rsidR="003131DD" w:rsidSect="00186F47">
      <w:headerReference w:type="default" r:id="rId12"/>
      <w:footerReference w:type="default" r:id="rId13"/>
      <w:pgSz w:w="11906" w:h="16838" w:code="9"/>
      <w:pgMar w:top="1440" w:right="1440" w:bottom="1440" w:left="1440" w:header="709" w:footer="709" w:gutter="0"/>
      <w:pgNumType w:fmt="lowerRoman"/>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E9CA3" w14:textId="77777777" w:rsidR="00A365D5" w:rsidRDefault="00A365D5" w:rsidP="00AD0168">
      <w:r>
        <w:separator/>
      </w:r>
    </w:p>
  </w:endnote>
  <w:endnote w:type="continuationSeparator" w:id="0">
    <w:p w14:paraId="32EDB570" w14:textId="77777777" w:rsidR="00A365D5" w:rsidRDefault="00A365D5" w:rsidP="00AD0168">
      <w:r>
        <w:continuationSeparator/>
      </w:r>
    </w:p>
  </w:endnote>
  <w:endnote w:type="continuationNotice" w:id="1">
    <w:p w14:paraId="5E1E8747" w14:textId="77777777" w:rsidR="00A365D5" w:rsidRDefault="00A365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034080"/>
      <w:docPartObj>
        <w:docPartGallery w:val="Page Numbers (Bottom of Page)"/>
        <w:docPartUnique/>
      </w:docPartObj>
    </w:sdtPr>
    <w:sdtContent>
      <w:p w14:paraId="357EFF62" w14:textId="58501F88" w:rsidR="00F01E85" w:rsidRDefault="00F01E85">
        <w:pPr>
          <w:pStyle w:val="Footer"/>
          <w:jc w:val="right"/>
        </w:pPr>
        <w:r>
          <w:fldChar w:fldCharType="begin"/>
        </w:r>
        <w:r>
          <w:instrText>PAGE   \* MERGEFORMAT</w:instrText>
        </w:r>
        <w:r>
          <w:fldChar w:fldCharType="separate"/>
        </w:r>
        <w:r w:rsidR="00801F23">
          <w:rPr>
            <w:noProof/>
          </w:rPr>
          <w:t>viii</w:t>
        </w:r>
        <w:r>
          <w:fldChar w:fldCharType="end"/>
        </w:r>
      </w:p>
    </w:sdtContent>
  </w:sdt>
  <w:p w14:paraId="2A6E5307" w14:textId="77777777" w:rsidR="00F01E85" w:rsidRDefault="00F01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96767" w14:textId="77777777" w:rsidR="00A365D5" w:rsidRDefault="00A365D5" w:rsidP="00AD0168">
      <w:r>
        <w:separator/>
      </w:r>
    </w:p>
  </w:footnote>
  <w:footnote w:type="continuationSeparator" w:id="0">
    <w:p w14:paraId="451E7900" w14:textId="77777777" w:rsidR="00A365D5" w:rsidRDefault="00A365D5" w:rsidP="00AD0168">
      <w:r>
        <w:continuationSeparator/>
      </w:r>
    </w:p>
  </w:footnote>
  <w:footnote w:type="continuationNotice" w:id="1">
    <w:p w14:paraId="64E7E1E7" w14:textId="77777777" w:rsidR="00A365D5" w:rsidRDefault="00A365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610872"/>
      <w:docPartObj>
        <w:docPartGallery w:val="Page Numbers (Top of Page)"/>
        <w:docPartUnique/>
      </w:docPartObj>
    </w:sdtPr>
    <w:sdtContent>
      <w:p w14:paraId="2153F2FE" w14:textId="461CB720" w:rsidR="00F01E85" w:rsidRDefault="00F01E85">
        <w:pPr>
          <w:pStyle w:val="Header"/>
          <w:jc w:val="right"/>
        </w:pPr>
        <w:r>
          <w:fldChar w:fldCharType="begin"/>
        </w:r>
        <w:r>
          <w:instrText>PAGE   \* MERGEFORMAT</w:instrText>
        </w:r>
        <w:r>
          <w:fldChar w:fldCharType="separate"/>
        </w:r>
        <w:r w:rsidR="00801F23">
          <w:rPr>
            <w:noProof/>
          </w:rPr>
          <w:t>viii</w:t>
        </w:r>
        <w:r>
          <w:fldChar w:fldCharType="end"/>
        </w:r>
      </w:p>
    </w:sdtContent>
  </w:sdt>
  <w:p w14:paraId="1DE1C92A" w14:textId="77777777" w:rsidR="00F01E85" w:rsidRDefault="00F01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6C67"/>
    <w:multiLevelType w:val="hybridMultilevel"/>
    <w:tmpl w:val="075CC3F6"/>
    <w:lvl w:ilvl="0" w:tplc="04130001">
      <w:start w:val="1"/>
      <w:numFmt w:val="bullet"/>
      <w:lvlText w:val=""/>
      <w:lvlJc w:val="left"/>
      <w:pPr>
        <w:ind w:left="833" w:hanging="360"/>
      </w:pPr>
      <w:rPr>
        <w:rFonts w:ascii="Symbol" w:hAnsi="Symbol" w:hint="default"/>
      </w:rPr>
    </w:lvl>
    <w:lvl w:ilvl="1" w:tplc="04130003" w:tentative="1">
      <w:start w:val="1"/>
      <w:numFmt w:val="bullet"/>
      <w:lvlText w:val="o"/>
      <w:lvlJc w:val="left"/>
      <w:pPr>
        <w:ind w:left="1553" w:hanging="360"/>
      </w:pPr>
      <w:rPr>
        <w:rFonts w:ascii="Courier New" w:hAnsi="Courier New" w:cs="Courier New" w:hint="default"/>
      </w:rPr>
    </w:lvl>
    <w:lvl w:ilvl="2" w:tplc="04130005" w:tentative="1">
      <w:start w:val="1"/>
      <w:numFmt w:val="bullet"/>
      <w:lvlText w:val=""/>
      <w:lvlJc w:val="left"/>
      <w:pPr>
        <w:ind w:left="2273" w:hanging="360"/>
      </w:pPr>
      <w:rPr>
        <w:rFonts w:ascii="Wingdings" w:hAnsi="Wingdings" w:hint="default"/>
      </w:rPr>
    </w:lvl>
    <w:lvl w:ilvl="3" w:tplc="04130001" w:tentative="1">
      <w:start w:val="1"/>
      <w:numFmt w:val="bullet"/>
      <w:lvlText w:val=""/>
      <w:lvlJc w:val="left"/>
      <w:pPr>
        <w:ind w:left="2993" w:hanging="360"/>
      </w:pPr>
      <w:rPr>
        <w:rFonts w:ascii="Symbol" w:hAnsi="Symbol" w:hint="default"/>
      </w:rPr>
    </w:lvl>
    <w:lvl w:ilvl="4" w:tplc="04130003" w:tentative="1">
      <w:start w:val="1"/>
      <w:numFmt w:val="bullet"/>
      <w:lvlText w:val="o"/>
      <w:lvlJc w:val="left"/>
      <w:pPr>
        <w:ind w:left="3713" w:hanging="360"/>
      </w:pPr>
      <w:rPr>
        <w:rFonts w:ascii="Courier New" w:hAnsi="Courier New" w:cs="Courier New" w:hint="default"/>
      </w:rPr>
    </w:lvl>
    <w:lvl w:ilvl="5" w:tplc="04130005" w:tentative="1">
      <w:start w:val="1"/>
      <w:numFmt w:val="bullet"/>
      <w:lvlText w:val=""/>
      <w:lvlJc w:val="left"/>
      <w:pPr>
        <w:ind w:left="4433" w:hanging="360"/>
      </w:pPr>
      <w:rPr>
        <w:rFonts w:ascii="Wingdings" w:hAnsi="Wingdings" w:hint="default"/>
      </w:rPr>
    </w:lvl>
    <w:lvl w:ilvl="6" w:tplc="04130001" w:tentative="1">
      <w:start w:val="1"/>
      <w:numFmt w:val="bullet"/>
      <w:lvlText w:val=""/>
      <w:lvlJc w:val="left"/>
      <w:pPr>
        <w:ind w:left="5153" w:hanging="360"/>
      </w:pPr>
      <w:rPr>
        <w:rFonts w:ascii="Symbol" w:hAnsi="Symbol" w:hint="default"/>
      </w:rPr>
    </w:lvl>
    <w:lvl w:ilvl="7" w:tplc="04130003" w:tentative="1">
      <w:start w:val="1"/>
      <w:numFmt w:val="bullet"/>
      <w:lvlText w:val="o"/>
      <w:lvlJc w:val="left"/>
      <w:pPr>
        <w:ind w:left="5873" w:hanging="360"/>
      </w:pPr>
      <w:rPr>
        <w:rFonts w:ascii="Courier New" w:hAnsi="Courier New" w:cs="Courier New" w:hint="default"/>
      </w:rPr>
    </w:lvl>
    <w:lvl w:ilvl="8" w:tplc="04130005" w:tentative="1">
      <w:start w:val="1"/>
      <w:numFmt w:val="bullet"/>
      <w:lvlText w:val=""/>
      <w:lvlJc w:val="left"/>
      <w:pPr>
        <w:ind w:left="6593" w:hanging="360"/>
      </w:pPr>
      <w:rPr>
        <w:rFonts w:ascii="Wingdings" w:hAnsi="Wingdings" w:hint="default"/>
      </w:rPr>
    </w:lvl>
  </w:abstractNum>
  <w:abstractNum w:abstractNumId="1" w15:restartNumberingAfterBreak="0">
    <w:nsid w:val="10EC61D9"/>
    <w:multiLevelType w:val="hybridMultilevel"/>
    <w:tmpl w:val="2BF0EDF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17845036"/>
    <w:multiLevelType w:val="hybridMultilevel"/>
    <w:tmpl w:val="ABF20DE2"/>
    <w:lvl w:ilvl="0" w:tplc="0413000B">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9DC5363"/>
    <w:multiLevelType w:val="hybridMultilevel"/>
    <w:tmpl w:val="AE1AC996"/>
    <w:lvl w:ilvl="0" w:tplc="34400566">
      <w:numFmt w:val="bullet"/>
      <w:lvlText w:val="•"/>
      <w:lvlJc w:val="left"/>
      <w:pPr>
        <w:ind w:left="226" w:hanging="114"/>
      </w:pPr>
      <w:rPr>
        <w:rFonts w:ascii="Calibri" w:eastAsia="Calibri" w:hAnsi="Calibri" w:cs="Calibri" w:hint="default"/>
        <w:w w:val="57"/>
        <w:sz w:val="16"/>
        <w:szCs w:val="16"/>
        <w:lang w:val="nl-NL" w:eastAsia="en-US" w:bidi="ar-SA"/>
      </w:rPr>
    </w:lvl>
    <w:lvl w:ilvl="1" w:tplc="8A8A5628">
      <w:numFmt w:val="bullet"/>
      <w:lvlText w:val="•"/>
      <w:lvlJc w:val="left"/>
      <w:pPr>
        <w:ind w:left="1092" w:hanging="114"/>
      </w:pPr>
      <w:rPr>
        <w:lang w:val="nl-NL" w:eastAsia="en-US" w:bidi="ar-SA"/>
      </w:rPr>
    </w:lvl>
    <w:lvl w:ilvl="2" w:tplc="C53E9124">
      <w:numFmt w:val="bullet"/>
      <w:lvlText w:val="•"/>
      <w:lvlJc w:val="left"/>
      <w:pPr>
        <w:ind w:left="1965" w:hanging="114"/>
      </w:pPr>
      <w:rPr>
        <w:lang w:val="nl-NL" w:eastAsia="en-US" w:bidi="ar-SA"/>
      </w:rPr>
    </w:lvl>
    <w:lvl w:ilvl="3" w:tplc="9A40F4BE">
      <w:numFmt w:val="bullet"/>
      <w:lvlText w:val="•"/>
      <w:lvlJc w:val="left"/>
      <w:pPr>
        <w:ind w:left="2838" w:hanging="114"/>
      </w:pPr>
      <w:rPr>
        <w:lang w:val="nl-NL" w:eastAsia="en-US" w:bidi="ar-SA"/>
      </w:rPr>
    </w:lvl>
    <w:lvl w:ilvl="4" w:tplc="CC6825D6">
      <w:numFmt w:val="bullet"/>
      <w:lvlText w:val="•"/>
      <w:lvlJc w:val="left"/>
      <w:pPr>
        <w:ind w:left="3711" w:hanging="114"/>
      </w:pPr>
      <w:rPr>
        <w:lang w:val="nl-NL" w:eastAsia="en-US" w:bidi="ar-SA"/>
      </w:rPr>
    </w:lvl>
    <w:lvl w:ilvl="5" w:tplc="D5162320">
      <w:numFmt w:val="bullet"/>
      <w:lvlText w:val="•"/>
      <w:lvlJc w:val="left"/>
      <w:pPr>
        <w:ind w:left="4584" w:hanging="114"/>
      </w:pPr>
      <w:rPr>
        <w:lang w:val="nl-NL" w:eastAsia="en-US" w:bidi="ar-SA"/>
      </w:rPr>
    </w:lvl>
    <w:lvl w:ilvl="6" w:tplc="D19AAD9E">
      <w:numFmt w:val="bullet"/>
      <w:lvlText w:val="•"/>
      <w:lvlJc w:val="left"/>
      <w:pPr>
        <w:ind w:left="5457" w:hanging="114"/>
      </w:pPr>
      <w:rPr>
        <w:lang w:val="nl-NL" w:eastAsia="en-US" w:bidi="ar-SA"/>
      </w:rPr>
    </w:lvl>
    <w:lvl w:ilvl="7" w:tplc="F6246372">
      <w:numFmt w:val="bullet"/>
      <w:lvlText w:val="•"/>
      <w:lvlJc w:val="left"/>
      <w:pPr>
        <w:ind w:left="6330" w:hanging="114"/>
      </w:pPr>
      <w:rPr>
        <w:lang w:val="nl-NL" w:eastAsia="en-US" w:bidi="ar-SA"/>
      </w:rPr>
    </w:lvl>
    <w:lvl w:ilvl="8" w:tplc="8BB0734E">
      <w:numFmt w:val="bullet"/>
      <w:lvlText w:val="•"/>
      <w:lvlJc w:val="left"/>
      <w:pPr>
        <w:ind w:left="7203" w:hanging="114"/>
      </w:pPr>
      <w:rPr>
        <w:lang w:val="nl-NL" w:eastAsia="en-US" w:bidi="ar-SA"/>
      </w:rPr>
    </w:lvl>
  </w:abstractNum>
  <w:abstractNum w:abstractNumId="4" w15:restartNumberingAfterBreak="0">
    <w:nsid w:val="1F59568A"/>
    <w:multiLevelType w:val="hybridMultilevel"/>
    <w:tmpl w:val="5ECC53C8"/>
    <w:lvl w:ilvl="0" w:tplc="6ACED790">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6B3E1D"/>
    <w:multiLevelType w:val="hybridMultilevel"/>
    <w:tmpl w:val="503C7640"/>
    <w:lvl w:ilvl="0" w:tplc="04130001">
      <w:start w:val="1"/>
      <w:numFmt w:val="bullet"/>
      <w:lvlText w:val=""/>
      <w:lvlJc w:val="left"/>
      <w:pPr>
        <w:ind w:left="472" w:hanging="360"/>
      </w:pPr>
      <w:rPr>
        <w:rFonts w:ascii="Symbol" w:hAnsi="Symbol" w:hint="default"/>
      </w:rPr>
    </w:lvl>
    <w:lvl w:ilvl="1" w:tplc="04130003" w:tentative="1">
      <w:start w:val="1"/>
      <w:numFmt w:val="bullet"/>
      <w:lvlText w:val="o"/>
      <w:lvlJc w:val="left"/>
      <w:pPr>
        <w:ind w:left="1192" w:hanging="360"/>
      </w:pPr>
      <w:rPr>
        <w:rFonts w:ascii="Courier New" w:hAnsi="Courier New" w:cs="Courier New" w:hint="default"/>
      </w:rPr>
    </w:lvl>
    <w:lvl w:ilvl="2" w:tplc="04130005" w:tentative="1">
      <w:start w:val="1"/>
      <w:numFmt w:val="bullet"/>
      <w:lvlText w:val=""/>
      <w:lvlJc w:val="left"/>
      <w:pPr>
        <w:ind w:left="1912" w:hanging="360"/>
      </w:pPr>
      <w:rPr>
        <w:rFonts w:ascii="Wingdings" w:hAnsi="Wingdings" w:hint="default"/>
      </w:rPr>
    </w:lvl>
    <w:lvl w:ilvl="3" w:tplc="04130001" w:tentative="1">
      <w:start w:val="1"/>
      <w:numFmt w:val="bullet"/>
      <w:lvlText w:val=""/>
      <w:lvlJc w:val="left"/>
      <w:pPr>
        <w:ind w:left="2632" w:hanging="360"/>
      </w:pPr>
      <w:rPr>
        <w:rFonts w:ascii="Symbol" w:hAnsi="Symbol" w:hint="default"/>
      </w:rPr>
    </w:lvl>
    <w:lvl w:ilvl="4" w:tplc="04130003" w:tentative="1">
      <w:start w:val="1"/>
      <w:numFmt w:val="bullet"/>
      <w:lvlText w:val="o"/>
      <w:lvlJc w:val="left"/>
      <w:pPr>
        <w:ind w:left="3352" w:hanging="360"/>
      </w:pPr>
      <w:rPr>
        <w:rFonts w:ascii="Courier New" w:hAnsi="Courier New" w:cs="Courier New" w:hint="default"/>
      </w:rPr>
    </w:lvl>
    <w:lvl w:ilvl="5" w:tplc="04130005" w:tentative="1">
      <w:start w:val="1"/>
      <w:numFmt w:val="bullet"/>
      <w:lvlText w:val=""/>
      <w:lvlJc w:val="left"/>
      <w:pPr>
        <w:ind w:left="4072" w:hanging="360"/>
      </w:pPr>
      <w:rPr>
        <w:rFonts w:ascii="Wingdings" w:hAnsi="Wingdings" w:hint="default"/>
      </w:rPr>
    </w:lvl>
    <w:lvl w:ilvl="6" w:tplc="04130001" w:tentative="1">
      <w:start w:val="1"/>
      <w:numFmt w:val="bullet"/>
      <w:lvlText w:val=""/>
      <w:lvlJc w:val="left"/>
      <w:pPr>
        <w:ind w:left="4792" w:hanging="360"/>
      </w:pPr>
      <w:rPr>
        <w:rFonts w:ascii="Symbol" w:hAnsi="Symbol" w:hint="default"/>
      </w:rPr>
    </w:lvl>
    <w:lvl w:ilvl="7" w:tplc="04130003" w:tentative="1">
      <w:start w:val="1"/>
      <w:numFmt w:val="bullet"/>
      <w:lvlText w:val="o"/>
      <w:lvlJc w:val="left"/>
      <w:pPr>
        <w:ind w:left="5512" w:hanging="360"/>
      </w:pPr>
      <w:rPr>
        <w:rFonts w:ascii="Courier New" w:hAnsi="Courier New" w:cs="Courier New" w:hint="default"/>
      </w:rPr>
    </w:lvl>
    <w:lvl w:ilvl="8" w:tplc="04130005" w:tentative="1">
      <w:start w:val="1"/>
      <w:numFmt w:val="bullet"/>
      <w:lvlText w:val=""/>
      <w:lvlJc w:val="left"/>
      <w:pPr>
        <w:ind w:left="6232" w:hanging="360"/>
      </w:pPr>
      <w:rPr>
        <w:rFonts w:ascii="Wingdings" w:hAnsi="Wingdings" w:hint="default"/>
      </w:rPr>
    </w:lvl>
  </w:abstractNum>
  <w:abstractNum w:abstractNumId="6" w15:restartNumberingAfterBreak="0">
    <w:nsid w:val="24BB579A"/>
    <w:multiLevelType w:val="hybridMultilevel"/>
    <w:tmpl w:val="CEDA0F0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C102D29"/>
    <w:multiLevelType w:val="hybridMultilevel"/>
    <w:tmpl w:val="E33C06F2"/>
    <w:lvl w:ilvl="0" w:tplc="CEE2514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CD51E08"/>
    <w:multiLevelType w:val="hybridMultilevel"/>
    <w:tmpl w:val="F3FCB9EC"/>
    <w:lvl w:ilvl="0" w:tplc="EED857F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1448B1"/>
    <w:multiLevelType w:val="hybridMultilevel"/>
    <w:tmpl w:val="DCFAEA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A8377F3"/>
    <w:multiLevelType w:val="hybridMultilevel"/>
    <w:tmpl w:val="E164521A"/>
    <w:lvl w:ilvl="0" w:tplc="31D05AE6">
      <w:numFmt w:val="bullet"/>
      <w:lvlText w:val="•"/>
      <w:lvlJc w:val="left"/>
      <w:pPr>
        <w:ind w:left="226" w:hanging="114"/>
      </w:pPr>
      <w:rPr>
        <w:rFonts w:ascii="Calibri" w:eastAsia="Calibri" w:hAnsi="Calibri" w:cs="Calibri" w:hint="default"/>
        <w:w w:val="57"/>
        <w:sz w:val="16"/>
        <w:szCs w:val="16"/>
        <w:lang w:val="nl-NL" w:eastAsia="en-US" w:bidi="ar-SA"/>
      </w:rPr>
    </w:lvl>
    <w:lvl w:ilvl="1" w:tplc="A8A4458E">
      <w:numFmt w:val="bullet"/>
      <w:lvlText w:val="•"/>
      <w:lvlJc w:val="left"/>
      <w:pPr>
        <w:ind w:left="1092" w:hanging="114"/>
      </w:pPr>
      <w:rPr>
        <w:lang w:val="nl-NL" w:eastAsia="en-US" w:bidi="ar-SA"/>
      </w:rPr>
    </w:lvl>
    <w:lvl w:ilvl="2" w:tplc="DC00AB1E">
      <w:numFmt w:val="bullet"/>
      <w:lvlText w:val="•"/>
      <w:lvlJc w:val="left"/>
      <w:pPr>
        <w:ind w:left="1965" w:hanging="114"/>
      </w:pPr>
      <w:rPr>
        <w:lang w:val="nl-NL" w:eastAsia="en-US" w:bidi="ar-SA"/>
      </w:rPr>
    </w:lvl>
    <w:lvl w:ilvl="3" w:tplc="26ECA45C">
      <w:numFmt w:val="bullet"/>
      <w:lvlText w:val="•"/>
      <w:lvlJc w:val="left"/>
      <w:pPr>
        <w:ind w:left="2838" w:hanging="114"/>
      </w:pPr>
      <w:rPr>
        <w:lang w:val="nl-NL" w:eastAsia="en-US" w:bidi="ar-SA"/>
      </w:rPr>
    </w:lvl>
    <w:lvl w:ilvl="4" w:tplc="D8B8A70E">
      <w:numFmt w:val="bullet"/>
      <w:lvlText w:val="•"/>
      <w:lvlJc w:val="left"/>
      <w:pPr>
        <w:ind w:left="3711" w:hanging="114"/>
      </w:pPr>
      <w:rPr>
        <w:lang w:val="nl-NL" w:eastAsia="en-US" w:bidi="ar-SA"/>
      </w:rPr>
    </w:lvl>
    <w:lvl w:ilvl="5" w:tplc="6786172C">
      <w:numFmt w:val="bullet"/>
      <w:lvlText w:val="•"/>
      <w:lvlJc w:val="left"/>
      <w:pPr>
        <w:ind w:left="4584" w:hanging="114"/>
      </w:pPr>
      <w:rPr>
        <w:lang w:val="nl-NL" w:eastAsia="en-US" w:bidi="ar-SA"/>
      </w:rPr>
    </w:lvl>
    <w:lvl w:ilvl="6" w:tplc="321A812E">
      <w:numFmt w:val="bullet"/>
      <w:lvlText w:val="•"/>
      <w:lvlJc w:val="left"/>
      <w:pPr>
        <w:ind w:left="5457" w:hanging="114"/>
      </w:pPr>
      <w:rPr>
        <w:lang w:val="nl-NL" w:eastAsia="en-US" w:bidi="ar-SA"/>
      </w:rPr>
    </w:lvl>
    <w:lvl w:ilvl="7" w:tplc="559EDFC2">
      <w:numFmt w:val="bullet"/>
      <w:lvlText w:val="•"/>
      <w:lvlJc w:val="left"/>
      <w:pPr>
        <w:ind w:left="6330" w:hanging="114"/>
      </w:pPr>
      <w:rPr>
        <w:lang w:val="nl-NL" w:eastAsia="en-US" w:bidi="ar-SA"/>
      </w:rPr>
    </w:lvl>
    <w:lvl w:ilvl="8" w:tplc="BCA4717C">
      <w:numFmt w:val="bullet"/>
      <w:lvlText w:val="•"/>
      <w:lvlJc w:val="left"/>
      <w:pPr>
        <w:ind w:left="7203" w:hanging="114"/>
      </w:pPr>
      <w:rPr>
        <w:lang w:val="nl-NL" w:eastAsia="en-US" w:bidi="ar-SA"/>
      </w:rPr>
    </w:lvl>
  </w:abstractNum>
  <w:abstractNum w:abstractNumId="11" w15:restartNumberingAfterBreak="0">
    <w:nsid w:val="3D54715C"/>
    <w:multiLevelType w:val="hybridMultilevel"/>
    <w:tmpl w:val="342041B2"/>
    <w:lvl w:ilvl="0" w:tplc="6C9C1C90">
      <w:start w:val="8"/>
      <w:numFmt w:val="bullet"/>
      <w:lvlText w:val="-"/>
      <w:lvlJc w:val="left"/>
      <w:pPr>
        <w:ind w:left="473" w:hanging="360"/>
      </w:pPr>
      <w:rPr>
        <w:rFonts w:ascii="Calibri" w:eastAsiaTheme="minorHAnsi" w:hAnsi="Calibri"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12" w15:restartNumberingAfterBreak="0">
    <w:nsid w:val="3FD20B77"/>
    <w:multiLevelType w:val="hybridMultilevel"/>
    <w:tmpl w:val="2940D8B4"/>
    <w:lvl w:ilvl="0" w:tplc="04130001">
      <w:start w:val="1"/>
      <w:numFmt w:val="bullet"/>
      <w:lvlText w:val=""/>
      <w:lvlJc w:val="left"/>
      <w:pPr>
        <w:ind w:left="473" w:hanging="360"/>
      </w:pPr>
      <w:rPr>
        <w:rFonts w:ascii="Symbol" w:hAnsi="Symbol"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13" w15:restartNumberingAfterBreak="0">
    <w:nsid w:val="4B7A56E9"/>
    <w:multiLevelType w:val="hybridMultilevel"/>
    <w:tmpl w:val="F21E0E3C"/>
    <w:lvl w:ilvl="0" w:tplc="04130001">
      <w:start w:val="1"/>
      <w:numFmt w:val="bullet"/>
      <w:lvlText w:val=""/>
      <w:lvlJc w:val="left"/>
      <w:pPr>
        <w:ind w:left="833" w:hanging="360"/>
      </w:pPr>
      <w:rPr>
        <w:rFonts w:ascii="Symbol" w:hAnsi="Symbol" w:hint="default"/>
      </w:rPr>
    </w:lvl>
    <w:lvl w:ilvl="1" w:tplc="04130003" w:tentative="1">
      <w:start w:val="1"/>
      <w:numFmt w:val="bullet"/>
      <w:lvlText w:val="o"/>
      <w:lvlJc w:val="left"/>
      <w:pPr>
        <w:ind w:left="1553" w:hanging="360"/>
      </w:pPr>
      <w:rPr>
        <w:rFonts w:ascii="Courier New" w:hAnsi="Courier New" w:cs="Courier New" w:hint="default"/>
      </w:rPr>
    </w:lvl>
    <w:lvl w:ilvl="2" w:tplc="04130005" w:tentative="1">
      <w:start w:val="1"/>
      <w:numFmt w:val="bullet"/>
      <w:lvlText w:val=""/>
      <w:lvlJc w:val="left"/>
      <w:pPr>
        <w:ind w:left="2273" w:hanging="360"/>
      </w:pPr>
      <w:rPr>
        <w:rFonts w:ascii="Wingdings" w:hAnsi="Wingdings" w:hint="default"/>
      </w:rPr>
    </w:lvl>
    <w:lvl w:ilvl="3" w:tplc="04130001" w:tentative="1">
      <w:start w:val="1"/>
      <w:numFmt w:val="bullet"/>
      <w:lvlText w:val=""/>
      <w:lvlJc w:val="left"/>
      <w:pPr>
        <w:ind w:left="2993" w:hanging="360"/>
      </w:pPr>
      <w:rPr>
        <w:rFonts w:ascii="Symbol" w:hAnsi="Symbol" w:hint="default"/>
      </w:rPr>
    </w:lvl>
    <w:lvl w:ilvl="4" w:tplc="04130003" w:tentative="1">
      <w:start w:val="1"/>
      <w:numFmt w:val="bullet"/>
      <w:lvlText w:val="o"/>
      <w:lvlJc w:val="left"/>
      <w:pPr>
        <w:ind w:left="3713" w:hanging="360"/>
      </w:pPr>
      <w:rPr>
        <w:rFonts w:ascii="Courier New" w:hAnsi="Courier New" w:cs="Courier New" w:hint="default"/>
      </w:rPr>
    </w:lvl>
    <w:lvl w:ilvl="5" w:tplc="04130005" w:tentative="1">
      <w:start w:val="1"/>
      <w:numFmt w:val="bullet"/>
      <w:lvlText w:val=""/>
      <w:lvlJc w:val="left"/>
      <w:pPr>
        <w:ind w:left="4433" w:hanging="360"/>
      </w:pPr>
      <w:rPr>
        <w:rFonts w:ascii="Wingdings" w:hAnsi="Wingdings" w:hint="default"/>
      </w:rPr>
    </w:lvl>
    <w:lvl w:ilvl="6" w:tplc="04130001" w:tentative="1">
      <w:start w:val="1"/>
      <w:numFmt w:val="bullet"/>
      <w:lvlText w:val=""/>
      <w:lvlJc w:val="left"/>
      <w:pPr>
        <w:ind w:left="5153" w:hanging="360"/>
      </w:pPr>
      <w:rPr>
        <w:rFonts w:ascii="Symbol" w:hAnsi="Symbol" w:hint="default"/>
      </w:rPr>
    </w:lvl>
    <w:lvl w:ilvl="7" w:tplc="04130003" w:tentative="1">
      <w:start w:val="1"/>
      <w:numFmt w:val="bullet"/>
      <w:lvlText w:val="o"/>
      <w:lvlJc w:val="left"/>
      <w:pPr>
        <w:ind w:left="5873" w:hanging="360"/>
      </w:pPr>
      <w:rPr>
        <w:rFonts w:ascii="Courier New" w:hAnsi="Courier New" w:cs="Courier New" w:hint="default"/>
      </w:rPr>
    </w:lvl>
    <w:lvl w:ilvl="8" w:tplc="04130005" w:tentative="1">
      <w:start w:val="1"/>
      <w:numFmt w:val="bullet"/>
      <w:lvlText w:val=""/>
      <w:lvlJc w:val="left"/>
      <w:pPr>
        <w:ind w:left="6593" w:hanging="360"/>
      </w:pPr>
      <w:rPr>
        <w:rFonts w:ascii="Wingdings" w:hAnsi="Wingdings" w:hint="default"/>
      </w:rPr>
    </w:lvl>
  </w:abstractNum>
  <w:abstractNum w:abstractNumId="14" w15:restartNumberingAfterBreak="0">
    <w:nsid w:val="55EE4EE1"/>
    <w:multiLevelType w:val="hybridMultilevel"/>
    <w:tmpl w:val="2BF0ED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AFD6C83"/>
    <w:multiLevelType w:val="hybridMultilevel"/>
    <w:tmpl w:val="360CF860"/>
    <w:lvl w:ilvl="0" w:tplc="04130001">
      <w:start w:val="1"/>
      <w:numFmt w:val="bullet"/>
      <w:lvlText w:val=""/>
      <w:lvlJc w:val="left"/>
      <w:pPr>
        <w:ind w:left="472" w:hanging="360"/>
      </w:pPr>
      <w:rPr>
        <w:rFonts w:ascii="Symbol" w:hAnsi="Symbol" w:hint="default"/>
      </w:rPr>
    </w:lvl>
    <w:lvl w:ilvl="1" w:tplc="04130003">
      <w:start w:val="1"/>
      <w:numFmt w:val="bullet"/>
      <w:lvlText w:val="o"/>
      <w:lvlJc w:val="left"/>
      <w:pPr>
        <w:ind w:left="1192" w:hanging="360"/>
      </w:pPr>
      <w:rPr>
        <w:rFonts w:ascii="Courier New" w:hAnsi="Courier New" w:cs="Courier New" w:hint="default"/>
      </w:rPr>
    </w:lvl>
    <w:lvl w:ilvl="2" w:tplc="04130005" w:tentative="1">
      <w:start w:val="1"/>
      <w:numFmt w:val="bullet"/>
      <w:lvlText w:val=""/>
      <w:lvlJc w:val="left"/>
      <w:pPr>
        <w:ind w:left="1912" w:hanging="360"/>
      </w:pPr>
      <w:rPr>
        <w:rFonts w:ascii="Wingdings" w:hAnsi="Wingdings" w:hint="default"/>
      </w:rPr>
    </w:lvl>
    <w:lvl w:ilvl="3" w:tplc="04130001" w:tentative="1">
      <w:start w:val="1"/>
      <w:numFmt w:val="bullet"/>
      <w:lvlText w:val=""/>
      <w:lvlJc w:val="left"/>
      <w:pPr>
        <w:ind w:left="2632" w:hanging="360"/>
      </w:pPr>
      <w:rPr>
        <w:rFonts w:ascii="Symbol" w:hAnsi="Symbol" w:hint="default"/>
      </w:rPr>
    </w:lvl>
    <w:lvl w:ilvl="4" w:tplc="04130003" w:tentative="1">
      <w:start w:val="1"/>
      <w:numFmt w:val="bullet"/>
      <w:lvlText w:val="o"/>
      <w:lvlJc w:val="left"/>
      <w:pPr>
        <w:ind w:left="3352" w:hanging="360"/>
      </w:pPr>
      <w:rPr>
        <w:rFonts w:ascii="Courier New" w:hAnsi="Courier New" w:cs="Courier New" w:hint="default"/>
      </w:rPr>
    </w:lvl>
    <w:lvl w:ilvl="5" w:tplc="04130005" w:tentative="1">
      <w:start w:val="1"/>
      <w:numFmt w:val="bullet"/>
      <w:lvlText w:val=""/>
      <w:lvlJc w:val="left"/>
      <w:pPr>
        <w:ind w:left="4072" w:hanging="360"/>
      </w:pPr>
      <w:rPr>
        <w:rFonts w:ascii="Wingdings" w:hAnsi="Wingdings" w:hint="default"/>
      </w:rPr>
    </w:lvl>
    <w:lvl w:ilvl="6" w:tplc="04130001" w:tentative="1">
      <w:start w:val="1"/>
      <w:numFmt w:val="bullet"/>
      <w:lvlText w:val=""/>
      <w:lvlJc w:val="left"/>
      <w:pPr>
        <w:ind w:left="4792" w:hanging="360"/>
      </w:pPr>
      <w:rPr>
        <w:rFonts w:ascii="Symbol" w:hAnsi="Symbol" w:hint="default"/>
      </w:rPr>
    </w:lvl>
    <w:lvl w:ilvl="7" w:tplc="04130003" w:tentative="1">
      <w:start w:val="1"/>
      <w:numFmt w:val="bullet"/>
      <w:lvlText w:val="o"/>
      <w:lvlJc w:val="left"/>
      <w:pPr>
        <w:ind w:left="5512" w:hanging="360"/>
      </w:pPr>
      <w:rPr>
        <w:rFonts w:ascii="Courier New" w:hAnsi="Courier New" w:cs="Courier New" w:hint="default"/>
      </w:rPr>
    </w:lvl>
    <w:lvl w:ilvl="8" w:tplc="04130005" w:tentative="1">
      <w:start w:val="1"/>
      <w:numFmt w:val="bullet"/>
      <w:lvlText w:val=""/>
      <w:lvlJc w:val="left"/>
      <w:pPr>
        <w:ind w:left="6232" w:hanging="360"/>
      </w:pPr>
      <w:rPr>
        <w:rFonts w:ascii="Wingdings" w:hAnsi="Wingdings" w:hint="default"/>
      </w:rPr>
    </w:lvl>
  </w:abstractNum>
  <w:abstractNum w:abstractNumId="16" w15:restartNumberingAfterBreak="0">
    <w:nsid w:val="5F4528A5"/>
    <w:multiLevelType w:val="hybridMultilevel"/>
    <w:tmpl w:val="1B4C9466"/>
    <w:lvl w:ilvl="0" w:tplc="CEE2514E">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76696F4D"/>
    <w:multiLevelType w:val="hybridMultilevel"/>
    <w:tmpl w:val="8E0E50D0"/>
    <w:lvl w:ilvl="0" w:tplc="8084CC5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D2F4559"/>
    <w:multiLevelType w:val="hybridMultilevel"/>
    <w:tmpl w:val="DCBA6478"/>
    <w:lvl w:ilvl="0" w:tplc="A0127408">
      <w:start w:val="1"/>
      <w:numFmt w:val="bullet"/>
      <w:lvlText w:val="-"/>
      <w:lvlJc w:val="left"/>
      <w:pPr>
        <w:ind w:left="473" w:hanging="360"/>
      </w:pPr>
      <w:rPr>
        <w:rFonts w:ascii="Calibri" w:eastAsiaTheme="minorHAnsi" w:hAnsi="Calibri"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num w:numId="1" w16cid:durableId="987588495">
    <w:abstractNumId w:val="2"/>
  </w:num>
  <w:num w:numId="2" w16cid:durableId="192352325">
    <w:abstractNumId w:val="3"/>
  </w:num>
  <w:num w:numId="3" w16cid:durableId="1653368349">
    <w:abstractNumId w:val="10"/>
  </w:num>
  <w:num w:numId="4" w16cid:durableId="953901657">
    <w:abstractNumId w:val="5"/>
  </w:num>
  <w:num w:numId="5" w16cid:durableId="1449547648">
    <w:abstractNumId w:val="15"/>
  </w:num>
  <w:num w:numId="6" w16cid:durableId="938023384">
    <w:abstractNumId w:val="12"/>
  </w:num>
  <w:num w:numId="7" w16cid:durableId="1400058906">
    <w:abstractNumId w:val="16"/>
  </w:num>
  <w:num w:numId="8" w16cid:durableId="725377612">
    <w:abstractNumId w:val="11"/>
  </w:num>
  <w:num w:numId="9" w16cid:durableId="650250528">
    <w:abstractNumId w:val="9"/>
  </w:num>
  <w:num w:numId="10" w16cid:durableId="309604167">
    <w:abstractNumId w:val="6"/>
  </w:num>
  <w:num w:numId="11" w16cid:durableId="1668092425">
    <w:abstractNumId w:val="7"/>
  </w:num>
  <w:num w:numId="12" w16cid:durableId="1655912166">
    <w:abstractNumId w:val="4"/>
  </w:num>
  <w:num w:numId="13" w16cid:durableId="1478035928">
    <w:abstractNumId w:val="8"/>
  </w:num>
  <w:num w:numId="14" w16cid:durableId="1188906478">
    <w:abstractNumId w:val="17"/>
  </w:num>
  <w:num w:numId="15" w16cid:durableId="3101389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05967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5952479">
    <w:abstractNumId w:val="18"/>
  </w:num>
  <w:num w:numId="18" w16cid:durableId="907300524">
    <w:abstractNumId w:val="1"/>
  </w:num>
  <w:num w:numId="19" w16cid:durableId="1540121987">
    <w:abstractNumId w:val="0"/>
  </w:num>
  <w:num w:numId="20" w16cid:durableId="9063787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B06"/>
    <w:rsid w:val="00010320"/>
    <w:rsid w:val="000123D6"/>
    <w:rsid w:val="00012541"/>
    <w:rsid w:val="000146B4"/>
    <w:rsid w:val="000156BD"/>
    <w:rsid w:val="00017F86"/>
    <w:rsid w:val="00024727"/>
    <w:rsid w:val="00025E6A"/>
    <w:rsid w:val="00031806"/>
    <w:rsid w:val="00056959"/>
    <w:rsid w:val="00057B96"/>
    <w:rsid w:val="000655C9"/>
    <w:rsid w:val="00065716"/>
    <w:rsid w:val="0007094E"/>
    <w:rsid w:val="0007399D"/>
    <w:rsid w:val="00077AFE"/>
    <w:rsid w:val="00083BA6"/>
    <w:rsid w:val="00087BAB"/>
    <w:rsid w:val="000901FC"/>
    <w:rsid w:val="00091559"/>
    <w:rsid w:val="0009450E"/>
    <w:rsid w:val="000C3992"/>
    <w:rsid w:val="000D4B06"/>
    <w:rsid w:val="000D5B47"/>
    <w:rsid w:val="000D67ED"/>
    <w:rsid w:val="000D768E"/>
    <w:rsid w:val="000F19CA"/>
    <w:rsid w:val="000F2A92"/>
    <w:rsid w:val="00115875"/>
    <w:rsid w:val="0012084E"/>
    <w:rsid w:val="00125332"/>
    <w:rsid w:val="00125C5A"/>
    <w:rsid w:val="001335CB"/>
    <w:rsid w:val="001341C8"/>
    <w:rsid w:val="001366EB"/>
    <w:rsid w:val="00137E30"/>
    <w:rsid w:val="001406E9"/>
    <w:rsid w:val="00154433"/>
    <w:rsid w:val="00154BFB"/>
    <w:rsid w:val="0016133D"/>
    <w:rsid w:val="0017354C"/>
    <w:rsid w:val="00173FA2"/>
    <w:rsid w:val="00175069"/>
    <w:rsid w:val="0018177C"/>
    <w:rsid w:val="001825A8"/>
    <w:rsid w:val="00183482"/>
    <w:rsid w:val="00183637"/>
    <w:rsid w:val="00185775"/>
    <w:rsid w:val="00186F47"/>
    <w:rsid w:val="00191822"/>
    <w:rsid w:val="00191F9D"/>
    <w:rsid w:val="001931CE"/>
    <w:rsid w:val="001935F9"/>
    <w:rsid w:val="001C2514"/>
    <w:rsid w:val="001C40AC"/>
    <w:rsid w:val="001C5761"/>
    <w:rsid w:val="001C7FF6"/>
    <w:rsid w:val="001D19AF"/>
    <w:rsid w:val="001F1AC3"/>
    <w:rsid w:val="002030E4"/>
    <w:rsid w:val="00205914"/>
    <w:rsid w:val="0021120F"/>
    <w:rsid w:val="00212C86"/>
    <w:rsid w:val="0021317D"/>
    <w:rsid w:val="00216E05"/>
    <w:rsid w:val="0022217E"/>
    <w:rsid w:val="00235776"/>
    <w:rsid w:val="00235DC2"/>
    <w:rsid w:val="00236849"/>
    <w:rsid w:val="002441F3"/>
    <w:rsid w:val="0025222C"/>
    <w:rsid w:val="002603FA"/>
    <w:rsid w:val="00262258"/>
    <w:rsid w:val="00263E69"/>
    <w:rsid w:val="002804DB"/>
    <w:rsid w:val="00283182"/>
    <w:rsid w:val="002878B1"/>
    <w:rsid w:val="002A4603"/>
    <w:rsid w:val="002B6BD4"/>
    <w:rsid w:val="002F175F"/>
    <w:rsid w:val="002F6FFE"/>
    <w:rsid w:val="00305E23"/>
    <w:rsid w:val="00306064"/>
    <w:rsid w:val="00307FCB"/>
    <w:rsid w:val="003131DD"/>
    <w:rsid w:val="00330A4E"/>
    <w:rsid w:val="003361EF"/>
    <w:rsid w:val="00352400"/>
    <w:rsid w:val="003633A7"/>
    <w:rsid w:val="0036736B"/>
    <w:rsid w:val="003738A8"/>
    <w:rsid w:val="0039164F"/>
    <w:rsid w:val="003A7844"/>
    <w:rsid w:val="003B3B5C"/>
    <w:rsid w:val="003D1356"/>
    <w:rsid w:val="003D5D44"/>
    <w:rsid w:val="003E260C"/>
    <w:rsid w:val="003E4465"/>
    <w:rsid w:val="003F4DEA"/>
    <w:rsid w:val="0040243C"/>
    <w:rsid w:val="00413DE0"/>
    <w:rsid w:val="00416FC4"/>
    <w:rsid w:val="00417A58"/>
    <w:rsid w:val="004260BF"/>
    <w:rsid w:val="00426318"/>
    <w:rsid w:val="00430E7F"/>
    <w:rsid w:val="0043339A"/>
    <w:rsid w:val="00433B80"/>
    <w:rsid w:val="00442724"/>
    <w:rsid w:val="00445799"/>
    <w:rsid w:val="004525D1"/>
    <w:rsid w:val="00452DC0"/>
    <w:rsid w:val="004615FD"/>
    <w:rsid w:val="00464D2A"/>
    <w:rsid w:val="00493A45"/>
    <w:rsid w:val="00496626"/>
    <w:rsid w:val="004A5081"/>
    <w:rsid w:val="004C20A8"/>
    <w:rsid w:val="004C559F"/>
    <w:rsid w:val="004C74DC"/>
    <w:rsid w:val="004D2D77"/>
    <w:rsid w:val="004D48AA"/>
    <w:rsid w:val="004E7E5C"/>
    <w:rsid w:val="004F6CE3"/>
    <w:rsid w:val="00503ABD"/>
    <w:rsid w:val="005069D7"/>
    <w:rsid w:val="00526D1C"/>
    <w:rsid w:val="00531A17"/>
    <w:rsid w:val="0053618E"/>
    <w:rsid w:val="00550841"/>
    <w:rsid w:val="00555B1A"/>
    <w:rsid w:val="005701F7"/>
    <w:rsid w:val="00574272"/>
    <w:rsid w:val="00581255"/>
    <w:rsid w:val="00582730"/>
    <w:rsid w:val="005840BA"/>
    <w:rsid w:val="00584313"/>
    <w:rsid w:val="00585E38"/>
    <w:rsid w:val="00590146"/>
    <w:rsid w:val="005A00E6"/>
    <w:rsid w:val="005A0FB7"/>
    <w:rsid w:val="005A13F6"/>
    <w:rsid w:val="005A21FC"/>
    <w:rsid w:val="005B1561"/>
    <w:rsid w:val="005B23F7"/>
    <w:rsid w:val="005B5288"/>
    <w:rsid w:val="005D51C9"/>
    <w:rsid w:val="005D7900"/>
    <w:rsid w:val="005F308D"/>
    <w:rsid w:val="005F494A"/>
    <w:rsid w:val="0060043E"/>
    <w:rsid w:val="006011AD"/>
    <w:rsid w:val="006132DB"/>
    <w:rsid w:val="00613533"/>
    <w:rsid w:val="00622552"/>
    <w:rsid w:val="00640AE5"/>
    <w:rsid w:val="00645F0F"/>
    <w:rsid w:val="0066649A"/>
    <w:rsid w:val="0067385F"/>
    <w:rsid w:val="006739BB"/>
    <w:rsid w:val="006755F2"/>
    <w:rsid w:val="00676311"/>
    <w:rsid w:val="006802C0"/>
    <w:rsid w:val="006911DD"/>
    <w:rsid w:val="00695B1C"/>
    <w:rsid w:val="006B1307"/>
    <w:rsid w:val="006B1760"/>
    <w:rsid w:val="006C3E69"/>
    <w:rsid w:val="00702DF0"/>
    <w:rsid w:val="0070754A"/>
    <w:rsid w:val="00721975"/>
    <w:rsid w:val="00726B06"/>
    <w:rsid w:val="00735109"/>
    <w:rsid w:val="00745692"/>
    <w:rsid w:val="00753F16"/>
    <w:rsid w:val="00757CA2"/>
    <w:rsid w:val="00762F36"/>
    <w:rsid w:val="00775229"/>
    <w:rsid w:val="00777FB2"/>
    <w:rsid w:val="007852AF"/>
    <w:rsid w:val="00797952"/>
    <w:rsid w:val="007A6FBD"/>
    <w:rsid w:val="007A7392"/>
    <w:rsid w:val="007B6A3E"/>
    <w:rsid w:val="007D3E8C"/>
    <w:rsid w:val="007E3AF0"/>
    <w:rsid w:val="007E7793"/>
    <w:rsid w:val="00801F23"/>
    <w:rsid w:val="00804BD1"/>
    <w:rsid w:val="0080538F"/>
    <w:rsid w:val="00817B1E"/>
    <w:rsid w:val="008450C4"/>
    <w:rsid w:val="0084738B"/>
    <w:rsid w:val="008651F1"/>
    <w:rsid w:val="0088068E"/>
    <w:rsid w:val="0088602E"/>
    <w:rsid w:val="00894DB8"/>
    <w:rsid w:val="00895661"/>
    <w:rsid w:val="008A7BD7"/>
    <w:rsid w:val="008B3DF2"/>
    <w:rsid w:val="008D0913"/>
    <w:rsid w:val="008E4F44"/>
    <w:rsid w:val="008E5609"/>
    <w:rsid w:val="008E65E6"/>
    <w:rsid w:val="008E71E2"/>
    <w:rsid w:val="008F363F"/>
    <w:rsid w:val="008F49C6"/>
    <w:rsid w:val="009018B4"/>
    <w:rsid w:val="00903380"/>
    <w:rsid w:val="00903A34"/>
    <w:rsid w:val="009121B9"/>
    <w:rsid w:val="00917FED"/>
    <w:rsid w:val="00924EB1"/>
    <w:rsid w:val="00926E1D"/>
    <w:rsid w:val="00930D23"/>
    <w:rsid w:val="00946A77"/>
    <w:rsid w:val="00947320"/>
    <w:rsid w:val="0095541A"/>
    <w:rsid w:val="009560AE"/>
    <w:rsid w:val="00957CE9"/>
    <w:rsid w:val="009616BA"/>
    <w:rsid w:val="00963986"/>
    <w:rsid w:val="0096442B"/>
    <w:rsid w:val="00967FDC"/>
    <w:rsid w:val="0099286A"/>
    <w:rsid w:val="009A145E"/>
    <w:rsid w:val="009A1A67"/>
    <w:rsid w:val="009A4030"/>
    <w:rsid w:val="009A5855"/>
    <w:rsid w:val="009B4E97"/>
    <w:rsid w:val="009C7F9B"/>
    <w:rsid w:val="009D59B6"/>
    <w:rsid w:val="009F2881"/>
    <w:rsid w:val="00A002E7"/>
    <w:rsid w:val="00A1005A"/>
    <w:rsid w:val="00A273A2"/>
    <w:rsid w:val="00A279B8"/>
    <w:rsid w:val="00A365D5"/>
    <w:rsid w:val="00A46D04"/>
    <w:rsid w:val="00A53215"/>
    <w:rsid w:val="00A615FB"/>
    <w:rsid w:val="00A62C67"/>
    <w:rsid w:val="00A831DE"/>
    <w:rsid w:val="00A875F7"/>
    <w:rsid w:val="00A9102D"/>
    <w:rsid w:val="00A913A5"/>
    <w:rsid w:val="00AA01CA"/>
    <w:rsid w:val="00AA7CE4"/>
    <w:rsid w:val="00AD0168"/>
    <w:rsid w:val="00AD6F06"/>
    <w:rsid w:val="00AE6E52"/>
    <w:rsid w:val="00AF0B21"/>
    <w:rsid w:val="00AF29AD"/>
    <w:rsid w:val="00B03318"/>
    <w:rsid w:val="00B03C13"/>
    <w:rsid w:val="00B063DA"/>
    <w:rsid w:val="00B235B5"/>
    <w:rsid w:val="00B313C5"/>
    <w:rsid w:val="00B33510"/>
    <w:rsid w:val="00B359DD"/>
    <w:rsid w:val="00B40053"/>
    <w:rsid w:val="00B55790"/>
    <w:rsid w:val="00B5747A"/>
    <w:rsid w:val="00B60212"/>
    <w:rsid w:val="00B664C7"/>
    <w:rsid w:val="00B8653E"/>
    <w:rsid w:val="00B902C5"/>
    <w:rsid w:val="00B902FE"/>
    <w:rsid w:val="00B94CC3"/>
    <w:rsid w:val="00BB160C"/>
    <w:rsid w:val="00BB2629"/>
    <w:rsid w:val="00BB6591"/>
    <w:rsid w:val="00BC1DC8"/>
    <w:rsid w:val="00BC31D7"/>
    <w:rsid w:val="00BD001D"/>
    <w:rsid w:val="00BE24AB"/>
    <w:rsid w:val="00C0612E"/>
    <w:rsid w:val="00C2287A"/>
    <w:rsid w:val="00C23E1C"/>
    <w:rsid w:val="00C325EC"/>
    <w:rsid w:val="00C373B5"/>
    <w:rsid w:val="00C5348F"/>
    <w:rsid w:val="00C54545"/>
    <w:rsid w:val="00C6416E"/>
    <w:rsid w:val="00C664C4"/>
    <w:rsid w:val="00C80781"/>
    <w:rsid w:val="00C80CBC"/>
    <w:rsid w:val="00C83146"/>
    <w:rsid w:val="00C842D9"/>
    <w:rsid w:val="00C918A7"/>
    <w:rsid w:val="00C918C5"/>
    <w:rsid w:val="00C97394"/>
    <w:rsid w:val="00CA0E31"/>
    <w:rsid w:val="00CA104F"/>
    <w:rsid w:val="00CB20DF"/>
    <w:rsid w:val="00CB27B0"/>
    <w:rsid w:val="00CC20EB"/>
    <w:rsid w:val="00CC430B"/>
    <w:rsid w:val="00CC5981"/>
    <w:rsid w:val="00CF27A6"/>
    <w:rsid w:val="00D04718"/>
    <w:rsid w:val="00D04E7D"/>
    <w:rsid w:val="00D34BDA"/>
    <w:rsid w:val="00D35617"/>
    <w:rsid w:val="00D41088"/>
    <w:rsid w:val="00D4251E"/>
    <w:rsid w:val="00D62BE8"/>
    <w:rsid w:val="00D67431"/>
    <w:rsid w:val="00D81665"/>
    <w:rsid w:val="00D8403E"/>
    <w:rsid w:val="00D906E5"/>
    <w:rsid w:val="00D90FED"/>
    <w:rsid w:val="00DB18F5"/>
    <w:rsid w:val="00DC1779"/>
    <w:rsid w:val="00DC39AF"/>
    <w:rsid w:val="00DC4849"/>
    <w:rsid w:val="00DD4B2E"/>
    <w:rsid w:val="00DD7C5D"/>
    <w:rsid w:val="00DE19A5"/>
    <w:rsid w:val="00DE1ED5"/>
    <w:rsid w:val="00DE738A"/>
    <w:rsid w:val="00DF3170"/>
    <w:rsid w:val="00E10248"/>
    <w:rsid w:val="00E258F5"/>
    <w:rsid w:val="00E3765F"/>
    <w:rsid w:val="00E45A5C"/>
    <w:rsid w:val="00E56CBB"/>
    <w:rsid w:val="00E601E0"/>
    <w:rsid w:val="00E648EC"/>
    <w:rsid w:val="00E722D3"/>
    <w:rsid w:val="00E8427B"/>
    <w:rsid w:val="00E91933"/>
    <w:rsid w:val="00E93482"/>
    <w:rsid w:val="00E94DFF"/>
    <w:rsid w:val="00EA43C0"/>
    <w:rsid w:val="00EB63BD"/>
    <w:rsid w:val="00EC14D9"/>
    <w:rsid w:val="00EF12AB"/>
    <w:rsid w:val="00EF1B09"/>
    <w:rsid w:val="00EF22FF"/>
    <w:rsid w:val="00EF35D0"/>
    <w:rsid w:val="00EF3A90"/>
    <w:rsid w:val="00EF6DF9"/>
    <w:rsid w:val="00EF6EF0"/>
    <w:rsid w:val="00F01E85"/>
    <w:rsid w:val="00F043E6"/>
    <w:rsid w:val="00F13947"/>
    <w:rsid w:val="00F14D57"/>
    <w:rsid w:val="00F21906"/>
    <w:rsid w:val="00F31779"/>
    <w:rsid w:val="00F43D12"/>
    <w:rsid w:val="00F55C85"/>
    <w:rsid w:val="00F56B3F"/>
    <w:rsid w:val="00F7630E"/>
    <w:rsid w:val="00F95FF4"/>
    <w:rsid w:val="00FA5721"/>
    <w:rsid w:val="00FB530B"/>
    <w:rsid w:val="00FB75C9"/>
    <w:rsid w:val="00FC307A"/>
    <w:rsid w:val="00FC5063"/>
    <w:rsid w:val="00FD2DA2"/>
    <w:rsid w:val="00FD3A4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B7E5F"/>
  <w15:chartTrackingRefBased/>
  <w15:docId w15:val="{DE1498E2-CB42-4009-B0C5-55D234D4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17E"/>
    <w:pPr>
      <w:spacing w:after="0" w:line="240" w:lineRule="auto"/>
    </w:pPr>
    <w:rPr>
      <w:rFonts w:ascii="Calibri" w:hAnsi="Calibri" w:cs="Calibri"/>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2217E"/>
  </w:style>
  <w:style w:type="paragraph" w:customStyle="1" w:styleId="TableParagraph">
    <w:name w:val="Table Paragraph"/>
    <w:basedOn w:val="Normal"/>
    <w:uiPriority w:val="1"/>
    <w:rsid w:val="0022217E"/>
    <w:pPr>
      <w:autoSpaceDE w:val="0"/>
      <w:autoSpaceDN w:val="0"/>
      <w:spacing w:before="82"/>
      <w:ind w:left="113"/>
    </w:p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22217E"/>
    <w:pPr>
      <w:spacing w:line="240" w:lineRule="atLeast"/>
      <w:ind w:left="720"/>
      <w:contextualSpacing/>
    </w:pPr>
    <w:rPr>
      <w:rFonts w:ascii="Verdana" w:eastAsia="Times New Roman" w:hAnsi="Verdana" w:cs="Times New Roman"/>
      <w:sz w:val="18"/>
      <w:szCs w:val="24"/>
      <w:lang w:eastAsia="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22217E"/>
    <w:rPr>
      <w:rFonts w:ascii="Verdana" w:eastAsia="Times New Roman" w:hAnsi="Verdana" w:cs="Times New Roman"/>
      <w:sz w:val="18"/>
      <w:szCs w:val="24"/>
      <w:lang w:val="nl-NL" w:eastAsia="nl-NL"/>
    </w:rPr>
  </w:style>
  <w:style w:type="character" w:styleId="Hyperlink">
    <w:name w:val="Hyperlink"/>
    <w:basedOn w:val="DefaultParagraphFont"/>
    <w:uiPriority w:val="99"/>
    <w:unhideWhenUsed/>
    <w:rsid w:val="0022217E"/>
    <w:rPr>
      <w:color w:val="0563C1"/>
      <w:u w:val="single"/>
    </w:rPr>
  </w:style>
  <w:style w:type="paragraph" w:styleId="Header">
    <w:name w:val="header"/>
    <w:basedOn w:val="Normal"/>
    <w:link w:val="HeaderChar"/>
    <w:uiPriority w:val="99"/>
    <w:unhideWhenUsed/>
    <w:rsid w:val="00AD0168"/>
    <w:pPr>
      <w:tabs>
        <w:tab w:val="center" w:pos="4513"/>
        <w:tab w:val="right" w:pos="9026"/>
      </w:tabs>
    </w:pPr>
  </w:style>
  <w:style w:type="character" w:customStyle="1" w:styleId="HeaderChar">
    <w:name w:val="Header Char"/>
    <w:basedOn w:val="DefaultParagraphFont"/>
    <w:link w:val="Header"/>
    <w:uiPriority w:val="99"/>
    <w:rsid w:val="00AD0168"/>
    <w:rPr>
      <w:rFonts w:ascii="Calibri" w:hAnsi="Calibri" w:cs="Calibri"/>
      <w:lang w:val="nl-NL"/>
    </w:rPr>
  </w:style>
  <w:style w:type="paragraph" w:styleId="Footer">
    <w:name w:val="footer"/>
    <w:basedOn w:val="Normal"/>
    <w:link w:val="FooterChar"/>
    <w:uiPriority w:val="99"/>
    <w:unhideWhenUsed/>
    <w:rsid w:val="00AD0168"/>
    <w:pPr>
      <w:tabs>
        <w:tab w:val="center" w:pos="4513"/>
        <w:tab w:val="right" w:pos="9026"/>
      </w:tabs>
    </w:pPr>
  </w:style>
  <w:style w:type="character" w:customStyle="1" w:styleId="FooterChar">
    <w:name w:val="Footer Char"/>
    <w:basedOn w:val="DefaultParagraphFont"/>
    <w:link w:val="Footer"/>
    <w:uiPriority w:val="99"/>
    <w:rsid w:val="00AD0168"/>
    <w:rPr>
      <w:rFonts w:ascii="Calibri" w:hAnsi="Calibri" w:cs="Calibri"/>
      <w:lang w:val="nl-NL"/>
    </w:rPr>
  </w:style>
  <w:style w:type="character" w:styleId="CommentReference">
    <w:name w:val="annotation reference"/>
    <w:basedOn w:val="DefaultParagraphFont"/>
    <w:uiPriority w:val="99"/>
    <w:semiHidden/>
    <w:unhideWhenUsed/>
    <w:rsid w:val="00DE1ED5"/>
    <w:rPr>
      <w:sz w:val="16"/>
      <w:szCs w:val="16"/>
    </w:rPr>
  </w:style>
  <w:style w:type="paragraph" w:styleId="CommentText">
    <w:name w:val="annotation text"/>
    <w:basedOn w:val="Normal"/>
    <w:link w:val="CommentTextChar"/>
    <w:uiPriority w:val="99"/>
    <w:unhideWhenUsed/>
    <w:rsid w:val="00DE1ED5"/>
    <w:rPr>
      <w:sz w:val="20"/>
      <w:szCs w:val="20"/>
    </w:rPr>
  </w:style>
  <w:style w:type="character" w:customStyle="1" w:styleId="CommentTextChar">
    <w:name w:val="Comment Text Char"/>
    <w:basedOn w:val="DefaultParagraphFont"/>
    <w:link w:val="CommentText"/>
    <w:uiPriority w:val="99"/>
    <w:rsid w:val="00DE1ED5"/>
    <w:rPr>
      <w:rFonts w:ascii="Calibri" w:hAnsi="Calibri" w:cs="Calibri"/>
      <w:sz w:val="20"/>
      <w:szCs w:val="20"/>
      <w:lang w:val="nl-NL"/>
    </w:rPr>
  </w:style>
  <w:style w:type="paragraph" w:styleId="CommentSubject">
    <w:name w:val="annotation subject"/>
    <w:basedOn w:val="CommentText"/>
    <w:next w:val="CommentText"/>
    <w:link w:val="CommentSubjectChar"/>
    <w:uiPriority w:val="99"/>
    <w:semiHidden/>
    <w:unhideWhenUsed/>
    <w:rsid w:val="00DE1ED5"/>
    <w:rPr>
      <w:b/>
      <w:bCs/>
    </w:rPr>
  </w:style>
  <w:style w:type="character" w:customStyle="1" w:styleId="CommentSubjectChar">
    <w:name w:val="Comment Subject Char"/>
    <w:basedOn w:val="CommentTextChar"/>
    <w:link w:val="CommentSubject"/>
    <w:uiPriority w:val="99"/>
    <w:semiHidden/>
    <w:rsid w:val="00DE1ED5"/>
    <w:rPr>
      <w:rFonts w:ascii="Calibri" w:hAnsi="Calibri" w:cs="Calibri"/>
      <w:b/>
      <w:bCs/>
      <w:sz w:val="20"/>
      <w:szCs w:val="20"/>
      <w:lang w:val="nl-NL"/>
    </w:rPr>
  </w:style>
  <w:style w:type="paragraph" w:styleId="BalloonText">
    <w:name w:val="Balloon Text"/>
    <w:basedOn w:val="Normal"/>
    <w:link w:val="BalloonTextChar"/>
    <w:uiPriority w:val="99"/>
    <w:semiHidden/>
    <w:unhideWhenUsed/>
    <w:rsid w:val="00DE1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ED5"/>
    <w:rPr>
      <w:rFonts w:ascii="Segoe UI" w:hAnsi="Segoe UI" w:cs="Segoe UI"/>
      <w:sz w:val="18"/>
      <w:szCs w:val="18"/>
      <w:lang w:val="nl-NL"/>
    </w:rPr>
  </w:style>
  <w:style w:type="paragraph" w:styleId="Revision">
    <w:name w:val="Revision"/>
    <w:hidden/>
    <w:uiPriority w:val="99"/>
    <w:semiHidden/>
    <w:rsid w:val="00CC20EB"/>
    <w:pPr>
      <w:spacing w:after="0" w:line="240" w:lineRule="auto"/>
    </w:pPr>
    <w:rPr>
      <w:rFonts w:ascii="Calibri" w:hAnsi="Calibri" w:cs="Calibr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26861">
      <w:bodyDiv w:val="1"/>
      <w:marLeft w:val="0"/>
      <w:marRight w:val="0"/>
      <w:marTop w:val="0"/>
      <w:marBottom w:val="0"/>
      <w:divBdr>
        <w:top w:val="none" w:sz="0" w:space="0" w:color="auto"/>
        <w:left w:val="none" w:sz="0" w:space="0" w:color="auto"/>
        <w:bottom w:val="none" w:sz="0" w:space="0" w:color="auto"/>
        <w:right w:val="none" w:sz="0" w:space="0" w:color="auto"/>
      </w:divBdr>
    </w:div>
    <w:div w:id="300697665">
      <w:bodyDiv w:val="1"/>
      <w:marLeft w:val="0"/>
      <w:marRight w:val="0"/>
      <w:marTop w:val="0"/>
      <w:marBottom w:val="0"/>
      <w:divBdr>
        <w:top w:val="none" w:sz="0" w:space="0" w:color="auto"/>
        <w:left w:val="none" w:sz="0" w:space="0" w:color="auto"/>
        <w:bottom w:val="none" w:sz="0" w:space="0" w:color="auto"/>
        <w:right w:val="none" w:sz="0" w:space="0" w:color="auto"/>
      </w:divBdr>
    </w:div>
    <w:div w:id="342435647">
      <w:bodyDiv w:val="1"/>
      <w:marLeft w:val="0"/>
      <w:marRight w:val="0"/>
      <w:marTop w:val="0"/>
      <w:marBottom w:val="0"/>
      <w:divBdr>
        <w:top w:val="none" w:sz="0" w:space="0" w:color="auto"/>
        <w:left w:val="none" w:sz="0" w:space="0" w:color="auto"/>
        <w:bottom w:val="none" w:sz="0" w:space="0" w:color="auto"/>
        <w:right w:val="none" w:sz="0" w:space="0" w:color="auto"/>
      </w:divBdr>
    </w:div>
    <w:div w:id="366490018">
      <w:bodyDiv w:val="1"/>
      <w:marLeft w:val="0"/>
      <w:marRight w:val="0"/>
      <w:marTop w:val="0"/>
      <w:marBottom w:val="0"/>
      <w:divBdr>
        <w:top w:val="none" w:sz="0" w:space="0" w:color="auto"/>
        <w:left w:val="none" w:sz="0" w:space="0" w:color="auto"/>
        <w:bottom w:val="none" w:sz="0" w:space="0" w:color="auto"/>
        <w:right w:val="none" w:sz="0" w:space="0" w:color="auto"/>
      </w:divBdr>
    </w:div>
    <w:div w:id="695423900">
      <w:bodyDiv w:val="1"/>
      <w:marLeft w:val="0"/>
      <w:marRight w:val="0"/>
      <w:marTop w:val="0"/>
      <w:marBottom w:val="0"/>
      <w:divBdr>
        <w:top w:val="none" w:sz="0" w:space="0" w:color="auto"/>
        <w:left w:val="none" w:sz="0" w:space="0" w:color="auto"/>
        <w:bottom w:val="none" w:sz="0" w:space="0" w:color="auto"/>
        <w:right w:val="none" w:sz="0" w:space="0" w:color="auto"/>
      </w:divBdr>
    </w:div>
    <w:div w:id="802894860">
      <w:bodyDiv w:val="1"/>
      <w:marLeft w:val="0"/>
      <w:marRight w:val="0"/>
      <w:marTop w:val="0"/>
      <w:marBottom w:val="0"/>
      <w:divBdr>
        <w:top w:val="none" w:sz="0" w:space="0" w:color="auto"/>
        <w:left w:val="none" w:sz="0" w:space="0" w:color="auto"/>
        <w:bottom w:val="none" w:sz="0" w:space="0" w:color="auto"/>
        <w:right w:val="none" w:sz="0" w:space="0" w:color="auto"/>
      </w:divBdr>
    </w:div>
    <w:div w:id="1059400264">
      <w:bodyDiv w:val="1"/>
      <w:marLeft w:val="0"/>
      <w:marRight w:val="0"/>
      <w:marTop w:val="0"/>
      <w:marBottom w:val="0"/>
      <w:divBdr>
        <w:top w:val="none" w:sz="0" w:space="0" w:color="auto"/>
        <w:left w:val="none" w:sz="0" w:space="0" w:color="auto"/>
        <w:bottom w:val="none" w:sz="0" w:space="0" w:color="auto"/>
        <w:right w:val="none" w:sz="0" w:space="0" w:color="auto"/>
      </w:divBdr>
    </w:div>
    <w:div w:id="1111314437">
      <w:bodyDiv w:val="1"/>
      <w:marLeft w:val="0"/>
      <w:marRight w:val="0"/>
      <w:marTop w:val="0"/>
      <w:marBottom w:val="0"/>
      <w:divBdr>
        <w:top w:val="none" w:sz="0" w:space="0" w:color="auto"/>
        <w:left w:val="none" w:sz="0" w:space="0" w:color="auto"/>
        <w:bottom w:val="none" w:sz="0" w:space="0" w:color="auto"/>
        <w:right w:val="none" w:sz="0" w:space="0" w:color="auto"/>
      </w:divBdr>
    </w:div>
    <w:div w:id="1122382884">
      <w:bodyDiv w:val="1"/>
      <w:marLeft w:val="0"/>
      <w:marRight w:val="0"/>
      <w:marTop w:val="0"/>
      <w:marBottom w:val="0"/>
      <w:divBdr>
        <w:top w:val="none" w:sz="0" w:space="0" w:color="auto"/>
        <w:left w:val="none" w:sz="0" w:space="0" w:color="auto"/>
        <w:bottom w:val="none" w:sz="0" w:space="0" w:color="auto"/>
        <w:right w:val="none" w:sz="0" w:space="0" w:color="auto"/>
      </w:divBdr>
    </w:div>
    <w:div w:id="1264991208">
      <w:bodyDiv w:val="1"/>
      <w:marLeft w:val="0"/>
      <w:marRight w:val="0"/>
      <w:marTop w:val="0"/>
      <w:marBottom w:val="0"/>
      <w:divBdr>
        <w:top w:val="none" w:sz="0" w:space="0" w:color="auto"/>
        <w:left w:val="none" w:sz="0" w:space="0" w:color="auto"/>
        <w:bottom w:val="none" w:sz="0" w:space="0" w:color="auto"/>
        <w:right w:val="none" w:sz="0" w:space="0" w:color="auto"/>
      </w:divBdr>
    </w:div>
    <w:div w:id="1364475155">
      <w:bodyDiv w:val="1"/>
      <w:marLeft w:val="0"/>
      <w:marRight w:val="0"/>
      <w:marTop w:val="0"/>
      <w:marBottom w:val="0"/>
      <w:divBdr>
        <w:top w:val="none" w:sz="0" w:space="0" w:color="auto"/>
        <w:left w:val="none" w:sz="0" w:space="0" w:color="auto"/>
        <w:bottom w:val="none" w:sz="0" w:space="0" w:color="auto"/>
        <w:right w:val="none" w:sz="0" w:space="0" w:color="auto"/>
      </w:divBdr>
    </w:div>
    <w:div w:id="2035423874">
      <w:bodyDiv w:val="1"/>
      <w:marLeft w:val="0"/>
      <w:marRight w:val="0"/>
      <w:marTop w:val="0"/>
      <w:marBottom w:val="0"/>
      <w:divBdr>
        <w:top w:val="none" w:sz="0" w:space="0" w:color="auto"/>
        <w:left w:val="none" w:sz="0" w:space="0" w:color="auto"/>
        <w:bottom w:val="none" w:sz="0" w:space="0" w:color="auto"/>
        <w:right w:val="none" w:sz="0" w:space="0" w:color="auto"/>
      </w:divBdr>
    </w:div>
    <w:div w:id="208668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2141</ap:Words>
  <ap:Characters>11777</ap:Characters>
  <ap:DocSecurity>0</ap:DocSecurity>
  <ap:Lines>98</ap:Lines>
  <ap:Paragraphs>27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Uitwerkingsbrief BHOS 2022 (maartbrief)</vt:lpstr>
      <vt:lpstr>Uitwerkingsbrief BHOS 2022 (maartbrief)</vt:lpstr>
    </vt:vector>
  </ap:TitlesOfParts>
  <ap:LinksUpToDate>false</ap:LinksUpToDate>
  <ap:CharactersWithSpaces>13891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2025-09-17T11:45:00.0000000Z</dcterms:created>
  <dcterms:modified xsi:type="dcterms:W3CDTF">2025-10-03T12:02:00.0000000Z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DepartementDirectie">
    <vt:lpwstr>2;#FEZ|373dcec0-742b-4b0b-82fd-da9f3dd3c25f</vt:lpwstr>
  </property>
  <property fmtid="{D5CDD505-2E9C-101B-9397-08002B2CF9AE}" pid="4" name="_dlc_DocIdItemGuid">
    <vt:lpwstr>a6fe6b4a-3b16-461b-b16f-abd3b69d29d7</vt:lpwstr>
  </property>
  <property fmtid="{D5CDD505-2E9C-101B-9397-08002B2CF9AE}" pid="5" name="_docset_NoMedatataSyncRequired">
    <vt:lpwstr>False</vt:lpwstr>
  </property>
  <property fmtid="{D5CDD505-2E9C-101B-9397-08002B2CF9AE}" pid="6" name="BZ_Country">
    <vt:lpwstr>10;#Not applicable|ec01d90b-9d0f-4785-8785-e1ea615196bf</vt:lpwstr>
  </property>
  <property fmtid="{D5CDD505-2E9C-101B-9397-08002B2CF9AE}" pid="7" name="BZ_Classification">
    <vt:lpwstr>4;#UNCLASSIFIED|d92c6340-bc14-4cb2-a9a6-6deda93c493b;#5;#NO MARKING|879e64ec-6597-483b-94db-f5f70afd7299</vt:lpwstr>
  </property>
  <property fmtid="{D5CDD505-2E9C-101B-9397-08002B2CF9AE}" pid="8" name="BZ_Forum">
    <vt:lpwstr>3;#Not applicable|0049e722-bfb1-4a3f-9d08-af7366a9af40</vt:lpwstr>
  </property>
  <property fmtid="{D5CDD505-2E9C-101B-9397-08002B2CF9AE}" pid="9" name="BZ_Theme">
    <vt:lpwstr>9;#Budget and accountability|72935488-e8d7-4765-95c3-88216b1ea696</vt:lpwstr>
  </property>
  <property fmtid="{D5CDD505-2E9C-101B-9397-08002B2CF9AE}" pid="10" name="MSIP_Label_f5339f15-c483-4670-87f9-f365ba551dce_Enabled">
    <vt:lpwstr>true</vt:lpwstr>
  </property>
  <property fmtid="{D5CDD505-2E9C-101B-9397-08002B2CF9AE}" pid="11" name="MSIP_Label_f5339f15-c483-4670-87f9-f365ba551dce_SetDate">
    <vt:lpwstr>2022-03-09T15:04:38Z</vt:lpwstr>
  </property>
  <property fmtid="{D5CDD505-2E9C-101B-9397-08002B2CF9AE}" pid="12" name="MSIP_Label_f5339f15-c483-4670-87f9-f365ba551dce_Method">
    <vt:lpwstr>Standard</vt:lpwstr>
  </property>
  <property fmtid="{D5CDD505-2E9C-101B-9397-08002B2CF9AE}" pid="13" name="MSIP_Label_f5339f15-c483-4670-87f9-f365ba551dce_Name">
    <vt:lpwstr>FIN-IRF-Dep. V.</vt:lpwstr>
  </property>
  <property fmtid="{D5CDD505-2E9C-101B-9397-08002B2CF9AE}" pid="14" name="MSIP_Label_f5339f15-c483-4670-87f9-f365ba551dce_SiteId">
    <vt:lpwstr>84712536-f524-40a0-913b-5d25ba502732</vt:lpwstr>
  </property>
  <property fmtid="{D5CDD505-2E9C-101B-9397-08002B2CF9AE}" pid="15" name="MSIP_Label_f5339f15-c483-4670-87f9-f365ba551dce_ActionId">
    <vt:lpwstr>571c4808-44bc-49d0-b581-4eaa6501126e</vt:lpwstr>
  </property>
  <property fmtid="{D5CDD505-2E9C-101B-9397-08002B2CF9AE}" pid="16" name="MSIP_Label_f5339f15-c483-4670-87f9-f365ba551dce_ContentBits">
    <vt:lpwstr>0</vt:lpwstr>
  </property>
  <property fmtid="{D5CDD505-2E9C-101B-9397-08002B2CF9AE}" pid="17" name="BZForumOrganisation">
    <vt:lpwstr>2;#Not applicable|0049e722-bfb1-4a3f-9d08-af7366a9af40</vt:lpwstr>
  </property>
  <property fmtid="{D5CDD505-2E9C-101B-9397-08002B2CF9AE}" pid="18" name="gc2efd3bfea04f7f8169be07009f5536">
    <vt:lpwstr/>
  </property>
  <property fmtid="{D5CDD505-2E9C-101B-9397-08002B2CF9AE}" pid="19" name="BZTheme">
    <vt:lpwstr>391;#Development cooperation general|380d0ef2-9ec9-4294-9181-2e77a680c18c;#40;#Humanitarian aid general|67032a61-48a4-40cb-b0a3-d3ce348f6e26</vt:lpwstr>
  </property>
  <property fmtid="{D5CDD505-2E9C-101B-9397-08002B2CF9AE}" pid="20" name="BZDossierResponsibleDepartment">
    <vt:lpwstr/>
  </property>
  <property fmtid="{D5CDD505-2E9C-101B-9397-08002B2CF9AE}" pid="21" name="BZCountryState">
    <vt:lpwstr>18;#Ukraine|1d0b3b4a-20e6-48f4-9620-63d5fcfa06a4</vt:lpwstr>
  </property>
  <property fmtid="{D5CDD505-2E9C-101B-9397-08002B2CF9AE}" pid="22" name="BZDossierProcessLocation">
    <vt:lpwstr/>
  </property>
  <property fmtid="{D5CDD505-2E9C-101B-9397-08002B2CF9AE}" pid="23" name="BZDossierGovernmentOfficial">
    <vt:lpwstr/>
  </property>
  <property fmtid="{D5CDD505-2E9C-101B-9397-08002B2CF9AE}" pid="24" name="BZMarking">
    <vt:lpwstr>5;#NO MARKING|0a4eb9ae-69eb-4d9e-b573-43ab99ef8592</vt:lpwstr>
  </property>
  <property fmtid="{D5CDD505-2E9C-101B-9397-08002B2CF9AE}" pid="25" name="f2fb2a8e39404f1ab554e4e4a49d2918">
    <vt:lpwstr/>
  </property>
  <property fmtid="{D5CDD505-2E9C-101B-9397-08002B2CF9AE}" pid="26" name="BZDossierPublishingWOOCategory">
    <vt:lpwstr/>
  </property>
  <property fmtid="{D5CDD505-2E9C-101B-9397-08002B2CF9AE}" pid="27" name="i42ef48d5fa942a0ad0d60e44f201751">
    <vt:lpwstr/>
  </property>
  <property fmtid="{D5CDD505-2E9C-101B-9397-08002B2CF9AE}" pid="28" name="BZClassification">
    <vt:lpwstr>4;#UNCLASSIFIED (U)|284e6a62-15ab-4017-be27-a1e965f4e940</vt:lpwstr>
  </property>
  <property fmtid="{D5CDD505-2E9C-101B-9397-08002B2CF9AE}" pid="29" name="f8e003236e1c4ac2ab9051d5d8789bbb">
    <vt:lpwstr/>
  </property>
  <property fmtid="{D5CDD505-2E9C-101B-9397-08002B2CF9AE}" pid="30" name="p29721a54a5c4bbe9786e930fc91e270">
    <vt:lpwstr/>
  </property>
  <property fmtid="{D5CDD505-2E9C-101B-9397-08002B2CF9AE}" pid="31" name="ed9282a3f18446ec8c17c7829edf82dd">
    <vt:lpwstr/>
  </property>
  <property fmtid="{D5CDD505-2E9C-101B-9397-08002B2CF9AE}" pid="32" name="e256f556a7b748329ab47889947c7d40">
    <vt:lpwstr/>
  </property>
  <property fmtid="{D5CDD505-2E9C-101B-9397-08002B2CF9AE}" pid="33" name="BZDossierProcessType">
    <vt:lpwstr/>
  </property>
  <property fmtid="{D5CDD505-2E9C-101B-9397-08002B2CF9AE}" pid="34" name="BZDossierBudgetManager">
    <vt:lpwstr/>
  </property>
  <property fmtid="{D5CDD505-2E9C-101B-9397-08002B2CF9AE}" pid="35" name="BZDossierSendTo">
    <vt:lpwstr/>
  </property>
</Properties>
</file>