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050104" w:rsidTr="00315EC6" w14:paraId="5602E518" w14:textId="77777777">
        <w:trPr>
          <w:trHeight w:val="200"/>
        </w:trPr>
        <w:tc>
          <w:tcPr>
            <w:tcW w:w="2440" w:type="dxa"/>
            <w:tcBorders>
              <w:bottom w:val="dotted" w:color="000000" w:sz="6" w:space="0"/>
            </w:tcBorders>
          </w:tcPr>
          <w:p w:rsidR="00050104" w:rsidRDefault="00050104" w14:paraId="235CAF21" w14:textId="77777777"/>
        </w:tc>
        <w:tc>
          <w:tcPr>
            <w:tcW w:w="5240" w:type="dxa"/>
            <w:tcBorders>
              <w:bottom w:val="dotted" w:color="000000" w:sz="6" w:space="0"/>
            </w:tcBorders>
          </w:tcPr>
          <w:p w:rsidR="00050104" w:rsidRDefault="00050104" w14:paraId="35B759F5" w14:textId="77777777"/>
        </w:tc>
      </w:tr>
      <w:tr w:rsidRPr="00315EC6" w:rsidR="00050104" w:rsidTr="00315EC6" w14:paraId="37D956CB" w14:textId="77777777">
        <w:trPr>
          <w:trHeight w:val="200"/>
        </w:trPr>
        <w:tc>
          <w:tcPr>
            <w:tcW w:w="2440" w:type="dxa"/>
            <w:tcBorders>
              <w:top w:val="dotted" w:color="000000" w:sz="6" w:space="0"/>
            </w:tcBorders>
          </w:tcPr>
          <w:p w:rsidR="00050104" w:rsidRDefault="00050104" w14:paraId="481BA26F" w14:textId="77777777"/>
        </w:tc>
        <w:tc>
          <w:tcPr>
            <w:tcW w:w="5240" w:type="dxa"/>
            <w:tcBorders>
              <w:top w:val="dotted" w:color="000000" w:sz="6" w:space="0"/>
            </w:tcBorders>
          </w:tcPr>
          <w:p w:rsidR="00050104" w:rsidRDefault="00050104" w14:paraId="6733588F" w14:textId="77777777"/>
        </w:tc>
      </w:tr>
      <w:tr w:rsidR="00050104" w:rsidTr="00315EC6" w14:paraId="274378CC" w14:textId="77777777">
        <w:trPr>
          <w:trHeight w:val="240"/>
        </w:trPr>
        <w:tc>
          <w:tcPr>
            <w:tcW w:w="2440" w:type="dxa"/>
          </w:tcPr>
          <w:p w:rsidR="00050104" w:rsidRDefault="00682C11" w14:paraId="27E3725A" w14:textId="77777777">
            <w:pPr>
              <w:pStyle w:val="Referentiegegevens"/>
            </w:pPr>
            <w:r>
              <w:t>Bijlage nummer</w:t>
            </w:r>
          </w:p>
        </w:tc>
        <w:tc>
          <w:tcPr>
            <w:tcW w:w="5240" w:type="dxa"/>
          </w:tcPr>
          <w:p w:rsidR="00050104" w:rsidRDefault="00E30C69" w14:paraId="5BA6C0E8" w14:textId="75E3E6F7">
            <w:r>
              <w:t>2</w:t>
            </w:r>
          </w:p>
        </w:tc>
      </w:tr>
      <w:tr w:rsidR="00050104" w:rsidTr="00315EC6" w14:paraId="59B2D264" w14:textId="77777777">
        <w:trPr>
          <w:trHeight w:val="240"/>
        </w:trPr>
        <w:tc>
          <w:tcPr>
            <w:tcW w:w="2440" w:type="dxa"/>
          </w:tcPr>
          <w:p w:rsidR="00050104" w:rsidRDefault="00682C11" w14:paraId="627DEEE4" w14:textId="77777777">
            <w:pPr>
              <w:pStyle w:val="Referentiegegevens"/>
            </w:pPr>
            <w:r>
              <w:t>Horend bij</w:t>
            </w:r>
          </w:p>
        </w:tc>
        <w:tc>
          <w:tcPr>
            <w:tcW w:w="5240" w:type="dxa"/>
          </w:tcPr>
          <w:p w:rsidR="00050104" w:rsidRDefault="00682C11" w14:paraId="1442974B" w14:textId="77777777">
            <w:r>
              <w:t>Kamerbrief: Een professionele partner met eigenstandige taak in de publieke ruimte</w:t>
            </w:r>
          </w:p>
        </w:tc>
      </w:tr>
      <w:tr w:rsidR="00050104" w:rsidTr="00315EC6" w14:paraId="00D6A044" w14:textId="77777777">
        <w:trPr>
          <w:trHeight w:val="240"/>
        </w:trPr>
        <w:tc>
          <w:tcPr>
            <w:tcW w:w="2440" w:type="dxa"/>
          </w:tcPr>
          <w:p w:rsidR="00050104" w:rsidRDefault="00682C11" w14:paraId="3C3E1E5F" w14:textId="77777777">
            <w:pPr>
              <w:pStyle w:val="Referentiegegevens"/>
            </w:pPr>
            <w:r>
              <w:t>Datum</w:t>
            </w:r>
          </w:p>
        </w:tc>
        <w:tc>
          <w:tcPr>
            <w:tcW w:w="5240" w:type="dxa"/>
          </w:tcPr>
          <w:p w:rsidR="00050104" w:rsidRDefault="00682C11" w14:paraId="361FE666" w14:textId="77777777">
            <w:sdt>
              <w:sdtPr>
                <w:id w:val="1594510402"/>
                <w:date w:fullDate="2025-10-02T00:00:00Z">
                  <w:dateFormat w:val="d MMMM yyyy"/>
                  <w:lid w:val="nl"/>
                  <w:storeMappedDataAs w:val="dateTime"/>
                  <w:calendar w:val="gregorian"/>
                </w:date>
              </w:sdtPr>
              <w:sdtEndPr/>
              <w:sdtContent>
                <w:r>
                  <w:t>2 oktober 2025</w:t>
                </w:r>
              </w:sdtContent>
            </w:sdt>
          </w:p>
        </w:tc>
      </w:tr>
      <w:tr w:rsidR="00050104" w:rsidTr="00315EC6" w14:paraId="41231686" w14:textId="77777777">
        <w:trPr>
          <w:trHeight w:val="240"/>
        </w:trPr>
        <w:tc>
          <w:tcPr>
            <w:tcW w:w="2440" w:type="dxa"/>
          </w:tcPr>
          <w:p w:rsidR="00050104" w:rsidRDefault="00682C11" w14:paraId="44CEEF93" w14:textId="77777777">
            <w:pPr>
              <w:pStyle w:val="Referentiegegevens"/>
            </w:pPr>
            <w:r>
              <w:t>Onze referentie</w:t>
            </w:r>
          </w:p>
        </w:tc>
        <w:tc>
          <w:tcPr>
            <w:tcW w:w="5240" w:type="dxa"/>
          </w:tcPr>
          <w:p w:rsidR="00050104" w:rsidRDefault="00965D40" w14:paraId="51C9ADF3" w14:textId="0D5DA8DC">
            <w:r w:rsidRPr="00965D40">
              <w:t>6744493</w:t>
            </w:r>
          </w:p>
        </w:tc>
      </w:tr>
      <w:tr w:rsidR="00050104" w:rsidTr="00315EC6" w14:paraId="4CA982C9" w14:textId="77777777">
        <w:trPr>
          <w:trHeight w:val="200"/>
        </w:trPr>
        <w:tc>
          <w:tcPr>
            <w:tcW w:w="2440" w:type="dxa"/>
            <w:tcBorders>
              <w:bottom w:val="dotted" w:color="000000" w:sz="6" w:space="0"/>
            </w:tcBorders>
          </w:tcPr>
          <w:p w:rsidR="00050104" w:rsidRDefault="00050104" w14:paraId="2A2EFD97" w14:textId="77777777"/>
        </w:tc>
        <w:tc>
          <w:tcPr>
            <w:tcW w:w="5240" w:type="dxa"/>
            <w:tcBorders>
              <w:bottom w:val="dotted" w:color="000000" w:sz="6" w:space="0"/>
            </w:tcBorders>
          </w:tcPr>
          <w:p w:rsidR="00050104" w:rsidRDefault="00050104" w14:paraId="67C35BE6" w14:textId="77777777"/>
        </w:tc>
      </w:tr>
      <w:tr w:rsidR="00050104" w:rsidTr="00315EC6" w14:paraId="41DDD2A5" w14:textId="77777777">
        <w:trPr>
          <w:trHeight w:val="200"/>
        </w:trPr>
        <w:tc>
          <w:tcPr>
            <w:tcW w:w="2440" w:type="dxa"/>
          </w:tcPr>
          <w:p w:rsidR="00050104" w:rsidRDefault="00050104" w14:paraId="1E0B3901" w14:textId="77777777"/>
        </w:tc>
        <w:tc>
          <w:tcPr>
            <w:tcW w:w="5240" w:type="dxa"/>
          </w:tcPr>
          <w:p w:rsidR="00050104" w:rsidRDefault="00050104" w14:paraId="2F96A8FE" w14:textId="77777777"/>
        </w:tc>
      </w:tr>
    </w:tbl>
    <w:p w:rsidR="00050104" w:rsidRDefault="00050104" w14:paraId="75E6CA85" w14:textId="77777777">
      <w:pPr>
        <w:pStyle w:val="WitregelW1bodytekst"/>
      </w:pPr>
    </w:p>
    <w:p w:rsidRPr="00C92BD1" w:rsidR="00315EC6" w:rsidP="00315EC6" w:rsidRDefault="00315EC6" w14:paraId="3FDBC73D" w14:textId="77777777">
      <w:r w:rsidRPr="00C92BD1">
        <w:t xml:space="preserve">Hieronder wordt een overzicht gegeven van de voorgenomen wijzigingen, waarvan sommige aanpassing van wet- en regelgeving vereisen en andere in </w:t>
      </w:r>
      <w:r>
        <w:t xml:space="preserve">samenwerking </w:t>
      </w:r>
      <w:r w:rsidRPr="00C92BD1">
        <w:t xml:space="preserve">met de betrokken </w:t>
      </w:r>
      <w:r>
        <w:t>keten</w:t>
      </w:r>
      <w:r w:rsidRPr="00C92BD1">
        <w:t xml:space="preserve">partners verder </w:t>
      </w:r>
      <w:r>
        <w:t xml:space="preserve">moeten </w:t>
      </w:r>
      <w:r w:rsidRPr="00C92BD1">
        <w:t>worden uitgewerkt.</w:t>
      </w:r>
    </w:p>
    <w:p w:rsidR="00315EC6" w:rsidP="00315EC6" w:rsidRDefault="00315EC6" w14:paraId="6D774C25" w14:textId="77777777"/>
    <w:p w:rsidRPr="00E95E04" w:rsidR="00315EC6" w:rsidP="00315EC6" w:rsidRDefault="00315EC6" w14:paraId="14B1113E" w14:textId="0EE12BA4">
      <w:pPr>
        <w:pStyle w:val="Lijstalinea"/>
        <w:numPr>
          <w:ilvl w:val="0"/>
          <w:numId w:val="7"/>
        </w:numPr>
        <w:rPr>
          <w:szCs w:val="19"/>
        </w:rPr>
      </w:pPr>
      <w:r w:rsidRPr="00E95E04">
        <w:rPr>
          <w:szCs w:val="19"/>
        </w:rPr>
        <w:t>Er worden twee hoofddomeinen ingericht: 1) handhaving in de publieke ruimte en 2) handhaving van specialistische wetgeving.</w:t>
      </w:r>
      <w:r>
        <w:rPr>
          <w:szCs w:val="19"/>
        </w:rPr>
        <w:t xml:space="preserve"> </w:t>
      </w:r>
      <w:r>
        <w:t xml:space="preserve">De boa werkzaam in hoofddomein I </w:t>
      </w:r>
      <w:r w:rsidRPr="000774E3">
        <w:t xml:space="preserve">blijft buitengewoon opsporingsbevoegd op basis van een opsomming van </w:t>
      </w:r>
      <w:r>
        <w:t xml:space="preserve">strafbare </w:t>
      </w:r>
      <w:r w:rsidRPr="000774E3">
        <w:t>feiten waarbij handhavend kan worden opgetreden.</w:t>
      </w:r>
      <w:r>
        <w:t xml:space="preserve"> De huidige domeinlijsten </w:t>
      </w:r>
      <w:r w:rsidR="001B7971">
        <w:t xml:space="preserve">van de domeinen I, II en IV </w:t>
      </w:r>
      <w:r>
        <w:t xml:space="preserve">worden samengevoegd tot één domeinlijst. </w:t>
      </w:r>
      <w:r w:rsidRPr="00E95E04">
        <w:rPr>
          <w:szCs w:val="19"/>
        </w:rPr>
        <w:t xml:space="preserve">Aangezien de samenvoeging van deze domeinlijsten leidt tot een lange opsomming van wet- en regelgeving, zal naar een effectievere en duidelijkere formulering en opsomming worden gekeken. </w:t>
      </w:r>
      <w:r w:rsidRPr="00E30C69" w:rsidR="00E30C69">
        <w:rPr>
          <w:szCs w:val="19"/>
        </w:rPr>
        <w:t>Ook wordt in de uitwerking geïnventariseerd waar hiaten in de opsporingsbevoegdheden, passend bij de taak van de boa zoals hierboven beschreven, worden ervaren</w:t>
      </w:r>
      <w:r w:rsidRPr="00E95E04">
        <w:rPr>
          <w:szCs w:val="19"/>
        </w:rPr>
        <w:t xml:space="preserve">. Hiertoe loopt </w:t>
      </w:r>
      <w:r>
        <w:rPr>
          <w:szCs w:val="19"/>
        </w:rPr>
        <w:t>al</w:t>
      </w:r>
      <w:r w:rsidRPr="00E95E04">
        <w:rPr>
          <w:szCs w:val="19"/>
        </w:rPr>
        <w:t xml:space="preserve"> een inventarisatie</w:t>
      </w:r>
      <w:r w:rsidR="00E30C69">
        <w:rPr>
          <w:szCs w:val="19"/>
        </w:rPr>
        <w:t xml:space="preserve"> waarna eventuele toevoeging via het reguliere proces wordt besproken</w:t>
      </w:r>
      <w:r w:rsidRPr="00E95E04">
        <w:rPr>
          <w:szCs w:val="19"/>
        </w:rPr>
        <w:t>.</w:t>
      </w:r>
      <w:r>
        <w:rPr>
          <w:szCs w:val="19"/>
        </w:rPr>
        <w:t xml:space="preserve"> </w:t>
      </w:r>
    </w:p>
    <w:p w:rsidRPr="00FF5455" w:rsidR="00315EC6" w:rsidP="00315EC6" w:rsidRDefault="00315EC6" w14:paraId="67EF3D48" w14:textId="2C20254B">
      <w:pPr>
        <w:pStyle w:val="Lijstalinea"/>
        <w:numPr>
          <w:ilvl w:val="0"/>
          <w:numId w:val="7"/>
        </w:numPr>
        <w:rPr>
          <w:szCs w:val="19"/>
        </w:rPr>
      </w:pPr>
      <w:r w:rsidRPr="000774E3">
        <w:t xml:space="preserve">Op verzoek van de werkgever kan de standaarduitrusting, </w:t>
      </w:r>
      <w:r>
        <w:t>als</w:t>
      </w:r>
      <w:r w:rsidRPr="000774E3">
        <w:t xml:space="preserve"> zowel </w:t>
      </w:r>
      <w:r>
        <w:t xml:space="preserve">de </w:t>
      </w:r>
      <w:r w:rsidRPr="000774E3">
        <w:t>boa als werkgever aan de juiste eisen voldoen, worden uitgebreid</w:t>
      </w:r>
      <w:r>
        <w:t xml:space="preserve"> met (een selectie van) </w:t>
      </w:r>
      <w:r w:rsidRPr="000774E3">
        <w:t>een</w:t>
      </w:r>
      <w:r>
        <w:t xml:space="preserve"> </w:t>
      </w:r>
      <w:proofErr w:type="spellStart"/>
      <w:r>
        <w:t>bodycam</w:t>
      </w:r>
      <w:proofErr w:type="spellEnd"/>
      <w:r>
        <w:t xml:space="preserve">, steek- of kogelwerend vest, </w:t>
      </w:r>
      <w:r w:rsidRPr="000774E3">
        <w:t>korte wapenstok en pepperspray</w:t>
      </w:r>
      <w:r>
        <w:t>.</w:t>
      </w:r>
      <w:r w:rsidRPr="00FF5455">
        <w:t xml:space="preserve"> </w:t>
      </w:r>
      <w:r w:rsidR="00E30C69">
        <w:t xml:space="preserve">Voor boa’s met een ‘groen’ specialisme blijft onder strikte voorwaarden uitrusting met het vuurwapen mogelijk. </w:t>
      </w:r>
      <w:r w:rsidRPr="00472687">
        <w:t>De noodzaak</w:t>
      </w:r>
      <w:r>
        <w:t xml:space="preserve"> voor de uitrusting </w:t>
      </w:r>
      <w:r w:rsidRPr="00472687">
        <w:t xml:space="preserve">wordt verondersteld </w:t>
      </w:r>
      <w:r>
        <w:t xml:space="preserve">aanwezig te zijn </w:t>
      </w:r>
      <w:r w:rsidRPr="00472687">
        <w:t xml:space="preserve">op basis van de vastgelegde rol, taak en bevoegdheid van de boa. De rol van de toezichthouder en de direct toezichthouder met betrekking tot de advisering op aanvragen voor deze </w:t>
      </w:r>
      <w:r>
        <w:t>geweldmiddelen</w:t>
      </w:r>
      <w:r w:rsidRPr="00472687">
        <w:t xml:space="preserve"> komt daarmee</w:t>
      </w:r>
      <w:r w:rsidR="00E30C69">
        <w:t xml:space="preserve"> in het nieuwe stelsel</w:t>
      </w:r>
      <w:r w:rsidRPr="00472687">
        <w:t xml:space="preserve"> te vervallen.</w:t>
      </w:r>
      <w:r w:rsidR="00E30C69">
        <w:t xml:space="preserve"> Vooruitlopend worden als eerste stap de beleidsregels aangepast.</w:t>
      </w:r>
    </w:p>
    <w:p w:rsidRPr="00FF5455" w:rsidR="00315EC6" w:rsidP="00315EC6" w:rsidRDefault="00315EC6" w14:paraId="600ED11D" w14:textId="32527A44">
      <w:pPr>
        <w:pStyle w:val="Lijstalinea"/>
        <w:numPr>
          <w:ilvl w:val="0"/>
          <w:numId w:val="7"/>
        </w:numPr>
        <w:rPr>
          <w:szCs w:val="19"/>
        </w:rPr>
      </w:pPr>
      <w:r>
        <w:t>De formulering van het opsporingsgebied wordt in de wet- en regelgeving in lijn gebracht met die van de politie en andere opsporingsambtenaren, en wordt landelijk gemaakt.</w:t>
      </w:r>
      <w:r w:rsidR="00E30C69">
        <w:t xml:space="preserve"> Hiervoor is aanpassing van wet- of regelgeving nodig.</w:t>
      </w:r>
    </w:p>
    <w:p w:rsidRPr="00FF5455" w:rsidR="00315EC6" w:rsidP="00315EC6" w:rsidRDefault="00315EC6" w14:paraId="33793D32" w14:textId="428D4E8E">
      <w:pPr>
        <w:pStyle w:val="Lijstalinea"/>
        <w:numPr>
          <w:ilvl w:val="0"/>
          <w:numId w:val="7"/>
        </w:numPr>
        <w:rPr>
          <w:szCs w:val="19"/>
        </w:rPr>
      </w:pPr>
      <w:r w:rsidRPr="0068643E">
        <w:t xml:space="preserve">In het nieuwe boa-bestel wordt </w:t>
      </w:r>
      <w:r>
        <w:t>de akte</w:t>
      </w:r>
      <w:r w:rsidRPr="0068643E">
        <w:t xml:space="preserve"> (automatisch) verlengd, </w:t>
      </w:r>
      <w:r>
        <w:t>als</w:t>
      </w:r>
      <w:r w:rsidRPr="0068643E">
        <w:t xml:space="preserve"> de boa blijft voldoen aan de betrouwbaarheids- en integriteitseisen en eisen rondom permanente her- en bijscholing.</w:t>
      </w:r>
      <w:r>
        <w:t xml:space="preserve"> Uitgewerkt wordt hoe het proces aangepast kan worden, zodat de administratieve last voor de werkgever wordt </w:t>
      </w:r>
      <w:r>
        <w:lastRenderedPageBreak/>
        <w:t>verminderd</w:t>
      </w:r>
      <w:r w:rsidR="00E30C69">
        <w:t xml:space="preserve"> en het proces ook voor </w:t>
      </w:r>
      <w:proofErr w:type="spellStart"/>
      <w:r w:rsidR="00E30C69">
        <w:t>Justis</w:t>
      </w:r>
      <w:proofErr w:type="spellEnd"/>
      <w:r w:rsidR="00E30C69">
        <w:t xml:space="preserve"> uitvoerbaar blijft,</w:t>
      </w:r>
      <w:r>
        <w:t xml:space="preserve"> zonder dat wordt ingeboet op de controle van de bekwaam- en betrouwbaarheid</w:t>
      </w:r>
      <w:r w:rsidR="00E30C69">
        <w:t>.</w:t>
      </w:r>
    </w:p>
    <w:p w:rsidRPr="00FF5455" w:rsidR="00315EC6" w:rsidP="00315EC6" w:rsidRDefault="00315EC6" w14:paraId="4D2D8413" w14:textId="468A4EA4">
      <w:pPr>
        <w:pStyle w:val="Lijstalinea"/>
        <w:numPr>
          <w:ilvl w:val="0"/>
          <w:numId w:val="7"/>
        </w:numPr>
        <w:rPr>
          <w:szCs w:val="19"/>
        </w:rPr>
      </w:pPr>
      <w:r>
        <w:t xml:space="preserve">Om het mogelijk te maken dat een boa zelf de identiteit van een persoon kan vaststellen en zo zijn taak adequaat kan uitvoeren, wordt toegang tot en het mogen gebruiken van het rijbewijzen- en het kentekenregister gerealiseerd. </w:t>
      </w:r>
      <w:r w:rsidRPr="00E30C69" w:rsidR="00E30C69">
        <w:t>Daarnaast wordt in afstemming met het Ministerie van Asiel en Migratie en de Justitiële Informatiedienst nu verkend of, en onder welke voorwaarden, toegang tot de Basis Voorziening Vreemdelingen (BVV) en de Strafrechtketendatabank (SKDB) voor de boa mogelijk is. Uw Kamer wordt voor het einde van 2025 over de stand van zaken van deze verkenningen geïnformeerd.</w:t>
      </w:r>
    </w:p>
    <w:p w:rsidR="00315EC6" w:rsidP="00315EC6" w:rsidRDefault="00315EC6" w14:paraId="6630AFBB" w14:textId="77777777">
      <w:pPr>
        <w:pStyle w:val="Lijstalinea"/>
        <w:numPr>
          <w:ilvl w:val="0"/>
          <w:numId w:val="7"/>
        </w:numPr>
        <w:rPr>
          <w:szCs w:val="19"/>
        </w:rPr>
      </w:pPr>
      <w:r w:rsidRPr="00FF5455">
        <w:rPr>
          <w:szCs w:val="19"/>
        </w:rPr>
        <w:t>D</w:t>
      </w:r>
      <w:r>
        <w:rPr>
          <w:szCs w:val="19"/>
        </w:rPr>
        <w:t xml:space="preserve">e </w:t>
      </w:r>
      <w:r w:rsidRPr="00FF5455">
        <w:rPr>
          <w:szCs w:val="19"/>
        </w:rPr>
        <w:t>verantwoordelijkheden van werkgevers</w:t>
      </w:r>
      <w:r>
        <w:rPr>
          <w:szCs w:val="19"/>
        </w:rPr>
        <w:t xml:space="preserve"> worden uitgebreid</w:t>
      </w:r>
      <w:r w:rsidRPr="00FF5455">
        <w:rPr>
          <w:szCs w:val="19"/>
        </w:rPr>
        <w:t xml:space="preserve">, vooral op het gebied van: kwaliteitsborging, ethiek, verantwoording en zelfregulering. De aanscherping in de eisen </w:t>
      </w:r>
      <w:r>
        <w:rPr>
          <w:szCs w:val="19"/>
        </w:rPr>
        <w:t xml:space="preserve">zal </w:t>
      </w:r>
      <w:r w:rsidRPr="00FF5455">
        <w:rPr>
          <w:szCs w:val="19"/>
        </w:rPr>
        <w:t xml:space="preserve">in wet- en regelgeving </w:t>
      </w:r>
      <w:r>
        <w:rPr>
          <w:szCs w:val="19"/>
        </w:rPr>
        <w:t xml:space="preserve">worden verankerd. </w:t>
      </w:r>
    </w:p>
    <w:p w:rsidRPr="00FF5455" w:rsidR="00315EC6" w:rsidP="00315EC6" w:rsidRDefault="00315EC6" w14:paraId="74D2892C" w14:textId="4D207302">
      <w:pPr>
        <w:pStyle w:val="Lijstalinea"/>
        <w:numPr>
          <w:ilvl w:val="0"/>
          <w:numId w:val="7"/>
        </w:numPr>
        <w:rPr>
          <w:szCs w:val="19"/>
        </w:rPr>
      </w:pPr>
      <w:r w:rsidRPr="000774E3">
        <w:t xml:space="preserve">De huidige betrouwbaarheidseisen (VOG-P) blijven </w:t>
      </w:r>
      <w:r>
        <w:t xml:space="preserve">minimaal </w:t>
      </w:r>
      <w:r w:rsidRPr="000774E3">
        <w:t>gelijk</w:t>
      </w:r>
      <w:r>
        <w:t xml:space="preserve"> en in het nieuwe bestel wordt gewerkt </w:t>
      </w:r>
      <w:r w:rsidR="006D54B2">
        <w:t>aan</w:t>
      </w:r>
      <w:r>
        <w:t xml:space="preserve"> </w:t>
      </w:r>
      <w:r w:rsidRPr="000774E3">
        <w:t>continue screening</w:t>
      </w:r>
      <w:r>
        <w:t>.</w:t>
      </w:r>
      <w:r w:rsidRPr="00941EA9">
        <w:t xml:space="preserve"> </w:t>
      </w:r>
      <w:r w:rsidR="006D54B2">
        <w:t>De voor- en nadelen van de opties daarbinnen worden verder uitgewerkt waarna een keuze zal worden gemaakt voor het nieuwe stelsel.</w:t>
      </w:r>
    </w:p>
    <w:p w:rsidRPr="006D54B2" w:rsidR="006D54B2" w:rsidP="00315EC6" w:rsidRDefault="006D54B2" w14:paraId="68C4BBE7" w14:textId="36434391">
      <w:pPr>
        <w:pStyle w:val="Lijstalinea"/>
        <w:numPr>
          <w:ilvl w:val="0"/>
          <w:numId w:val="7"/>
        </w:numPr>
        <w:rPr>
          <w:szCs w:val="19"/>
        </w:rPr>
      </w:pPr>
      <w:r>
        <w:rPr>
          <w:szCs w:val="19"/>
        </w:rPr>
        <w:t>Het opleidings- en examenstelsel wordt aangepast:</w:t>
      </w:r>
    </w:p>
    <w:p w:rsidRPr="00285657" w:rsidR="00315EC6" w:rsidP="006D54B2" w:rsidRDefault="006D54B2" w14:paraId="4BE560EF" w14:textId="13E58FA7">
      <w:pPr>
        <w:pStyle w:val="Lijstalinea"/>
        <w:numPr>
          <w:ilvl w:val="1"/>
          <w:numId w:val="7"/>
        </w:numPr>
        <w:rPr>
          <w:szCs w:val="19"/>
        </w:rPr>
      </w:pPr>
      <w:r w:rsidRPr="006D54B2">
        <w:t>De focus vanuit het departement op de te behalen exameneisen wordt gehandhaafd, maar vanuit de verantwoordelijkheid voor het boa-bestel en op basis van ontvangen signalen uit het veld zullen ook eisen worden gesteld aan de opleidingen om deze te verbeteren en te verbreden.</w:t>
      </w:r>
      <w:r>
        <w:t xml:space="preserve"> </w:t>
      </w:r>
    </w:p>
    <w:p w:rsidRPr="006D54B2" w:rsidR="006D54B2" w:rsidP="006D54B2" w:rsidRDefault="00315EC6" w14:paraId="58148274" w14:textId="77777777">
      <w:pPr>
        <w:pStyle w:val="Lijstalinea"/>
        <w:numPr>
          <w:ilvl w:val="1"/>
          <w:numId w:val="7"/>
        </w:numPr>
        <w:rPr>
          <w:szCs w:val="19"/>
        </w:rPr>
      </w:pPr>
      <w:r>
        <w:t xml:space="preserve">Het stelsel voor permanente her- en bijscholing zal worden herzien. Er komt een puntensysteem zoals bij andere beroepsgroepen gebruikelijk is en waarbij iedere boa jaarlijks een minimaal aantal punten moet halen bij gecertificeerde/geaccrediteerde opleidingen. </w:t>
      </w:r>
    </w:p>
    <w:p w:rsidRPr="006D54B2" w:rsidR="00315EC6" w:rsidP="006D54B2" w:rsidRDefault="00315EC6" w14:paraId="39C485B8" w14:textId="5A6D613B">
      <w:pPr>
        <w:ind w:left="360"/>
        <w:rPr>
          <w:szCs w:val="19"/>
        </w:rPr>
      </w:pPr>
      <w:r>
        <w:t>D</w:t>
      </w:r>
      <w:r w:rsidR="006D54B2">
        <w:t xml:space="preserve">eze aanpassingen </w:t>
      </w:r>
      <w:r>
        <w:t>word</w:t>
      </w:r>
      <w:r w:rsidR="006D54B2">
        <w:t>en</w:t>
      </w:r>
      <w:r>
        <w:t xml:space="preserve"> de komende periode uitgewerkt</w:t>
      </w:r>
      <w:r w:rsidR="006D54B2">
        <w:t xml:space="preserve"> voor inwerkingtreding met het nieuwe stelsel</w:t>
      </w:r>
      <w:r>
        <w:t>.</w:t>
      </w:r>
    </w:p>
    <w:p w:rsidRPr="00285657" w:rsidR="006D54B2" w:rsidP="006D54B2" w:rsidRDefault="006D54B2" w14:paraId="2C6AAFC3" w14:textId="23927069">
      <w:pPr>
        <w:pStyle w:val="Lijstalinea"/>
        <w:numPr>
          <w:ilvl w:val="0"/>
          <w:numId w:val="7"/>
        </w:numPr>
        <w:rPr>
          <w:szCs w:val="19"/>
        </w:rPr>
      </w:pPr>
      <w:r w:rsidRPr="000774E3">
        <w:t xml:space="preserve">Gelet op de fysieke en psychische zwaarte van de opsporingsfunctie in combinatie met de uitrusting worden </w:t>
      </w:r>
      <w:r>
        <w:t xml:space="preserve">ook </w:t>
      </w:r>
      <w:r w:rsidRPr="000774E3">
        <w:t xml:space="preserve">minimale vereisten op </w:t>
      </w:r>
      <w:r>
        <w:t xml:space="preserve">het </w:t>
      </w:r>
      <w:r w:rsidRPr="000774E3">
        <w:t>vlak van fysieke en psychische gesteldheid ingesteld.</w:t>
      </w:r>
      <w:r w:rsidR="009C5F08">
        <w:t xml:space="preserve"> Deze worden samen met de werkgevers verder uitgewerkt.</w:t>
      </w:r>
    </w:p>
    <w:p w:rsidRPr="00941EA9" w:rsidR="00315EC6" w:rsidP="00315EC6" w:rsidRDefault="00315EC6" w14:paraId="2433A192" w14:textId="77777777">
      <w:pPr>
        <w:pStyle w:val="Lijstalinea"/>
        <w:numPr>
          <w:ilvl w:val="0"/>
          <w:numId w:val="7"/>
        </w:numPr>
        <w:rPr>
          <w:szCs w:val="19"/>
        </w:rPr>
      </w:pPr>
      <w:r>
        <w:t>Het toezichtstelsel wordt aangepast. De rol van politie en OM als (direct) toezichthouder verdwijnt. Het toezicht wordt hervormd naar een gelaagd model, waarin de werkgever zelf intern toezicht voert, de branche intercollegiale toetsing ontwikkelt onder andere door het oprichten van één boa-beroepsorganisatie en het Rijk systeemtoezicht uitoefent. Dit nieuwe toezichtmodel zal de komende periode nader worden uitgewerkt.</w:t>
      </w:r>
    </w:p>
    <w:p w:rsidRPr="00E95E04" w:rsidR="00315EC6" w:rsidP="00315EC6" w:rsidRDefault="00315EC6" w14:paraId="6BCA1389" w14:textId="0469197F">
      <w:pPr>
        <w:pStyle w:val="Lijstalinea"/>
        <w:numPr>
          <w:ilvl w:val="0"/>
          <w:numId w:val="7"/>
        </w:numPr>
      </w:pPr>
      <w:r>
        <w:t xml:space="preserve">Hoewel </w:t>
      </w:r>
      <w:r w:rsidRPr="00B55D8E">
        <w:t xml:space="preserve">domeinen III, V en VI en het grijze spoor van domein II </w:t>
      </w:r>
      <w:r>
        <w:t xml:space="preserve">niet onder de scope van de diepgaande beschouwing vallen, </w:t>
      </w:r>
      <w:r w:rsidRPr="00EF560D" w:rsidR="00EF560D">
        <w:t>zullen bepaalde elementen in de brief ook van toepassing zijn op de boa’s buiten hoofddomein I</w:t>
      </w:r>
      <w:r w:rsidR="00EF560D">
        <w:t>. Dit</w:t>
      </w:r>
      <w:r w:rsidRPr="00EF560D" w:rsidR="00EF560D">
        <w:t xml:space="preserve"> aangezien bijvoorbeeld het toezicht uniform voor alle boa’s geregeld moet worden en wijzigingen in aktes of examinering ook relevant kunnen zijn voor boa’s in de overige domeinen.</w:t>
      </w:r>
      <w:r w:rsidR="00EF560D">
        <w:t xml:space="preserve"> Dit wordt voor de invoering van het nieuwe stelsel verder gespecificeerd.</w:t>
      </w:r>
    </w:p>
    <w:p w:rsidR="00050104" w:rsidRDefault="00050104" w14:paraId="055D0915" w14:textId="77777777"/>
    <w:sectPr w:rsidR="00050104">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A5DA" w14:textId="77777777" w:rsidR="00926EBE" w:rsidRDefault="00926EBE">
      <w:pPr>
        <w:spacing w:line="240" w:lineRule="auto"/>
      </w:pPr>
      <w:r>
        <w:separator/>
      </w:r>
    </w:p>
  </w:endnote>
  <w:endnote w:type="continuationSeparator" w:id="0">
    <w:p w14:paraId="0351BD31" w14:textId="77777777" w:rsidR="00926EBE" w:rsidRDefault="00926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1A3C" w14:textId="77777777" w:rsidR="00926EBE" w:rsidRDefault="00926EBE">
      <w:pPr>
        <w:spacing w:line="240" w:lineRule="auto"/>
      </w:pPr>
      <w:r>
        <w:separator/>
      </w:r>
    </w:p>
  </w:footnote>
  <w:footnote w:type="continuationSeparator" w:id="0">
    <w:p w14:paraId="3F30AE29" w14:textId="77777777" w:rsidR="00926EBE" w:rsidRDefault="00926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B6" w14:textId="77777777" w:rsidR="00050104" w:rsidRDefault="00682C11">
    <w:r>
      <w:rPr>
        <w:noProof/>
      </w:rPr>
      <mc:AlternateContent>
        <mc:Choice Requires="wps">
          <w:drawing>
            <wp:anchor distT="0" distB="0" distL="0" distR="0" simplePos="0" relativeHeight="251652096" behindDoc="0" locked="1" layoutInCell="1" allowOverlap="1" wp14:anchorId="32F03537" wp14:editId="4436487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BBD5DA" w14:textId="77777777" w:rsidR="00050104" w:rsidRDefault="00682C11">
                          <w:pPr>
                            <w:pStyle w:val="Referentiegegevensbold"/>
                          </w:pPr>
                          <w:r>
                            <w:t>Directoraat-Generaal Politie en Veiligheidsregio's</w:t>
                          </w:r>
                        </w:p>
                        <w:p w14:paraId="4D07F52B" w14:textId="77777777" w:rsidR="00050104" w:rsidRDefault="00682C11">
                          <w:pPr>
                            <w:pStyle w:val="Referentiegegevens"/>
                          </w:pPr>
                          <w:r>
                            <w:t>Portefeuille Politieel Beleid en Taakuitvoering</w:t>
                          </w:r>
                        </w:p>
                        <w:p w14:paraId="45555EE4" w14:textId="77777777" w:rsidR="00050104" w:rsidRDefault="00682C11">
                          <w:pPr>
                            <w:pStyle w:val="Referentiegegevens"/>
                          </w:pPr>
                          <w:r>
                            <w:t>Politiebestel, Bevoegdheden en Informatiefunctie</w:t>
                          </w:r>
                        </w:p>
                        <w:p w14:paraId="77263CB9" w14:textId="77777777" w:rsidR="00050104" w:rsidRDefault="00050104">
                          <w:pPr>
                            <w:pStyle w:val="WitregelW2"/>
                          </w:pPr>
                        </w:p>
                        <w:p w14:paraId="10F474A1" w14:textId="77777777" w:rsidR="00050104" w:rsidRDefault="00682C11">
                          <w:pPr>
                            <w:pStyle w:val="Referentiegegevensbold"/>
                          </w:pPr>
                          <w:r>
                            <w:t>Datum</w:t>
                          </w:r>
                        </w:p>
                        <w:p w14:paraId="0D2AFBDD" w14:textId="77777777" w:rsidR="00050104" w:rsidRDefault="00682C11">
                          <w:pPr>
                            <w:pStyle w:val="Referentiegegevens"/>
                          </w:pPr>
                          <w:sdt>
                            <w:sdtPr>
                              <w:id w:val="-1651906018"/>
                              <w:date w:fullDate="2025-10-02T00:00:00Z">
                                <w:dateFormat w:val="d MMMM yyyy"/>
                                <w:lid w:val="nl"/>
                                <w:storeMappedDataAs w:val="dateTime"/>
                                <w:calendar w:val="gregorian"/>
                              </w:date>
                            </w:sdtPr>
                            <w:sdtEndPr/>
                            <w:sdtContent>
                              <w:r>
                                <w:t>2 oktober 2025</w:t>
                              </w:r>
                            </w:sdtContent>
                          </w:sdt>
                        </w:p>
                        <w:p w14:paraId="450D09AD" w14:textId="77777777" w:rsidR="00050104" w:rsidRDefault="00050104">
                          <w:pPr>
                            <w:pStyle w:val="WitregelW1"/>
                          </w:pPr>
                        </w:p>
                        <w:p w14:paraId="20391B20" w14:textId="77777777" w:rsidR="00050104" w:rsidRDefault="00682C11">
                          <w:pPr>
                            <w:pStyle w:val="Referentiegegevensbold"/>
                          </w:pPr>
                          <w:r>
                            <w:t>Onze referentie</w:t>
                          </w:r>
                        </w:p>
                        <w:p w14:paraId="49D255F8" w14:textId="65BE7BD5" w:rsidR="00050104" w:rsidRDefault="00864CA9" w:rsidP="00864CA9">
                          <w:pPr>
                            <w:pStyle w:val="Referentiegegevens"/>
                          </w:pPr>
                          <w:r w:rsidRPr="00965D40">
                            <w:t>6744493</w:t>
                          </w:r>
                        </w:p>
                      </w:txbxContent>
                    </wps:txbx>
                    <wps:bodyPr vert="horz" wrap="square" lIns="0" tIns="0" rIns="0" bIns="0" anchor="t" anchorCtr="0"/>
                  </wps:wsp>
                </a:graphicData>
              </a:graphic>
            </wp:anchor>
          </w:drawing>
        </mc:Choice>
        <mc:Fallback>
          <w:pict>
            <v:shapetype w14:anchorId="32F0353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BBD5DA" w14:textId="77777777" w:rsidR="00050104" w:rsidRDefault="00000000">
                    <w:pPr>
                      <w:pStyle w:val="Referentiegegevensbold"/>
                    </w:pPr>
                    <w:r>
                      <w:t>Directoraat-Generaal Politie en Veiligheidsregio's</w:t>
                    </w:r>
                  </w:p>
                  <w:p w14:paraId="4D07F52B" w14:textId="77777777" w:rsidR="00050104" w:rsidRDefault="00000000">
                    <w:pPr>
                      <w:pStyle w:val="Referentiegegevens"/>
                    </w:pPr>
                    <w:r>
                      <w:t>Portefeuille Politieel Beleid en Taakuitvoering</w:t>
                    </w:r>
                  </w:p>
                  <w:p w14:paraId="45555EE4" w14:textId="77777777" w:rsidR="00050104" w:rsidRDefault="00000000">
                    <w:pPr>
                      <w:pStyle w:val="Referentiegegevens"/>
                    </w:pPr>
                    <w:r>
                      <w:t>Politiebestel, Bevoegdheden en Informatiefunctie</w:t>
                    </w:r>
                  </w:p>
                  <w:p w14:paraId="77263CB9" w14:textId="77777777" w:rsidR="00050104" w:rsidRDefault="00050104">
                    <w:pPr>
                      <w:pStyle w:val="WitregelW2"/>
                    </w:pPr>
                  </w:p>
                  <w:p w14:paraId="10F474A1" w14:textId="77777777" w:rsidR="00050104" w:rsidRDefault="00000000">
                    <w:pPr>
                      <w:pStyle w:val="Referentiegegevensbold"/>
                    </w:pPr>
                    <w:r>
                      <w:t>Datum</w:t>
                    </w:r>
                  </w:p>
                  <w:p w14:paraId="0D2AFBDD" w14:textId="77777777" w:rsidR="00050104" w:rsidRDefault="00000000">
                    <w:pPr>
                      <w:pStyle w:val="Referentiegegevens"/>
                    </w:pPr>
                    <w:sdt>
                      <w:sdtPr>
                        <w:id w:val="-1651906018"/>
                        <w:date w:fullDate="2025-10-02T00:00:00Z">
                          <w:dateFormat w:val="d MMMM yyyy"/>
                          <w:lid w:val="nl"/>
                          <w:storeMappedDataAs w:val="dateTime"/>
                          <w:calendar w:val="gregorian"/>
                        </w:date>
                      </w:sdtPr>
                      <w:sdtContent>
                        <w:r>
                          <w:t>2 oktober 2025</w:t>
                        </w:r>
                      </w:sdtContent>
                    </w:sdt>
                  </w:p>
                  <w:p w14:paraId="450D09AD" w14:textId="77777777" w:rsidR="00050104" w:rsidRDefault="00050104">
                    <w:pPr>
                      <w:pStyle w:val="WitregelW1"/>
                    </w:pPr>
                  </w:p>
                  <w:p w14:paraId="20391B20" w14:textId="77777777" w:rsidR="00050104" w:rsidRDefault="00000000">
                    <w:pPr>
                      <w:pStyle w:val="Referentiegegevensbold"/>
                    </w:pPr>
                    <w:r>
                      <w:t>Onze referentie</w:t>
                    </w:r>
                  </w:p>
                  <w:p w14:paraId="49D255F8" w14:textId="65BE7BD5" w:rsidR="00050104" w:rsidRDefault="00864CA9" w:rsidP="00864CA9">
                    <w:pPr>
                      <w:pStyle w:val="Referentiegegevens"/>
                    </w:pPr>
                    <w:r w:rsidRPr="00965D40">
                      <w:t>6744493</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879E27" wp14:editId="7ACB2797">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1E47FD0" w14:textId="77777777" w:rsidR="00902CD6" w:rsidRDefault="00902CD6"/>
                      </w:txbxContent>
                    </wps:txbx>
                    <wps:bodyPr vert="horz" wrap="square" lIns="0" tIns="0" rIns="0" bIns="0" anchor="t" anchorCtr="0"/>
                  </wps:wsp>
                </a:graphicData>
              </a:graphic>
            </wp:anchor>
          </w:drawing>
        </mc:Choice>
        <mc:Fallback>
          <w:pict>
            <v:shape w14:anchorId="71879E2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1E47FD0" w14:textId="77777777" w:rsidR="00902CD6" w:rsidRDefault="00902CD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EBABB92" wp14:editId="3CBAC9A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AADDAA" w14:textId="57E48FB8" w:rsidR="00050104" w:rsidRDefault="00682C11">
                          <w:pPr>
                            <w:pStyle w:val="Referentiegegevens"/>
                          </w:pPr>
                          <w:r>
                            <w:t xml:space="preserve">Pagina </w:t>
                          </w:r>
                          <w:r>
                            <w:fldChar w:fldCharType="begin"/>
                          </w:r>
                          <w:r>
                            <w:instrText>PAGE</w:instrText>
                          </w:r>
                          <w:r>
                            <w:fldChar w:fldCharType="separate"/>
                          </w:r>
                          <w:r w:rsidR="00315EC6">
                            <w:rPr>
                              <w:noProof/>
                            </w:rPr>
                            <w:t>2</w:t>
                          </w:r>
                          <w:r>
                            <w:fldChar w:fldCharType="end"/>
                          </w:r>
                          <w:r>
                            <w:t xml:space="preserve"> van </w:t>
                          </w:r>
                          <w:r>
                            <w:fldChar w:fldCharType="begin"/>
                          </w:r>
                          <w:r>
                            <w:instrText>NUMPAGES</w:instrText>
                          </w:r>
                          <w:r>
                            <w:fldChar w:fldCharType="separate"/>
                          </w:r>
                          <w:r w:rsidR="00315EC6">
                            <w:rPr>
                              <w:noProof/>
                            </w:rPr>
                            <w:t>1</w:t>
                          </w:r>
                          <w:r>
                            <w:fldChar w:fldCharType="end"/>
                          </w:r>
                        </w:p>
                      </w:txbxContent>
                    </wps:txbx>
                    <wps:bodyPr vert="horz" wrap="square" lIns="0" tIns="0" rIns="0" bIns="0" anchor="t" anchorCtr="0"/>
                  </wps:wsp>
                </a:graphicData>
              </a:graphic>
            </wp:anchor>
          </w:drawing>
        </mc:Choice>
        <mc:Fallback>
          <w:pict>
            <v:shape w14:anchorId="5EBABB92"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AADDAA" w14:textId="57E48FB8" w:rsidR="00050104" w:rsidRDefault="00000000">
                    <w:pPr>
                      <w:pStyle w:val="Referentiegegevens"/>
                    </w:pPr>
                    <w:r>
                      <w:t xml:space="preserve">Pagina </w:t>
                    </w:r>
                    <w:r>
                      <w:fldChar w:fldCharType="begin"/>
                    </w:r>
                    <w:r>
                      <w:instrText>PAGE</w:instrText>
                    </w:r>
                    <w:r>
                      <w:fldChar w:fldCharType="separate"/>
                    </w:r>
                    <w:r w:rsidR="00315EC6">
                      <w:rPr>
                        <w:noProof/>
                      </w:rPr>
                      <w:t>2</w:t>
                    </w:r>
                    <w:r>
                      <w:fldChar w:fldCharType="end"/>
                    </w:r>
                    <w:r>
                      <w:t xml:space="preserve"> van </w:t>
                    </w:r>
                    <w:r>
                      <w:fldChar w:fldCharType="begin"/>
                    </w:r>
                    <w:r>
                      <w:instrText>NUMPAGES</w:instrText>
                    </w:r>
                    <w:r>
                      <w:fldChar w:fldCharType="separate"/>
                    </w:r>
                    <w:r w:rsidR="00315E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D6B793" wp14:editId="1C4D6D2D">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7D69915" w14:textId="77777777" w:rsidR="00902CD6" w:rsidRDefault="00902CD6"/>
                      </w:txbxContent>
                    </wps:txbx>
                    <wps:bodyPr vert="horz" wrap="square" lIns="0" tIns="0" rIns="0" bIns="0" anchor="t" anchorCtr="0"/>
                  </wps:wsp>
                </a:graphicData>
              </a:graphic>
            </wp:anchor>
          </w:drawing>
        </mc:Choice>
        <mc:Fallback>
          <w:pict>
            <v:shape w14:anchorId="64D6B793"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07D69915" w14:textId="77777777" w:rsidR="00902CD6" w:rsidRDefault="00902CD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A3C3" w14:textId="77777777" w:rsidR="00050104" w:rsidRDefault="00682C11">
    <w:pPr>
      <w:spacing w:after="4835" w:line="14" w:lineRule="exact"/>
    </w:pPr>
    <w:r>
      <w:rPr>
        <w:noProof/>
      </w:rPr>
      <mc:AlternateContent>
        <mc:Choice Requires="wps">
          <w:drawing>
            <wp:anchor distT="0" distB="0" distL="0" distR="0" simplePos="0" relativeHeight="251656192" behindDoc="0" locked="1" layoutInCell="1" allowOverlap="1" wp14:anchorId="61622AF7" wp14:editId="0E173AD9">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069E7D71" w14:textId="77777777" w:rsidR="00902CD6" w:rsidRDefault="00902CD6"/>
                      </w:txbxContent>
                    </wps:txbx>
                    <wps:bodyPr vert="horz" wrap="square" lIns="0" tIns="0" rIns="0" bIns="0" anchor="t" anchorCtr="0"/>
                  </wps:wsp>
                </a:graphicData>
              </a:graphic>
            </wp:anchor>
          </w:drawing>
        </mc:Choice>
        <mc:Fallback>
          <w:pict>
            <v:shapetype w14:anchorId="61622AF7"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069E7D71" w14:textId="77777777" w:rsidR="00902CD6" w:rsidRDefault="00902CD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C3946A3" wp14:editId="2C57B0B6">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54285A83" w14:textId="77777777" w:rsidR="00050104" w:rsidRDefault="00682C11">
                          <w:r>
                            <w:t>Uitvoeringsagenda</w:t>
                          </w:r>
                        </w:p>
                      </w:txbxContent>
                    </wps:txbx>
                    <wps:bodyPr vert="horz" wrap="square" lIns="0" tIns="0" rIns="0" bIns="0" anchor="t" anchorCtr="0"/>
                  </wps:wsp>
                </a:graphicData>
              </a:graphic>
            </wp:anchor>
          </w:drawing>
        </mc:Choice>
        <mc:Fallback>
          <w:pict>
            <v:shape w14:anchorId="2C3946A3"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54285A83" w14:textId="77777777" w:rsidR="00050104" w:rsidRDefault="00000000">
                    <w:r>
                      <w:t>Uitvoeringsagenda</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22F342" wp14:editId="46DB0D35">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49834" w14:textId="77777777" w:rsidR="00050104" w:rsidRDefault="00682C11">
                          <w:pPr>
                            <w:pStyle w:val="Referentiegegevensbold"/>
                          </w:pPr>
                          <w:r>
                            <w:t>Directoraat-Generaal Politie en Veiligheidsregio's</w:t>
                          </w:r>
                        </w:p>
                        <w:p w14:paraId="585FECFD" w14:textId="77777777" w:rsidR="00050104" w:rsidRDefault="00682C11">
                          <w:pPr>
                            <w:pStyle w:val="Referentiegegevens"/>
                          </w:pPr>
                          <w:r>
                            <w:t>Portefeuille Politieel Beleid en Taakuitvoering</w:t>
                          </w:r>
                        </w:p>
                        <w:p w14:paraId="7313878A" w14:textId="77777777" w:rsidR="00050104" w:rsidRDefault="00682C11">
                          <w:pPr>
                            <w:pStyle w:val="Referentiegegevens"/>
                          </w:pPr>
                          <w:r>
                            <w:t>Politiebestel, Bevoegdheden en Informatiefunctie</w:t>
                          </w:r>
                        </w:p>
                        <w:p w14:paraId="4F43ACF9" w14:textId="77777777" w:rsidR="00050104" w:rsidRDefault="00050104">
                          <w:pPr>
                            <w:pStyle w:val="WitregelW1"/>
                          </w:pPr>
                        </w:p>
                        <w:p w14:paraId="574CF666" w14:textId="77777777" w:rsidR="00050104" w:rsidRDefault="00682C11">
                          <w:pPr>
                            <w:pStyle w:val="Referentiegegevensbold"/>
                          </w:pPr>
                          <w:r>
                            <w:t>Onze referentie</w:t>
                          </w:r>
                        </w:p>
                        <w:p w14:paraId="3E957DE6" w14:textId="76964267" w:rsidR="00050104" w:rsidRDefault="00965D40" w:rsidP="00965D40">
                          <w:pPr>
                            <w:pStyle w:val="Referentiegegevens"/>
                          </w:pPr>
                          <w:r w:rsidRPr="00965D40">
                            <w:t>6744493</w:t>
                          </w:r>
                        </w:p>
                      </w:txbxContent>
                    </wps:txbx>
                    <wps:bodyPr vert="horz" wrap="square" lIns="0" tIns="0" rIns="0" bIns="0" anchor="t" anchorCtr="0"/>
                  </wps:wsp>
                </a:graphicData>
              </a:graphic>
            </wp:anchor>
          </w:drawing>
        </mc:Choice>
        <mc:Fallback>
          <w:pict>
            <v:shape w14:anchorId="3B22F342"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0549834" w14:textId="77777777" w:rsidR="00050104" w:rsidRDefault="00000000">
                    <w:pPr>
                      <w:pStyle w:val="Referentiegegevensbold"/>
                    </w:pPr>
                    <w:r>
                      <w:t>Directoraat-Generaal Politie en Veiligheidsregio's</w:t>
                    </w:r>
                  </w:p>
                  <w:p w14:paraId="585FECFD" w14:textId="77777777" w:rsidR="00050104" w:rsidRDefault="00000000">
                    <w:pPr>
                      <w:pStyle w:val="Referentiegegevens"/>
                    </w:pPr>
                    <w:r>
                      <w:t>Portefeuille Politieel Beleid en Taakuitvoering</w:t>
                    </w:r>
                  </w:p>
                  <w:p w14:paraId="7313878A" w14:textId="77777777" w:rsidR="00050104" w:rsidRDefault="00000000">
                    <w:pPr>
                      <w:pStyle w:val="Referentiegegevens"/>
                    </w:pPr>
                    <w:r>
                      <w:t>Politiebestel, Bevoegdheden en Informatiefunctie</w:t>
                    </w:r>
                  </w:p>
                  <w:p w14:paraId="4F43ACF9" w14:textId="77777777" w:rsidR="00050104" w:rsidRDefault="00050104">
                    <w:pPr>
                      <w:pStyle w:val="WitregelW1"/>
                    </w:pPr>
                  </w:p>
                  <w:p w14:paraId="574CF666" w14:textId="77777777" w:rsidR="00050104" w:rsidRDefault="00000000">
                    <w:pPr>
                      <w:pStyle w:val="Referentiegegevensbold"/>
                    </w:pPr>
                    <w:r>
                      <w:t>Onze referentie</w:t>
                    </w:r>
                  </w:p>
                  <w:p w14:paraId="3E957DE6" w14:textId="76964267" w:rsidR="00050104" w:rsidRDefault="00965D40" w:rsidP="00965D40">
                    <w:pPr>
                      <w:pStyle w:val="Referentiegegevens"/>
                    </w:pPr>
                    <w:r w:rsidRPr="00965D40">
                      <w:t>6744493</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96891D" wp14:editId="1616F5BB">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23A460C" w14:textId="77777777" w:rsidR="00902CD6" w:rsidRDefault="00902CD6"/>
                      </w:txbxContent>
                    </wps:txbx>
                    <wps:bodyPr vert="horz" wrap="square" lIns="0" tIns="0" rIns="0" bIns="0" anchor="t" anchorCtr="0"/>
                  </wps:wsp>
                </a:graphicData>
              </a:graphic>
            </wp:anchor>
          </w:drawing>
        </mc:Choice>
        <mc:Fallback>
          <w:pict>
            <v:shape w14:anchorId="5C96891D"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423A460C" w14:textId="77777777" w:rsidR="00902CD6" w:rsidRDefault="00902CD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9DDB265" wp14:editId="19118DA8">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3D05E5" w14:textId="77777777" w:rsidR="00050104" w:rsidRDefault="00682C11">
                          <w:pPr>
                            <w:pStyle w:val="Referentiegegevens"/>
                          </w:pPr>
                          <w:r>
                            <w:t xml:space="preserve">Pagina </w:t>
                          </w:r>
                          <w:r>
                            <w:fldChar w:fldCharType="begin"/>
                          </w:r>
                          <w:r>
                            <w:instrText>PAGE</w:instrText>
                          </w:r>
                          <w:r>
                            <w:fldChar w:fldCharType="separate"/>
                          </w:r>
                          <w:r w:rsidR="00315EC6">
                            <w:rPr>
                              <w:noProof/>
                            </w:rPr>
                            <w:t>1</w:t>
                          </w:r>
                          <w:r>
                            <w:fldChar w:fldCharType="end"/>
                          </w:r>
                          <w:r>
                            <w:t xml:space="preserve"> van </w:t>
                          </w:r>
                          <w:r>
                            <w:fldChar w:fldCharType="begin"/>
                          </w:r>
                          <w:r>
                            <w:instrText>NUMPAGES</w:instrText>
                          </w:r>
                          <w:r>
                            <w:fldChar w:fldCharType="separate"/>
                          </w:r>
                          <w:r w:rsidR="00315EC6">
                            <w:rPr>
                              <w:noProof/>
                            </w:rPr>
                            <w:t>1</w:t>
                          </w:r>
                          <w:r>
                            <w:fldChar w:fldCharType="end"/>
                          </w:r>
                        </w:p>
                      </w:txbxContent>
                    </wps:txbx>
                    <wps:bodyPr vert="horz" wrap="square" lIns="0" tIns="0" rIns="0" bIns="0" anchor="t" anchorCtr="0"/>
                  </wps:wsp>
                </a:graphicData>
              </a:graphic>
            </wp:anchor>
          </w:drawing>
        </mc:Choice>
        <mc:Fallback>
          <w:pict>
            <v:shape w14:anchorId="09DDB265"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D3D05E5" w14:textId="77777777" w:rsidR="00050104" w:rsidRDefault="00000000">
                    <w:pPr>
                      <w:pStyle w:val="Referentiegegevens"/>
                    </w:pPr>
                    <w:r>
                      <w:t xml:space="preserve">Pagina </w:t>
                    </w:r>
                    <w:r>
                      <w:fldChar w:fldCharType="begin"/>
                    </w:r>
                    <w:r>
                      <w:instrText>PAGE</w:instrText>
                    </w:r>
                    <w:r>
                      <w:fldChar w:fldCharType="separate"/>
                    </w:r>
                    <w:r w:rsidR="00315EC6">
                      <w:rPr>
                        <w:noProof/>
                      </w:rPr>
                      <w:t>1</w:t>
                    </w:r>
                    <w:r>
                      <w:fldChar w:fldCharType="end"/>
                    </w:r>
                    <w:r>
                      <w:t xml:space="preserve"> van </w:t>
                    </w:r>
                    <w:r>
                      <w:fldChar w:fldCharType="begin"/>
                    </w:r>
                    <w:r>
                      <w:instrText>NUMPAGES</w:instrText>
                    </w:r>
                    <w:r>
                      <w:fldChar w:fldCharType="separate"/>
                    </w:r>
                    <w:r w:rsidR="00315E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742C03" wp14:editId="70C961F4">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E1A86D" w14:textId="77777777" w:rsidR="00050104" w:rsidRDefault="00682C11">
                          <w:pPr>
                            <w:spacing w:line="240" w:lineRule="auto"/>
                          </w:pPr>
                          <w:r>
                            <w:rPr>
                              <w:noProof/>
                            </w:rPr>
                            <w:drawing>
                              <wp:inline distT="0" distB="0" distL="0" distR="0" wp14:anchorId="786B92B7" wp14:editId="51E87688">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742C03"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8E1A86D" w14:textId="77777777" w:rsidR="00050104" w:rsidRDefault="00000000">
                    <w:pPr>
                      <w:spacing w:line="240" w:lineRule="auto"/>
                    </w:pPr>
                    <w:r>
                      <w:rPr>
                        <w:noProof/>
                      </w:rPr>
                      <w:drawing>
                        <wp:inline distT="0" distB="0" distL="0" distR="0" wp14:anchorId="786B92B7" wp14:editId="51E87688">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BFB8EF" wp14:editId="6E26AD38">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EB2488" w14:textId="77777777" w:rsidR="00050104" w:rsidRDefault="00682C11">
                          <w:pPr>
                            <w:spacing w:line="240" w:lineRule="auto"/>
                          </w:pPr>
                          <w:r>
                            <w:rPr>
                              <w:noProof/>
                            </w:rPr>
                            <w:drawing>
                              <wp:inline distT="0" distB="0" distL="0" distR="0" wp14:anchorId="5E182994" wp14:editId="5FFFFB5D">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BFB8EF"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AEB2488" w14:textId="77777777" w:rsidR="00050104" w:rsidRDefault="00000000">
                    <w:pPr>
                      <w:spacing w:line="240" w:lineRule="auto"/>
                    </w:pPr>
                    <w:r>
                      <w:rPr>
                        <w:noProof/>
                      </w:rPr>
                      <w:drawing>
                        <wp:inline distT="0" distB="0" distL="0" distR="0" wp14:anchorId="5E182994" wp14:editId="5FFFFB5D">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CD03C0C" wp14:editId="3B9C7831">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C409F85" w14:textId="77777777" w:rsidR="00050104" w:rsidRDefault="00682C11">
                          <w:pPr>
                            <w:spacing w:line="240" w:lineRule="auto"/>
                          </w:pPr>
                          <w:r>
                            <w:rPr>
                              <w:noProof/>
                            </w:rPr>
                            <w:drawing>
                              <wp:inline distT="0" distB="0" distL="0" distR="0" wp14:anchorId="7A5B0E80" wp14:editId="12483E09">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5"/>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D03C0C"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0C409F85" w14:textId="77777777" w:rsidR="00050104" w:rsidRDefault="00000000">
                    <w:pPr>
                      <w:spacing w:line="240" w:lineRule="auto"/>
                    </w:pPr>
                    <w:r>
                      <w:rPr>
                        <w:noProof/>
                      </w:rPr>
                      <w:drawing>
                        <wp:inline distT="0" distB="0" distL="0" distR="0" wp14:anchorId="7A5B0E80" wp14:editId="12483E09">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6"/>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5DF29"/>
    <w:multiLevelType w:val="multilevel"/>
    <w:tmpl w:val="2E0C58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D33D3B"/>
    <w:multiLevelType w:val="multilevel"/>
    <w:tmpl w:val="9BD4F24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D06BC96"/>
    <w:multiLevelType w:val="multilevel"/>
    <w:tmpl w:val="9EDA73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9346B5"/>
    <w:multiLevelType w:val="multilevel"/>
    <w:tmpl w:val="10E0F7B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8125359"/>
    <w:multiLevelType w:val="multilevel"/>
    <w:tmpl w:val="C5007F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A8DC1CC"/>
    <w:multiLevelType w:val="multilevel"/>
    <w:tmpl w:val="8A08DE4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DBC40B9"/>
    <w:multiLevelType w:val="hybridMultilevel"/>
    <w:tmpl w:val="C1FECF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15986420">
    <w:abstractNumId w:val="5"/>
  </w:num>
  <w:num w:numId="2" w16cid:durableId="1610234488">
    <w:abstractNumId w:val="1"/>
  </w:num>
  <w:num w:numId="3" w16cid:durableId="1482505902">
    <w:abstractNumId w:val="2"/>
  </w:num>
  <w:num w:numId="4" w16cid:durableId="574974405">
    <w:abstractNumId w:val="4"/>
  </w:num>
  <w:num w:numId="5" w16cid:durableId="764690574">
    <w:abstractNumId w:val="3"/>
  </w:num>
  <w:num w:numId="6" w16cid:durableId="1925920325">
    <w:abstractNumId w:val="0"/>
  </w:num>
  <w:num w:numId="7" w16cid:durableId="1297179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C6"/>
    <w:rsid w:val="00050104"/>
    <w:rsid w:val="0007751B"/>
    <w:rsid w:val="00136E31"/>
    <w:rsid w:val="001B7971"/>
    <w:rsid w:val="00315EC6"/>
    <w:rsid w:val="0033305A"/>
    <w:rsid w:val="00357F1E"/>
    <w:rsid w:val="005109C6"/>
    <w:rsid w:val="005C18C8"/>
    <w:rsid w:val="005D7236"/>
    <w:rsid w:val="00682C11"/>
    <w:rsid w:val="006D54B2"/>
    <w:rsid w:val="0077629B"/>
    <w:rsid w:val="00864CA9"/>
    <w:rsid w:val="008B7ABB"/>
    <w:rsid w:val="00902CD6"/>
    <w:rsid w:val="00926EBE"/>
    <w:rsid w:val="00965D40"/>
    <w:rsid w:val="009C5F08"/>
    <w:rsid w:val="009F3B26"/>
    <w:rsid w:val="009F4ADC"/>
    <w:rsid w:val="00AB7DB5"/>
    <w:rsid w:val="00B107EB"/>
    <w:rsid w:val="00B51176"/>
    <w:rsid w:val="00B639C0"/>
    <w:rsid w:val="00BB2DF6"/>
    <w:rsid w:val="00BF2DFC"/>
    <w:rsid w:val="00C957AB"/>
    <w:rsid w:val="00CF5E8C"/>
    <w:rsid w:val="00D93D5B"/>
    <w:rsid w:val="00E11D97"/>
    <w:rsid w:val="00E15E9A"/>
    <w:rsid w:val="00E30C69"/>
    <w:rsid w:val="00EC6C8B"/>
    <w:rsid w:val="00EF560D"/>
    <w:rsid w:val="00F75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51AC"/>
  <w15:docId w15:val="{1FE7A970-B8B7-4200-BA2B-A3641E7E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315EC6"/>
    <w:pPr>
      <w:ind w:left="720"/>
      <w:contextualSpacing/>
    </w:pPr>
  </w:style>
  <w:style w:type="character" w:styleId="Verwijzingopmerking">
    <w:name w:val="annotation reference"/>
    <w:basedOn w:val="Standaardalinea-lettertype"/>
    <w:uiPriority w:val="99"/>
    <w:semiHidden/>
    <w:unhideWhenUsed/>
    <w:rsid w:val="00315EC6"/>
    <w:rPr>
      <w:sz w:val="16"/>
      <w:szCs w:val="16"/>
    </w:rPr>
  </w:style>
  <w:style w:type="paragraph" w:styleId="Tekstopmerking">
    <w:name w:val="annotation text"/>
    <w:basedOn w:val="Standaard"/>
    <w:link w:val="TekstopmerkingChar"/>
    <w:uiPriority w:val="99"/>
    <w:unhideWhenUsed/>
    <w:rsid w:val="00315EC6"/>
    <w:pPr>
      <w:spacing w:line="240" w:lineRule="auto"/>
    </w:pPr>
    <w:rPr>
      <w:sz w:val="20"/>
      <w:szCs w:val="20"/>
    </w:rPr>
  </w:style>
  <w:style w:type="character" w:customStyle="1" w:styleId="TekstopmerkingChar">
    <w:name w:val="Tekst opmerking Char"/>
    <w:basedOn w:val="Standaardalinea-lettertype"/>
    <w:link w:val="Tekstopmerking"/>
    <w:uiPriority w:val="99"/>
    <w:rsid w:val="00315EC6"/>
    <w:rPr>
      <w:rFonts w:ascii="Verdana" w:hAnsi="Verdana"/>
      <w:color w:val="000000"/>
    </w:rPr>
  </w:style>
  <w:style w:type="paragraph" w:styleId="Koptekst">
    <w:name w:val="header"/>
    <w:basedOn w:val="Standaard"/>
    <w:link w:val="KoptekstChar"/>
    <w:uiPriority w:val="99"/>
    <w:unhideWhenUsed/>
    <w:rsid w:val="00315E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5EC6"/>
    <w:rPr>
      <w:rFonts w:ascii="Verdana" w:hAnsi="Verdana"/>
      <w:color w:val="000000"/>
      <w:sz w:val="18"/>
      <w:szCs w:val="18"/>
    </w:rPr>
  </w:style>
  <w:style w:type="paragraph" w:styleId="Revisie">
    <w:name w:val="Revision"/>
    <w:hidden/>
    <w:uiPriority w:val="99"/>
    <w:semiHidden/>
    <w:rsid w:val="001B797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ijlage%20staand%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846</ap:Words>
  <ap:Characters>4655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Bijlage  - Uitvoeringsagenda</vt:lpstr>
    </vt:vector>
  </ap:TitlesOfParts>
  <ap:LinksUpToDate>false</ap:LinksUpToDate>
  <ap:CharactersWithSpaces>5491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2025-10-02T09:43:00.0000000Z</dcterms:created>
  <dcterms:modified xsi:type="dcterms:W3CDTF">2025-10-02T09:43:00.0000000Z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Uitvoeringsagenda</vt:lpwstr>
  </property>
  <property fmtid="{D5CDD505-2E9C-101B-9397-08002B2CF9AE}" pid="5" name="Publicatiedatum">
    <vt:lpwstr/>
  </property>
  <property fmtid="{D5CDD505-2E9C-101B-9397-08002B2CF9AE}" pid="6" name="Verantwoordelijke organisatie">
    <vt:lpwstr>Portefeuille Politieel Beleid en Taakuitvoering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oktober 2025</vt:lpwstr>
  </property>
  <property fmtid="{D5CDD505-2E9C-101B-9397-08002B2CF9AE}" pid="13" name="Opgesteld door, Naam">
    <vt:lpwstr>Jannick Peletier</vt:lpwstr>
  </property>
  <property fmtid="{D5CDD505-2E9C-101B-9397-08002B2CF9AE}" pid="14" name="Opgesteld door, Telefoonnummer">
    <vt:lpwstr/>
  </property>
  <property fmtid="{D5CDD505-2E9C-101B-9397-08002B2CF9AE}" pid="15" name="Kenmerk">
    <vt:lpwstr>123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