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2E42" w:rsidR="007737C8" w:rsidP="00332E42" w:rsidRDefault="007737C8" w14:paraId="7739EC69" w14:textId="280AAB43">
      <w:pPr>
        <w:pStyle w:val="BodyText"/>
        <w:spacing w:before="1"/>
      </w:pPr>
      <w:r w:rsidRPr="00332E42">
        <w:t xml:space="preserve">Geachte </w:t>
      </w:r>
      <w:r w:rsidRPr="00332E42">
        <w:rPr>
          <w:spacing w:val="-2"/>
        </w:rPr>
        <w:t>voorzitter,</w:t>
      </w:r>
    </w:p>
    <w:p w:rsidRPr="00332E42" w:rsidR="00A3398A" w:rsidP="00332E42" w:rsidRDefault="00A3398A" w14:paraId="2C961EB1" w14:textId="77777777">
      <w:pPr>
        <w:pStyle w:val="BodyText"/>
        <w:spacing w:before="28"/>
      </w:pPr>
    </w:p>
    <w:p w:rsidRPr="00332E42" w:rsidR="00A53331" w:rsidP="00332E42" w:rsidRDefault="007737C8" w14:paraId="5C8FFE90" w14:textId="2B6FE559">
      <w:pPr>
        <w:pStyle w:val="BodyText"/>
        <w:ind w:right="26"/>
      </w:pPr>
      <w:bookmarkStart w:name="_Hlk209010635" w:id="0"/>
      <w:r w:rsidRPr="00332E42">
        <w:t xml:space="preserve">Zoals toegezegd </w:t>
      </w:r>
      <w:r w:rsidRPr="00332E42" w:rsidR="002C22C8">
        <w:t>tijdens het tijdens het Commissiedebat over de Raad Buitenlandse Zaken - Ontwikkeling van 14 mei 2025</w:t>
      </w:r>
      <w:r w:rsidRPr="00332E42">
        <w:rPr>
          <w:rStyle w:val="FootnoteReference"/>
        </w:rPr>
        <w:footnoteReference w:id="2"/>
      </w:r>
      <w:r w:rsidRPr="00332E42">
        <w:t xml:space="preserve"> en </w:t>
      </w:r>
      <w:r w:rsidRPr="00332E42" w:rsidR="002C22C8">
        <w:t>tijdens het debat over de suppletoire begroting</w:t>
      </w:r>
      <w:r w:rsidRPr="00332E42" w:rsidR="00A10C9C">
        <w:t>,</w:t>
      </w:r>
      <w:r w:rsidRPr="00332E42" w:rsidR="002C22C8">
        <w:t xml:space="preserve"> samenhangende met de Voorjaarsnota van 30 juni 2025</w:t>
      </w:r>
      <w:r w:rsidRPr="00332E42">
        <w:rPr>
          <w:rStyle w:val="FootnoteReference"/>
        </w:rPr>
        <w:footnoteReference w:id="3"/>
      </w:r>
      <w:r w:rsidRPr="00332E42">
        <w:rPr>
          <w:rStyle w:val="Hyperlink"/>
          <w:color w:val="auto"/>
          <w:u w:val="none"/>
        </w:rPr>
        <w:t>,</w:t>
      </w:r>
      <w:r w:rsidRPr="00332E42">
        <w:rPr>
          <w:rStyle w:val="Hyperlink"/>
        </w:rPr>
        <w:t xml:space="preserve"> </w:t>
      </w:r>
      <w:bookmarkStart w:name="_Hlk209022367" w:id="1"/>
      <w:r w:rsidRPr="00332E42">
        <w:t>informeer ik uw Kamer hierbij over de Nederlandse bijdragen aan</w:t>
      </w:r>
      <w:r w:rsidRPr="00332E42" w:rsidR="00A21F02">
        <w:t xml:space="preserve"> </w:t>
      </w:r>
      <w:r w:rsidRPr="00332E42" w:rsidR="00ED42A6">
        <w:t>zes</w:t>
      </w:r>
      <w:r w:rsidRPr="00332E42" w:rsidR="0057732E">
        <w:t xml:space="preserve"> </w:t>
      </w:r>
      <w:r w:rsidRPr="00332E42">
        <w:t>multilaterale gezondheidsorganisaties</w:t>
      </w:r>
      <w:r w:rsidRPr="00332E42" w:rsidR="003C06C5">
        <w:t xml:space="preserve"> vanaf 2026</w:t>
      </w:r>
      <w:bookmarkEnd w:id="1"/>
      <w:r w:rsidRPr="00332E42">
        <w:t xml:space="preserve">. </w:t>
      </w:r>
      <w:r w:rsidRPr="00332E42" w:rsidR="007E391F">
        <w:t>Met d</w:t>
      </w:r>
      <w:r w:rsidRPr="00332E42">
        <w:t xml:space="preserve">eze </w:t>
      </w:r>
      <w:r w:rsidRPr="00332E42" w:rsidR="00242336">
        <w:t xml:space="preserve">Kamerbrief </w:t>
      </w:r>
      <w:r w:rsidRPr="00332E42" w:rsidR="007E391F">
        <w:t xml:space="preserve">informeer ik u tevens over de </w:t>
      </w:r>
      <w:r w:rsidRPr="00332E42" w:rsidR="00A42FF1">
        <w:t xml:space="preserve">invulling </w:t>
      </w:r>
      <w:r w:rsidRPr="00332E42" w:rsidR="007E391F">
        <w:t>v</w:t>
      </w:r>
      <w:r w:rsidRPr="00332E42" w:rsidR="00A42FF1">
        <w:t>an</w:t>
      </w:r>
      <w:r w:rsidRPr="00332E42">
        <w:t xml:space="preserve"> de motie Dobbe </w:t>
      </w:r>
      <w:r w:rsidRPr="00332E42" w:rsidR="00332E42">
        <w:t>c.s.</w:t>
      </w:r>
      <w:r w:rsidRPr="00332E42" w:rsidR="00A40E1B">
        <w:t>,</w:t>
      </w:r>
      <w:r w:rsidRPr="00332E42">
        <w:t xml:space="preserve"> waarin de regering wordt verzocht de steun voor mondiale gezondheidsinitiatieven, zoals </w:t>
      </w:r>
      <w:r w:rsidRPr="00332E42">
        <w:rPr>
          <w:i/>
          <w:iCs/>
        </w:rPr>
        <w:t xml:space="preserve">Global Fund </w:t>
      </w:r>
      <w:proofErr w:type="spellStart"/>
      <w:r w:rsidRPr="00332E42">
        <w:rPr>
          <w:i/>
          <w:iCs/>
        </w:rPr>
        <w:t>to</w:t>
      </w:r>
      <w:proofErr w:type="spellEnd"/>
      <w:r w:rsidRPr="00332E42">
        <w:rPr>
          <w:i/>
          <w:iCs/>
        </w:rPr>
        <w:t xml:space="preserve"> </w:t>
      </w:r>
      <w:proofErr w:type="spellStart"/>
      <w:r w:rsidRPr="00332E42">
        <w:rPr>
          <w:i/>
          <w:iCs/>
        </w:rPr>
        <w:t>Fight</w:t>
      </w:r>
      <w:proofErr w:type="spellEnd"/>
      <w:r w:rsidRPr="00332E42">
        <w:rPr>
          <w:i/>
          <w:iCs/>
        </w:rPr>
        <w:t xml:space="preserve"> AIDS, </w:t>
      </w:r>
      <w:proofErr w:type="spellStart"/>
      <w:r w:rsidRPr="00332E42">
        <w:rPr>
          <w:i/>
          <w:iCs/>
        </w:rPr>
        <w:t>Tuberculosis</w:t>
      </w:r>
      <w:proofErr w:type="spellEnd"/>
      <w:r w:rsidRPr="00332E42">
        <w:rPr>
          <w:i/>
          <w:iCs/>
        </w:rPr>
        <w:t xml:space="preserve"> </w:t>
      </w:r>
      <w:proofErr w:type="spellStart"/>
      <w:r w:rsidRPr="00332E42">
        <w:rPr>
          <w:i/>
          <w:iCs/>
        </w:rPr>
        <w:t>and</w:t>
      </w:r>
      <w:proofErr w:type="spellEnd"/>
      <w:r w:rsidRPr="00332E42">
        <w:rPr>
          <w:i/>
          <w:iCs/>
        </w:rPr>
        <w:t xml:space="preserve"> Malaria</w:t>
      </w:r>
      <w:r w:rsidRPr="00332E42">
        <w:t xml:space="preserve"> (Global Fund), </w:t>
      </w:r>
      <w:proofErr w:type="spellStart"/>
      <w:r w:rsidRPr="00332E42">
        <w:rPr>
          <w:i/>
          <w:iCs/>
        </w:rPr>
        <w:t>Gavi</w:t>
      </w:r>
      <w:proofErr w:type="spellEnd"/>
      <w:r w:rsidRPr="00332E42" w:rsidR="00D70BA6">
        <w:rPr>
          <w:i/>
          <w:iCs/>
        </w:rPr>
        <w:t>,</w:t>
      </w:r>
      <w:r w:rsidRPr="00332E42">
        <w:rPr>
          <w:i/>
          <w:iCs/>
        </w:rPr>
        <w:t xml:space="preserve"> </w:t>
      </w:r>
      <w:proofErr w:type="spellStart"/>
      <w:r w:rsidRPr="00332E42">
        <w:rPr>
          <w:i/>
          <w:iCs/>
        </w:rPr>
        <w:t>the</w:t>
      </w:r>
      <w:proofErr w:type="spellEnd"/>
      <w:r w:rsidRPr="00332E42">
        <w:rPr>
          <w:i/>
          <w:iCs/>
        </w:rPr>
        <w:t xml:space="preserve"> Vaccine Alliance</w:t>
      </w:r>
      <w:r w:rsidRPr="00332E42">
        <w:t xml:space="preserve"> (</w:t>
      </w:r>
      <w:proofErr w:type="spellStart"/>
      <w:r w:rsidRPr="00332E42">
        <w:t>Gavi</w:t>
      </w:r>
      <w:proofErr w:type="spellEnd"/>
      <w:r w:rsidRPr="00332E42">
        <w:t>) en UNAIDS te waarborgen</w:t>
      </w:r>
      <w:r w:rsidRPr="00332E42" w:rsidR="007E205E">
        <w:t>.</w:t>
      </w:r>
      <w:r w:rsidRPr="00332E42">
        <w:rPr>
          <w:rStyle w:val="FootnoteReference"/>
        </w:rPr>
        <w:footnoteReference w:id="4"/>
      </w:r>
      <w:r w:rsidRPr="00332E42" w:rsidR="004A16BA">
        <w:t xml:space="preserve"> </w:t>
      </w:r>
    </w:p>
    <w:p w:rsidRPr="00332E42" w:rsidR="00A53331" w:rsidP="00332E42" w:rsidRDefault="00A53331" w14:paraId="0369C8F4" w14:textId="77777777">
      <w:pPr>
        <w:pStyle w:val="BodyText"/>
        <w:ind w:right="26"/>
      </w:pPr>
    </w:p>
    <w:p w:rsidRPr="00332E42" w:rsidR="007737C8" w:rsidP="00332E42" w:rsidRDefault="00D342AE" w14:paraId="2C3CDF40" w14:textId="47CCEE88">
      <w:pPr>
        <w:pStyle w:val="BodyText"/>
        <w:ind w:right="26"/>
      </w:pPr>
      <w:r w:rsidRPr="00332E42">
        <w:t>Ten slotte</w:t>
      </w:r>
      <w:r w:rsidRPr="00332E42" w:rsidR="004A16BA">
        <w:t xml:space="preserve"> voldoe ik met deze brief ook aan de toezegging die gedaan is door </w:t>
      </w:r>
      <w:r w:rsidRPr="00332E42" w:rsidR="00005CA4">
        <w:t xml:space="preserve">de </w:t>
      </w:r>
      <w:r w:rsidR="00DE7977">
        <w:t>m</w:t>
      </w:r>
      <w:r w:rsidRPr="00332E42" w:rsidR="00005CA4">
        <w:t>inister van Buitenlandse Zaken</w:t>
      </w:r>
      <w:r w:rsidRPr="00332E42" w:rsidR="004A16BA">
        <w:t xml:space="preserve">, </w:t>
      </w:r>
      <w:bookmarkStart w:name="_Hlk209079441" w:id="2"/>
      <w:r w:rsidRPr="00332E42" w:rsidR="004A16BA">
        <w:t>tijdens het notaoverleg over toegang tot abortus is een mensenrecht op 8 september jl</w:t>
      </w:r>
      <w:bookmarkEnd w:id="2"/>
      <w:r w:rsidRPr="00332E42" w:rsidR="004A16BA">
        <w:t xml:space="preserve">. Dit </w:t>
      </w:r>
      <w:r w:rsidRPr="00332E42">
        <w:t>betreft</w:t>
      </w:r>
      <w:r w:rsidRPr="00332E42" w:rsidDel="00D342AE" w:rsidR="004A16BA">
        <w:t xml:space="preserve"> </w:t>
      </w:r>
      <w:r w:rsidRPr="00332E42">
        <w:t>een</w:t>
      </w:r>
      <w:r w:rsidRPr="00332E42" w:rsidR="004A16BA">
        <w:t xml:space="preserve"> toezegging aan Kamerlid Hirsch, om voor de behandeling van de begroting van het ministerie van Buitenlandse Zaken, middels een brief nadere toelichting te geven op de effecten van de bezuinigingen op het SRGR-beleid.</w:t>
      </w:r>
      <w:r w:rsidRPr="00332E42" w:rsidR="00332E42">
        <w:rPr>
          <w:rStyle w:val="FootnoteReference"/>
        </w:rPr>
        <w:footnoteReference w:id="5"/>
      </w:r>
    </w:p>
    <w:p w:rsidRPr="00332E42" w:rsidR="007E205E" w:rsidP="00332E42" w:rsidRDefault="007E205E" w14:paraId="32C029F2" w14:textId="77777777">
      <w:pPr>
        <w:pStyle w:val="BodyText"/>
        <w:ind w:right="26"/>
      </w:pPr>
    </w:p>
    <w:p w:rsidRPr="00332E42" w:rsidR="007E205E" w:rsidP="00332E42" w:rsidRDefault="00A53331" w14:paraId="45FF5721" w14:textId="77777777">
      <w:pPr>
        <w:pStyle w:val="BodyText"/>
        <w:ind w:right="26"/>
        <w:rPr>
          <w:b/>
          <w:bCs/>
        </w:rPr>
      </w:pPr>
      <w:bookmarkStart w:name="_Hlk209520076" w:id="3"/>
      <w:r w:rsidRPr="00332E42">
        <w:rPr>
          <w:b/>
          <w:bCs/>
        </w:rPr>
        <w:t>Nederlandse bijdragen aan multilaterale gezondheidsorganisaties</w:t>
      </w:r>
    </w:p>
    <w:bookmarkEnd w:id="3"/>
    <w:p w:rsidR="00332E42" w:rsidP="00332E42" w:rsidRDefault="00332E42" w14:paraId="7236279C" w14:textId="77777777">
      <w:pPr>
        <w:pStyle w:val="BodyText"/>
        <w:ind w:right="26"/>
      </w:pPr>
    </w:p>
    <w:p w:rsidRPr="00332E42" w:rsidR="00594135" w:rsidP="00332E42" w:rsidRDefault="007737C8" w14:paraId="7C34F4F1" w14:textId="0EE13EE2">
      <w:pPr>
        <w:pStyle w:val="BodyText"/>
        <w:ind w:right="26"/>
      </w:pPr>
      <w:r w:rsidRPr="00332E42" w:rsidDel="00386ED9">
        <w:t xml:space="preserve">Vanaf 2026 </w:t>
      </w:r>
      <w:r w:rsidRPr="00332E42" w:rsidR="0015676C">
        <w:t xml:space="preserve">blijft Nederland bijdragen aan Global Fund, </w:t>
      </w:r>
      <w:proofErr w:type="spellStart"/>
      <w:r w:rsidRPr="00332E42" w:rsidR="0015676C">
        <w:t>Gavi</w:t>
      </w:r>
      <w:proofErr w:type="spellEnd"/>
      <w:r w:rsidRPr="00332E42" w:rsidR="0015676C">
        <w:t xml:space="preserve">, UNAIDS, de Wereldgezondheidsorganisatie (WHO),het Bevolkingsfonds van de Verenigde Naties (UNFPA) en </w:t>
      </w:r>
      <w:r w:rsidRPr="00332E42" w:rsidR="001A4328">
        <w:t>GFF</w:t>
      </w:r>
      <w:r w:rsidRPr="00332E42" w:rsidR="00F82F3C">
        <w:t>,</w:t>
      </w:r>
      <w:r w:rsidRPr="00332E42" w:rsidR="001A4328">
        <w:rPr>
          <w:rStyle w:val="FootnoteReference"/>
        </w:rPr>
        <w:footnoteReference w:id="6"/>
      </w:r>
      <w:r w:rsidRPr="00332E42" w:rsidR="00F82F3C">
        <w:t xml:space="preserve"> </w:t>
      </w:r>
      <w:r w:rsidRPr="00332E42" w:rsidR="001A4328">
        <w:t xml:space="preserve">een financieringsmechanisme van de Wereld Bank voor </w:t>
      </w:r>
      <w:r w:rsidRPr="00332E42" w:rsidR="0015676C">
        <w:t xml:space="preserve">de </w:t>
      </w:r>
      <w:r w:rsidRPr="00332E42" w:rsidR="001A4328">
        <w:t xml:space="preserve">gezondheid van moeders, kinderen en adolescenten. </w:t>
      </w:r>
      <w:r w:rsidRPr="00332E42" w:rsidR="0015676C">
        <w:t>De</w:t>
      </w:r>
      <w:r w:rsidRPr="00332E42" w:rsidDel="0015676C">
        <w:t xml:space="preserve"> </w:t>
      </w:r>
      <w:r w:rsidRPr="00332E42" w:rsidR="006336A3">
        <w:t>totale</w:t>
      </w:r>
      <w:r w:rsidRPr="00332E42" w:rsidDel="00386ED9" w:rsidR="004F6E19">
        <w:t xml:space="preserve"> </w:t>
      </w:r>
      <w:r w:rsidRPr="00332E42" w:rsidR="00F56832">
        <w:t>kern</w:t>
      </w:r>
      <w:r w:rsidRPr="00332E42" w:rsidDel="00386ED9">
        <w:t xml:space="preserve">bijdrage aan </w:t>
      </w:r>
      <w:r w:rsidRPr="00332E42">
        <w:t>de</w:t>
      </w:r>
      <w:r w:rsidRPr="00332E42" w:rsidR="0015676C">
        <w:t>ze</w:t>
      </w:r>
      <w:r w:rsidRPr="00332E42">
        <w:t xml:space="preserve"> </w:t>
      </w:r>
      <w:r w:rsidRPr="00332E42" w:rsidR="00F82F3C">
        <w:t>zes</w:t>
      </w:r>
      <w:r w:rsidRPr="00332E42">
        <w:t xml:space="preserve"> organisaties</w:t>
      </w:r>
      <w:r w:rsidRPr="00332E42" w:rsidDel="00386ED9">
        <w:t xml:space="preserve"> </w:t>
      </w:r>
      <w:r w:rsidRPr="00332E42" w:rsidR="0015676C">
        <w:t xml:space="preserve">wordt </w:t>
      </w:r>
      <w:r w:rsidRPr="00332E42" w:rsidDel="00386ED9" w:rsidR="00695A6C">
        <w:t>€141,</w:t>
      </w:r>
      <w:r w:rsidRPr="00332E42" w:rsidR="00695A6C">
        <w:t>6</w:t>
      </w:r>
      <w:r w:rsidRPr="00332E42" w:rsidDel="00386ED9" w:rsidR="00695A6C">
        <w:t xml:space="preserve"> miljoen per jaar</w:t>
      </w:r>
      <w:r w:rsidRPr="00332E42" w:rsidR="00332E42">
        <w:t>.</w:t>
      </w:r>
      <w:r w:rsidRPr="00332E42" w:rsidR="00A171C6">
        <w:rPr>
          <w:rStyle w:val="FootnoteReference"/>
        </w:rPr>
        <w:footnoteReference w:id="7"/>
      </w:r>
      <w:r w:rsidRPr="00332E42" w:rsidR="00695A6C">
        <w:t xml:space="preserve"> Dit is een afname van €31</w:t>
      </w:r>
      <w:r w:rsidRPr="00332E42" w:rsidR="00571E16">
        <w:t xml:space="preserve"> </w:t>
      </w:r>
      <w:r w:rsidRPr="00332E42" w:rsidR="00695A6C">
        <w:t>miljoen</w:t>
      </w:r>
      <w:r w:rsidRPr="00332E42" w:rsidDel="00386ED9" w:rsidR="00695A6C">
        <w:t xml:space="preserve"> </w:t>
      </w:r>
      <w:r w:rsidRPr="00332E42" w:rsidR="00695A6C">
        <w:t>t</w:t>
      </w:r>
      <w:r w:rsidRPr="00332E42" w:rsidR="00A3398A">
        <w:t xml:space="preserve">en opzichte van </w:t>
      </w:r>
      <w:r w:rsidRPr="00332E42" w:rsidR="00695A6C">
        <w:t xml:space="preserve">de </w:t>
      </w:r>
      <w:r w:rsidRPr="00332E42" w:rsidR="00B54D47">
        <w:t>kern</w:t>
      </w:r>
      <w:r w:rsidRPr="00332E42" w:rsidR="00695A6C">
        <w:t>bijdrage</w:t>
      </w:r>
      <w:r w:rsidRPr="00332E42" w:rsidR="00B54D47">
        <w:t>n</w:t>
      </w:r>
      <w:r w:rsidRPr="00332E42" w:rsidR="00695A6C">
        <w:t xml:space="preserve"> in 2024</w:t>
      </w:r>
      <w:r w:rsidRPr="00332E42" w:rsidR="00A10C9C">
        <w:t xml:space="preserve">. </w:t>
      </w:r>
    </w:p>
    <w:p w:rsidRPr="00332E42" w:rsidR="00594135" w:rsidP="00332E42" w:rsidRDefault="00594135" w14:paraId="6E23F096" w14:textId="77777777">
      <w:pPr>
        <w:pStyle w:val="BodyText"/>
        <w:ind w:right="26"/>
      </w:pPr>
    </w:p>
    <w:p w:rsidRPr="00332E42" w:rsidR="00E55BFF" w:rsidP="00332E42" w:rsidRDefault="005717F6" w14:paraId="1906DC8B" w14:textId="746E5CE1">
      <w:pPr>
        <w:pStyle w:val="CommentText"/>
        <w:rPr>
          <w:sz w:val="18"/>
          <w:szCs w:val="18"/>
        </w:rPr>
      </w:pPr>
      <w:bookmarkStart w:name="_Hlk209785333" w:id="4"/>
      <w:r w:rsidRPr="00332E42">
        <w:rPr>
          <w:sz w:val="18"/>
          <w:szCs w:val="18"/>
        </w:rPr>
        <w:t>De verminderde kernbijdragen zijn een consequentie van de dalende budgetten voor mondiale gezondheid</w:t>
      </w:r>
      <w:r w:rsidRPr="00332E42" w:rsidR="00E55BFF">
        <w:rPr>
          <w:sz w:val="18"/>
          <w:szCs w:val="18"/>
        </w:rPr>
        <w:t xml:space="preserve"> (2024</w:t>
      </w:r>
      <w:r w:rsidRPr="00332E42" w:rsidR="00F975CD">
        <w:rPr>
          <w:sz w:val="18"/>
          <w:szCs w:val="18"/>
        </w:rPr>
        <w:t xml:space="preserve">: </w:t>
      </w:r>
      <w:r w:rsidRPr="00332E42" w:rsidR="00E55BFF">
        <w:rPr>
          <w:sz w:val="18"/>
          <w:szCs w:val="18"/>
        </w:rPr>
        <w:t>543 miljoen</w:t>
      </w:r>
      <w:r w:rsidRPr="00332E42" w:rsidR="00F975CD">
        <w:rPr>
          <w:sz w:val="18"/>
          <w:szCs w:val="18"/>
        </w:rPr>
        <w:t>;</w:t>
      </w:r>
      <w:r w:rsidRPr="00332E42" w:rsidR="00E55BFF">
        <w:rPr>
          <w:sz w:val="18"/>
          <w:szCs w:val="18"/>
        </w:rPr>
        <w:t xml:space="preserve"> 2025</w:t>
      </w:r>
      <w:r w:rsidRPr="00332E42" w:rsidR="00F975CD">
        <w:rPr>
          <w:sz w:val="18"/>
          <w:szCs w:val="18"/>
        </w:rPr>
        <w:t>:</w:t>
      </w:r>
      <w:r w:rsidRPr="00332E42" w:rsidR="00E55BFF">
        <w:rPr>
          <w:sz w:val="18"/>
          <w:szCs w:val="18"/>
        </w:rPr>
        <w:t xml:space="preserve"> 448 miljoen</w:t>
      </w:r>
      <w:r w:rsidRPr="00332E42" w:rsidR="00F975CD">
        <w:rPr>
          <w:sz w:val="18"/>
          <w:szCs w:val="18"/>
        </w:rPr>
        <w:t>;</w:t>
      </w:r>
      <w:r w:rsidRPr="00332E42" w:rsidR="00E55BFF">
        <w:rPr>
          <w:sz w:val="18"/>
          <w:szCs w:val="18"/>
        </w:rPr>
        <w:t xml:space="preserve"> 2026</w:t>
      </w:r>
      <w:r w:rsidRPr="00332E42" w:rsidR="00F975CD">
        <w:rPr>
          <w:sz w:val="18"/>
          <w:szCs w:val="18"/>
        </w:rPr>
        <w:t>:</w:t>
      </w:r>
      <w:r w:rsidRPr="00332E42" w:rsidR="00E55BFF">
        <w:rPr>
          <w:sz w:val="18"/>
          <w:szCs w:val="18"/>
        </w:rPr>
        <w:t xml:space="preserve"> 384 </w:t>
      </w:r>
      <w:r w:rsidRPr="00332E42" w:rsidR="00E55BFF">
        <w:rPr>
          <w:sz w:val="18"/>
          <w:szCs w:val="18"/>
        </w:rPr>
        <w:lastRenderedPageBreak/>
        <w:t>miljoen en 2027</w:t>
      </w:r>
      <w:r w:rsidRPr="00332E42" w:rsidR="00F975CD">
        <w:rPr>
          <w:sz w:val="18"/>
          <w:szCs w:val="18"/>
        </w:rPr>
        <w:t>:</w:t>
      </w:r>
      <w:r w:rsidRPr="00332E42" w:rsidR="00E55BFF">
        <w:rPr>
          <w:sz w:val="18"/>
          <w:szCs w:val="18"/>
        </w:rPr>
        <w:t xml:space="preserve"> 385 miljoen)</w:t>
      </w:r>
      <w:r w:rsidR="00332E42">
        <w:rPr>
          <w:sz w:val="18"/>
          <w:szCs w:val="18"/>
        </w:rPr>
        <w:t>.</w:t>
      </w:r>
      <w:r w:rsidRPr="00332E42" w:rsidR="0007770D">
        <w:rPr>
          <w:rStyle w:val="FootnoteReference"/>
          <w:sz w:val="18"/>
          <w:szCs w:val="18"/>
        </w:rPr>
        <w:footnoteReference w:id="8"/>
      </w:r>
    </w:p>
    <w:bookmarkEnd w:id="4"/>
    <w:p w:rsidRPr="00332E42" w:rsidR="00BC2BA3" w:rsidP="00332E42" w:rsidRDefault="00BC2BA3" w14:paraId="68C693F9" w14:textId="77777777">
      <w:pPr>
        <w:pStyle w:val="BodyText"/>
        <w:ind w:right="26"/>
      </w:pPr>
    </w:p>
    <w:p w:rsidRPr="00332E42" w:rsidR="00E93FB8" w:rsidP="00332E42" w:rsidRDefault="00BE1D82" w14:paraId="32AEDF69" w14:textId="6BA7E17C">
      <w:pPr>
        <w:pStyle w:val="BodyText"/>
        <w:ind w:right="26"/>
      </w:pPr>
      <w:r w:rsidRPr="00332E42">
        <w:t xml:space="preserve">De bezuiniging </w:t>
      </w:r>
      <w:r w:rsidRPr="00332E42" w:rsidR="0023365B">
        <w:t xml:space="preserve">op de </w:t>
      </w:r>
      <w:r w:rsidRPr="00332E42" w:rsidR="00571E16">
        <w:t xml:space="preserve">Nederlandse </w:t>
      </w:r>
      <w:r w:rsidRPr="00332E42" w:rsidR="0023365B">
        <w:t xml:space="preserve">kernbijdragen </w:t>
      </w:r>
      <w:r w:rsidRPr="00332E42" w:rsidR="00571E16">
        <w:t xml:space="preserve">aan multilaterale gezondheidsorganisaties </w:t>
      </w:r>
      <w:r w:rsidRPr="00332E42">
        <w:t xml:space="preserve">van </w:t>
      </w:r>
      <w:r w:rsidRPr="00332E42" w:rsidDel="00386ED9">
        <w:t>€</w:t>
      </w:r>
      <w:r w:rsidRPr="00332E42">
        <w:t>31 miljoen per jaar</w:t>
      </w:r>
      <w:r w:rsidRPr="00332E42" w:rsidR="00F975CD">
        <w:t xml:space="preserve"> </w:t>
      </w:r>
      <w:r w:rsidRPr="00332E42" w:rsidR="00ED42A6">
        <w:t xml:space="preserve">(zie tabel 1) </w:t>
      </w:r>
      <w:r w:rsidRPr="00332E42">
        <w:t xml:space="preserve">wordt </w:t>
      </w:r>
      <w:r w:rsidRPr="00332E42" w:rsidR="007F24DE">
        <w:t xml:space="preserve">in vergelijkbare mate </w:t>
      </w:r>
      <w:r w:rsidRPr="00332E42">
        <w:t xml:space="preserve">verdeeld over </w:t>
      </w:r>
      <w:r w:rsidRPr="00332E42">
        <w:rPr>
          <w:color w:val="1C1C1C"/>
          <w:w w:val="110"/>
        </w:rPr>
        <w:t xml:space="preserve">UNFPA, UNAIDS, GFF, </w:t>
      </w:r>
      <w:proofErr w:type="spellStart"/>
      <w:r w:rsidRPr="00332E42">
        <w:rPr>
          <w:color w:val="1C1C1C"/>
          <w:w w:val="110"/>
        </w:rPr>
        <w:t>Gavi</w:t>
      </w:r>
      <w:proofErr w:type="spellEnd"/>
      <w:r w:rsidRPr="00332E42">
        <w:rPr>
          <w:color w:val="1C1C1C"/>
          <w:w w:val="110"/>
        </w:rPr>
        <w:t xml:space="preserve"> en </w:t>
      </w:r>
      <w:r w:rsidRPr="00332E42" w:rsidR="00594135">
        <w:rPr>
          <w:color w:val="1C1C1C"/>
          <w:w w:val="110"/>
        </w:rPr>
        <w:t xml:space="preserve">het </w:t>
      </w:r>
      <w:r w:rsidRPr="00332E42">
        <w:rPr>
          <w:color w:val="1C1C1C"/>
          <w:w w:val="110"/>
        </w:rPr>
        <w:t>Global Fund</w:t>
      </w:r>
      <w:r w:rsidRPr="00332E42" w:rsidR="005717F6">
        <w:rPr>
          <w:color w:val="1C1C1C"/>
          <w:w w:val="110"/>
        </w:rPr>
        <w:t>.</w:t>
      </w:r>
      <w:r w:rsidRPr="00332E42">
        <w:rPr>
          <w:color w:val="1C1C1C"/>
          <w:w w:val="110"/>
        </w:rPr>
        <w:t xml:space="preserve"> </w:t>
      </w:r>
      <w:r w:rsidRPr="00332E42" w:rsidR="00E93FB8">
        <w:t>De kernbijdrage aan de WHO blijft gehandhaafd op het huidige niveau</w:t>
      </w:r>
      <w:r w:rsidRPr="00332E42" w:rsidR="00F82F3C">
        <w:t>,</w:t>
      </w:r>
      <w:r w:rsidRPr="00332E42" w:rsidR="00E93FB8">
        <w:t xml:space="preserve"> om haar rol als overkoepelende coördinerende organisatie in mondiale gezondheid te borgen. Dit is essentieel nu het mondiale gezondheidssysteem en de capaciteit van de WHO </w:t>
      </w:r>
      <w:r w:rsidRPr="00332E42" w:rsidR="00ED42A6">
        <w:t xml:space="preserve">sterk </w:t>
      </w:r>
      <w:r w:rsidRPr="00332E42" w:rsidR="00E93FB8">
        <w:t>onder druk staan, vanwege afnemende donorfinanciering.</w:t>
      </w:r>
      <w:r w:rsidRPr="00332E42" w:rsidR="0099046B">
        <w:t xml:space="preserve"> </w:t>
      </w:r>
    </w:p>
    <w:p w:rsidRPr="00332E42" w:rsidR="00602BCD" w:rsidP="00332E42" w:rsidRDefault="00602BCD" w14:paraId="30AD1993" w14:textId="77777777">
      <w:pPr>
        <w:pStyle w:val="BodyText"/>
        <w:ind w:right="26"/>
      </w:pPr>
    </w:p>
    <w:p w:rsidR="007737C8" w:rsidP="00332E42" w:rsidRDefault="007737C8" w14:paraId="48E5D1D6" w14:textId="77777777">
      <w:pPr>
        <w:spacing w:line="240" w:lineRule="auto"/>
        <w:rPr>
          <w:u w:val="single"/>
        </w:rPr>
      </w:pPr>
      <w:r w:rsidRPr="00332E42">
        <w:rPr>
          <w:u w:val="single"/>
        </w:rPr>
        <w:t>Tabel 1</w:t>
      </w:r>
      <w:r w:rsidRPr="00332E42">
        <w:rPr>
          <w:i/>
          <w:iCs/>
          <w:u w:val="single"/>
        </w:rPr>
        <w:t>:</w:t>
      </w:r>
      <w:r w:rsidRPr="00332E42">
        <w:rPr>
          <w:u w:val="single"/>
        </w:rPr>
        <w:t xml:space="preserve"> Kernbijdragen 6 multilaterale gezondheidsorganisaties vanaf 2026</w:t>
      </w:r>
    </w:p>
    <w:p w:rsidRPr="00332E42" w:rsidR="00332E42" w:rsidP="00332E42" w:rsidRDefault="00332E42" w14:paraId="72D46712" w14:textId="77777777">
      <w:pPr>
        <w:spacing w:line="240" w:lineRule="auto"/>
        <w:rPr>
          <w:u w:val="single"/>
        </w:rPr>
      </w:pPr>
    </w:p>
    <w:tbl>
      <w:tblPr>
        <w:tblStyle w:val="TableGrid"/>
        <w:tblW w:w="8618" w:type="dxa"/>
        <w:tblInd w:w="-5" w:type="dxa"/>
        <w:tblLayout w:type="fixed"/>
        <w:tblLook w:val="04A0" w:firstRow="1" w:lastRow="0" w:firstColumn="1" w:lastColumn="0" w:noHBand="0" w:noVBand="1"/>
      </w:tblPr>
      <w:tblGrid>
        <w:gridCol w:w="2257"/>
        <w:gridCol w:w="2534"/>
        <w:gridCol w:w="3827"/>
      </w:tblGrid>
      <w:tr w:rsidRPr="00332E42" w:rsidR="007737C8" w:rsidTr="00F55471" w14:paraId="1B660C02"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33AFE95E" w14:textId="77777777">
            <w:pPr>
              <w:pStyle w:val="BodyText"/>
              <w:ind w:right="876"/>
              <w:rPr>
                <w:rFonts w:cs="Times New Roman"/>
                <w:b/>
                <w:bCs/>
              </w:rPr>
            </w:pPr>
            <w:r w:rsidRPr="00332E42">
              <w:rPr>
                <w:rFonts w:cs="Times New Roman"/>
                <w:b/>
                <w:bCs/>
              </w:rPr>
              <w:t>Organisatie</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7E9880D4" w14:textId="77777777">
            <w:pPr>
              <w:pStyle w:val="BodyText"/>
              <w:ind w:right="599"/>
              <w:rPr>
                <w:rFonts w:cs="Times New Roman"/>
                <w:b/>
                <w:bCs/>
              </w:rPr>
            </w:pPr>
            <w:r w:rsidRPr="00332E42">
              <w:rPr>
                <w:rFonts w:cs="Times New Roman"/>
                <w:b/>
                <w:bCs/>
              </w:rPr>
              <w:t>Bijdrage in 2025</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3B93425F" w14:textId="77777777">
            <w:pPr>
              <w:pStyle w:val="BodyText"/>
              <w:ind w:right="876"/>
              <w:jc w:val="center"/>
              <w:rPr>
                <w:rFonts w:cs="Times New Roman"/>
                <w:b/>
                <w:bCs/>
              </w:rPr>
            </w:pPr>
            <w:r w:rsidRPr="00332E42">
              <w:rPr>
                <w:rFonts w:cs="Times New Roman"/>
                <w:b/>
                <w:bCs/>
              </w:rPr>
              <w:t>Bijdrage vanaf 2026</w:t>
            </w:r>
          </w:p>
        </w:tc>
      </w:tr>
      <w:tr w:rsidRPr="00332E42" w:rsidR="007737C8" w:rsidTr="00F55471" w14:paraId="370B12C6" w14:textId="77777777">
        <w:tc>
          <w:tcPr>
            <w:tcW w:w="2257"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34E765DE" w14:textId="77777777">
            <w:pPr>
              <w:pStyle w:val="BodyText"/>
              <w:ind w:right="-87"/>
              <w:rPr>
                <w:rFonts w:cs="Times New Roman"/>
                <w:b/>
                <w:bCs/>
                <w:lang w:val="en-US"/>
              </w:rPr>
            </w:pPr>
            <w:r w:rsidRPr="00332E42">
              <w:rPr>
                <w:rFonts w:cs="Times New Roman"/>
                <w:b/>
                <w:bCs/>
              </w:rPr>
              <w:t xml:space="preserve">1. </w:t>
            </w:r>
            <w:proofErr w:type="spellStart"/>
            <w:r w:rsidRPr="00332E42">
              <w:rPr>
                <w:rFonts w:cs="Times New Roman"/>
                <w:b/>
                <w:bCs/>
              </w:rPr>
              <w:t>Gavi</w:t>
            </w:r>
            <w:proofErr w:type="spellEnd"/>
          </w:p>
        </w:tc>
        <w:tc>
          <w:tcPr>
            <w:tcW w:w="2534"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2C3BD7E2" w14:textId="77777777">
            <w:pPr>
              <w:pStyle w:val="BodyText"/>
              <w:ind w:right="599"/>
              <w:jc w:val="right"/>
              <w:rPr>
                <w:rFonts w:cs="Times New Roman"/>
              </w:rPr>
            </w:pPr>
            <w:r w:rsidRPr="00332E42">
              <w:rPr>
                <w:rFonts w:cs="Times New Roman"/>
                <w:lang w:val="en-US"/>
              </w:rPr>
              <w:t>€</w:t>
            </w:r>
            <w:r w:rsidRPr="00332E42">
              <w:rPr>
                <w:rFonts w:cs="Times New Roman"/>
              </w:rPr>
              <w:t>15 miljoen/jaar</w:t>
            </w:r>
          </w:p>
        </w:tc>
        <w:tc>
          <w:tcPr>
            <w:tcW w:w="3827"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0ED5B19A" w14:textId="27413347">
            <w:pPr>
              <w:pStyle w:val="BodyText"/>
              <w:ind w:right="876"/>
              <w:jc w:val="right"/>
              <w:rPr>
                <w:rFonts w:cs="Times New Roman"/>
              </w:rPr>
            </w:pPr>
            <w:r w:rsidRPr="00332E42">
              <w:rPr>
                <w:rFonts w:cs="Times New Roman"/>
              </w:rPr>
              <w:t>€12,4 miljoen/jaar</w:t>
            </w:r>
            <w:r w:rsidRPr="00332E42" w:rsidR="0015269C">
              <w:rPr>
                <w:rStyle w:val="FootnoteReference"/>
                <w:rFonts w:cs="Times New Roman"/>
              </w:rPr>
              <w:footnoteReference w:id="9"/>
            </w:r>
          </w:p>
        </w:tc>
      </w:tr>
      <w:tr w:rsidRPr="00332E42" w:rsidR="007737C8" w:rsidTr="00F55471" w14:paraId="5744ECC0" w14:textId="77777777">
        <w:tc>
          <w:tcPr>
            <w:tcW w:w="2257"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3EDC07C0" w14:textId="77777777">
            <w:pPr>
              <w:pStyle w:val="BodyText"/>
              <w:ind w:right="-87"/>
              <w:rPr>
                <w:rFonts w:cs="Times New Roman"/>
                <w:b/>
                <w:bCs/>
                <w:lang w:val="en-US"/>
              </w:rPr>
            </w:pPr>
            <w:r w:rsidRPr="00332E42">
              <w:rPr>
                <w:rFonts w:cs="Times New Roman"/>
                <w:b/>
                <w:bCs/>
              </w:rPr>
              <w:t>2. Global Fund</w:t>
            </w:r>
          </w:p>
        </w:tc>
        <w:tc>
          <w:tcPr>
            <w:tcW w:w="2534"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1A223814" w14:textId="77777777">
            <w:pPr>
              <w:pStyle w:val="BodyText"/>
              <w:ind w:right="599"/>
              <w:jc w:val="right"/>
              <w:rPr>
                <w:rFonts w:cs="Times New Roman"/>
              </w:rPr>
            </w:pPr>
            <w:r w:rsidRPr="00332E42">
              <w:rPr>
                <w:rFonts w:cs="Times New Roman"/>
                <w:lang w:val="en-US"/>
              </w:rPr>
              <w:t>€</w:t>
            </w:r>
            <w:r w:rsidRPr="00332E42">
              <w:rPr>
                <w:rFonts w:cs="Times New Roman"/>
              </w:rPr>
              <w:t>60 miljoen/jaar</w:t>
            </w:r>
          </w:p>
        </w:tc>
        <w:tc>
          <w:tcPr>
            <w:tcW w:w="3827" w:type="dxa"/>
            <w:tcBorders>
              <w:top w:val="single" w:color="000000" w:sz="4" w:space="0"/>
              <w:left w:val="single" w:color="000000" w:sz="4" w:space="0"/>
              <w:bottom w:val="single" w:color="000000" w:sz="4" w:space="0"/>
              <w:right w:val="single" w:color="000000" w:sz="4" w:space="0"/>
            </w:tcBorders>
          </w:tcPr>
          <w:p w:rsidRPr="00332E42" w:rsidR="007737C8" w:rsidP="00332E42" w:rsidRDefault="007737C8" w14:paraId="2DCE1D40" w14:textId="77777777">
            <w:pPr>
              <w:pStyle w:val="BodyText"/>
              <w:ind w:right="876"/>
              <w:jc w:val="right"/>
              <w:rPr>
                <w:rFonts w:cs="Times New Roman"/>
              </w:rPr>
            </w:pPr>
            <w:r w:rsidRPr="00332E42">
              <w:rPr>
                <w:rFonts w:cs="Times New Roman"/>
                <w:lang w:val="en-US"/>
              </w:rPr>
              <w:t>€</w:t>
            </w:r>
            <w:r w:rsidRPr="00332E42">
              <w:rPr>
                <w:rFonts w:cs="Times New Roman"/>
                <w:lang w:val="en-GB"/>
              </w:rPr>
              <w:t xml:space="preserve">48,8 </w:t>
            </w:r>
            <w:r w:rsidRPr="00332E42">
              <w:rPr>
                <w:rFonts w:cs="Times New Roman"/>
              </w:rPr>
              <w:t xml:space="preserve"> miljoen/jaar</w:t>
            </w:r>
          </w:p>
        </w:tc>
      </w:tr>
      <w:tr w:rsidRPr="00332E42" w:rsidR="007737C8" w:rsidTr="00F55471" w14:paraId="7ACDFCCA"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0A3B6D0D" w14:textId="77777777">
            <w:pPr>
              <w:pStyle w:val="BodyText"/>
              <w:ind w:right="-87"/>
              <w:rPr>
                <w:rFonts w:cs="Times New Roman"/>
                <w:b/>
                <w:bCs/>
                <w:lang w:val="en-US"/>
              </w:rPr>
            </w:pPr>
            <w:r w:rsidRPr="00332E42">
              <w:rPr>
                <w:rFonts w:cs="Times New Roman"/>
                <w:b/>
                <w:bCs/>
                <w:lang w:val="en-US"/>
              </w:rPr>
              <w:t xml:space="preserve">3. GFF </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24D34365" w14:textId="77777777">
            <w:pPr>
              <w:pStyle w:val="BodyText"/>
              <w:ind w:right="599"/>
              <w:jc w:val="right"/>
              <w:rPr>
                <w:rFonts w:cs="Times New Roman"/>
              </w:rPr>
            </w:pPr>
            <w:r w:rsidRPr="00332E42">
              <w:rPr>
                <w:rFonts w:cs="Times New Roman"/>
                <w:lang w:val="en-US"/>
              </w:rPr>
              <w:t>€</w:t>
            </w:r>
            <w:r w:rsidRPr="00332E42">
              <w:rPr>
                <w:rFonts w:cs="Times New Roman"/>
              </w:rPr>
              <w:t>30 miljoen/jaar</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57CD51F5" w14:textId="77777777">
            <w:pPr>
              <w:pStyle w:val="BodyText"/>
              <w:ind w:right="876"/>
              <w:jc w:val="right"/>
              <w:rPr>
                <w:rFonts w:cs="Times New Roman"/>
              </w:rPr>
            </w:pPr>
            <w:r w:rsidRPr="00332E42">
              <w:rPr>
                <w:rFonts w:cs="Times New Roman"/>
                <w:lang w:val="en-US"/>
              </w:rPr>
              <w:t>€</w:t>
            </w:r>
            <w:r w:rsidRPr="00332E42">
              <w:rPr>
                <w:rFonts w:cs="Times New Roman"/>
              </w:rPr>
              <w:t>23,9 miljoen/jaar</w:t>
            </w:r>
          </w:p>
        </w:tc>
      </w:tr>
      <w:tr w:rsidRPr="00332E42" w:rsidR="007737C8" w:rsidTr="00F55471" w14:paraId="4DD6ACE0"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4B67DAF3" w14:textId="77777777">
            <w:pPr>
              <w:pStyle w:val="BodyText"/>
              <w:ind w:right="876"/>
              <w:rPr>
                <w:rFonts w:cs="Times New Roman"/>
                <w:b/>
                <w:bCs/>
              </w:rPr>
            </w:pPr>
            <w:r w:rsidRPr="00332E42">
              <w:rPr>
                <w:rFonts w:cs="Times New Roman"/>
                <w:b/>
                <w:bCs/>
              </w:rPr>
              <w:t>4. UNAIDS</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6A4788FF" w14:textId="77777777">
            <w:pPr>
              <w:pStyle w:val="BodyText"/>
              <w:ind w:right="599"/>
              <w:jc w:val="right"/>
              <w:rPr>
                <w:rFonts w:cs="Times New Roman"/>
              </w:rPr>
            </w:pPr>
            <w:r w:rsidRPr="00332E42">
              <w:rPr>
                <w:rFonts w:cs="Times New Roman"/>
                <w:lang w:val="en-US"/>
              </w:rPr>
              <w:t>€</w:t>
            </w:r>
            <w:r w:rsidRPr="00332E42">
              <w:rPr>
                <w:rFonts w:cs="Times New Roman"/>
              </w:rPr>
              <w:t>23 miljoen/jaar</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555F8DFB" w14:textId="77777777">
            <w:pPr>
              <w:pStyle w:val="BodyText"/>
              <w:ind w:right="876"/>
              <w:jc w:val="right"/>
              <w:rPr>
                <w:rFonts w:cs="Times New Roman"/>
                <w:vertAlign w:val="superscript"/>
              </w:rPr>
            </w:pPr>
            <w:r w:rsidRPr="00332E42">
              <w:rPr>
                <w:rFonts w:cs="Times New Roman"/>
                <w:lang w:val="en-US"/>
              </w:rPr>
              <w:t>€18,2</w:t>
            </w:r>
            <w:r w:rsidRPr="00332E42">
              <w:rPr>
                <w:rFonts w:cs="Times New Roman"/>
              </w:rPr>
              <w:t xml:space="preserve"> miljoen/jaar</w:t>
            </w:r>
          </w:p>
        </w:tc>
      </w:tr>
      <w:tr w:rsidRPr="00332E42" w:rsidR="007737C8" w:rsidTr="00F55471" w14:paraId="0AC9181A"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3FB2ED49" w14:textId="77777777">
            <w:pPr>
              <w:pStyle w:val="BodyText"/>
              <w:ind w:right="876"/>
              <w:rPr>
                <w:rFonts w:cs="Times New Roman"/>
                <w:b/>
                <w:bCs/>
              </w:rPr>
            </w:pPr>
            <w:r w:rsidRPr="00332E42">
              <w:rPr>
                <w:rFonts w:cs="Times New Roman"/>
                <w:b/>
                <w:bCs/>
              </w:rPr>
              <w:t>5. UNFPA</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4E45D02D" w14:textId="77777777">
            <w:pPr>
              <w:pStyle w:val="BodyText"/>
              <w:ind w:right="599"/>
              <w:jc w:val="right"/>
              <w:rPr>
                <w:rFonts w:cs="Times New Roman"/>
              </w:rPr>
            </w:pPr>
            <w:r w:rsidRPr="00332E42">
              <w:rPr>
                <w:rFonts w:cs="Times New Roman"/>
              </w:rPr>
              <w:t>35 miljoen/jaar</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67503333" w14:textId="77777777">
            <w:pPr>
              <w:pStyle w:val="BodyText"/>
              <w:ind w:right="876"/>
              <w:jc w:val="right"/>
              <w:rPr>
                <w:rFonts w:cs="Times New Roman"/>
              </w:rPr>
            </w:pPr>
            <w:r w:rsidRPr="00332E42">
              <w:rPr>
                <w:rFonts w:cs="Times New Roman"/>
                <w:lang w:val="en-US"/>
              </w:rPr>
              <w:t>€</w:t>
            </w:r>
            <w:r w:rsidRPr="00332E42">
              <w:rPr>
                <w:rFonts w:cs="Times New Roman"/>
              </w:rPr>
              <w:t>28,7 miljoen/jaar</w:t>
            </w:r>
          </w:p>
        </w:tc>
      </w:tr>
      <w:tr w:rsidRPr="00332E42" w:rsidR="007737C8" w:rsidTr="00F55471" w14:paraId="736CD4B0"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5FAE587D" w14:textId="77777777">
            <w:pPr>
              <w:pStyle w:val="BodyText"/>
              <w:ind w:right="876"/>
              <w:rPr>
                <w:rFonts w:cs="Times New Roman"/>
                <w:b/>
                <w:bCs/>
              </w:rPr>
            </w:pPr>
            <w:r w:rsidRPr="00332E42">
              <w:rPr>
                <w:rFonts w:cs="Times New Roman"/>
                <w:b/>
                <w:bCs/>
              </w:rPr>
              <w:t>6. WHO</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3E859258" w14:textId="15BCF8CC">
            <w:pPr>
              <w:pStyle w:val="BodyText"/>
              <w:ind w:right="599"/>
              <w:jc w:val="right"/>
              <w:rPr>
                <w:rFonts w:cs="Times New Roman"/>
              </w:rPr>
            </w:pPr>
            <w:r w:rsidRPr="00332E42">
              <w:rPr>
                <w:rFonts w:cs="Times New Roman"/>
                <w:lang w:val="en-US"/>
              </w:rPr>
              <w:t>€</w:t>
            </w:r>
            <w:r w:rsidRPr="00332E42">
              <w:rPr>
                <w:rFonts w:cs="Times New Roman"/>
              </w:rPr>
              <w:t>9,6 miljoen/jaar</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254C1921" w14:textId="77777777">
            <w:pPr>
              <w:pStyle w:val="BodyText"/>
              <w:ind w:right="876"/>
              <w:jc w:val="right"/>
              <w:rPr>
                <w:rFonts w:cs="Times New Roman"/>
              </w:rPr>
            </w:pPr>
            <w:r w:rsidRPr="00332E42">
              <w:rPr>
                <w:rFonts w:cs="Times New Roman"/>
                <w:lang w:val="en-US"/>
              </w:rPr>
              <w:t>€</w:t>
            </w:r>
            <w:r w:rsidRPr="00332E42">
              <w:rPr>
                <w:rFonts w:cs="Times New Roman"/>
              </w:rPr>
              <w:t>9,6 miljoen/jaar</w:t>
            </w:r>
          </w:p>
        </w:tc>
      </w:tr>
      <w:tr w:rsidRPr="00332E42" w:rsidR="007737C8" w:rsidTr="00F55471" w14:paraId="5D64DE26" w14:textId="77777777">
        <w:tc>
          <w:tcPr>
            <w:tcW w:w="225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31284BA4" w14:textId="77777777">
            <w:pPr>
              <w:pStyle w:val="BodyText"/>
              <w:ind w:right="876"/>
              <w:rPr>
                <w:rFonts w:cs="Times New Roman"/>
                <w:b/>
                <w:bCs/>
              </w:rPr>
            </w:pPr>
            <w:r w:rsidRPr="00332E42">
              <w:rPr>
                <w:rFonts w:cs="Times New Roman"/>
                <w:b/>
                <w:bCs/>
              </w:rPr>
              <w:t>Totaal</w:t>
            </w:r>
          </w:p>
        </w:tc>
        <w:tc>
          <w:tcPr>
            <w:tcW w:w="2534"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71EA9509" w14:textId="0DA167B4">
            <w:pPr>
              <w:pStyle w:val="BodyText"/>
              <w:ind w:right="599"/>
              <w:jc w:val="right"/>
              <w:rPr>
                <w:rFonts w:cs="Times New Roman"/>
                <w:b/>
                <w:bCs/>
              </w:rPr>
            </w:pPr>
            <w:r w:rsidRPr="00332E42">
              <w:rPr>
                <w:rFonts w:cs="Times New Roman"/>
                <w:b/>
                <w:bCs/>
              </w:rPr>
              <w:t>172,6 miljoen/jaar</w:t>
            </w:r>
          </w:p>
        </w:tc>
        <w:tc>
          <w:tcPr>
            <w:tcW w:w="3827" w:type="dxa"/>
            <w:tcBorders>
              <w:top w:val="single" w:color="000000" w:sz="4" w:space="0"/>
              <w:left w:val="single" w:color="000000" w:sz="4" w:space="0"/>
              <w:bottom w:val="single" w:color="000000" w:sz="4" w:space="0"/>
              <w:right w:val="single" w:color="000000" w:sz="4" w:space="0"/>
            </w:tcBorders>
            <w:hideMark/>
          </w:tcPr>
          <w:p w:rsidRPr="00332E42" w:rsidR="007737C8" w:rsidP="00332E42" w:rsidRDefault="007737C8" w14:paraId="4F647EE4" w14:textId="041423B6">
            <w:pPr>
              <w:pStyle w:val="BodyText"/>
              <w:ind w:right="876"/>
              <w:jc w:val="right"/>
              <w:rPr>
                <w:rFonts w:cs="Times New Roman"/>
                <w:b/>
                <w:bCs/>
              </w:rPr>
            </w:pPr>
            <w:r w:rsidRPr="00332E42">
              <w:rPr>
                <w:rFonts w:cs="Times New Roman"/>
                <w:b/>
                <w:bCs/>
              </w:rPr>
              <w:t>€141,6 miljoen/jaar</w:t>
            </w:r>
          </w:p>
        </w:tc>
      </w:tr>
    </w:tbl>
    <w:p w:rsidRPr="00332E42" w:rsidR="008C0097" w:rsidP="00332E42" w:rsidRDefault="008C0097" w14:paraId="7EB20A9D" w14:textId="77777777">
      <w:pPr>
        <w:pStyle w:val="BodyText"/>
        <w:ind w:right="26"/>
      </w:pPr>
    </w:p>
    <w:p w:rsidRPr="00332E42" w:rsidR="00602BCD" w:rsidP="00332E42" w:rsidRDefault="00602BCD" w14:paraId="4E6B9B5C" w14:textId="77777777">
      <w:pPr>
        <w:pStyle w:val="BodyText"/>
        <w:ind w:right="26"/>
      </w:pPr>
    </w:p>
    <w:p w:rsidRPr="00332E42" w:rsidR="000B319B" w:rsidP="00332E42" w:rsidRDefault="00A5130A" w14:paraId="646A8D8D" w14:textId="655CE170">
      <w:pPr>
        <w:pStyle w:val="BodyText"/>
        <w:ind w:right="26"/>
        <w:rPr>
          <w:b/>
          <w:bCs/>
        </w:rPr>
      </w:pPr>
      <w:r w:rsidRPr="00332E42">
        <w:rPr>
          <w:b/>
          <w:bCs/>
        </w:rPr>
        <w:t>Effecten van de bezuinigingen op het SRGR beleid</w:t>
      </w:r>
    </w:p>
    <w:p w:rsidR="00332E42" w:rsidP="00332E42" w:rsidRDefault="00332E42" w14:paraId="66671CC2" w14:textId="77777777">
      <w:pPr>
        <w:pStyle w:val="BodyText"/>
        <w:ind w:right="26"/>
      </w:pPr>
      <w:bookmarkStart w:name="_Hlk209700172" w:id="5"/>
    </w:p>
    <w:p w:rsidRPr="00332E42" w:rsidR="00A330CE" w:rsidP="00332E42" w:rsidRDefault="00A330CE" w14:paraId="3B7DB8EA" w14:textId="37417D0D">
      <w:pPr>
        <w:pStyle w:val="BodyText"/>
        <w:ind w:right="26"/>
      </w:pPr>
      <w:r w:rsidRPr="00332E42">
        <w:t>Mondiale gezondheid blijft</w:t>
      </w:r>
      <w:r w:rsidRPr="00332E42" w:rsidDel="007B5F1D">
        <w:t xml:space="preserve"> </w:t>
      </w:r>
      <w:r w:rsidRPr="00332E42">
        <w:t xml:space="preserve">een prioriteit binnen het nieuwe BHO-beleid en de SRGR inzet is hier een belangrijk onderdeel van. NL blijft een belangrijke donor met een </w:t>
      </w:r>
      <w:r w:rsidRPr="00332E42" w:rsidR="00215824">
        <w:t>substantieel</w:t>
      </w:r>
      <w:r w:rsidRPr="00332E42">
        <w:t xml:space="preserve"> budget. </w:t>
      </w:r>
    </w:p>
    <w:bookmarkEnd w:id="5"/>
    <w:p w:rsidRPr="00332E42" w:rsidR="00A330CE" w:rsidP="00332E42" w:rsidRDefault="00A330CE" w14:paraId="16ADF9AA" w14:textId="77777777">
      <w:pPr>
        <w:pStyle w:val="BodyText"/>
        <w:ind w:right="26"/>
      </w:pPr>
    </w:p>
    <w:p w:rsidRPr="00332E42" w:rsidR="00A330CE" w:rsidP="00332E42" w:rsidRDefault="00A330CE" w14:paraId="423AE492" w14:textId="476542CD">
      <w:pPr>
        <w:pStyle w:val="BodyText"/>
        <w:ind w:right="26"/>
      </w:pPr>
      <w:r w:rsidRPr="00332E42">
        <w:t xml:space="preserve">Begrotingsartikel 3.1. betreft programmering op het gebied van mondiale gezondheid (zoals bijvoorbeeld pandemische paraatheid, kindervaccinaties en ontwikkeling van nieuwe medicatie) en Seksuele en Reproductieve Gezondheid en Rechten (zoals bijvoorbeeld moeder- en kindzorg, de preventie en aanpak van hiv-aids en beschikbaarheid van anticonceptie). </w:t>
      </w:r>
      <w:r w:rsidRPr="00332E42" w:rsidR="00E55BFF">
        <w:t xml:space="preserve">Vanwege het teruglopende budget, zoals hierboven aangegeven, </w:t>
      </w:r>
      <w:r w:rsidRPr="00332E42" w:rsidR="0006530F">
        <w:t>moeten</w:t>
      </w:r>
      <w:r w:rsidRPr="00332E42">
        <w:t xml:space="preserve"> </w:t>
      </w:r>
      <w:r w:rsidRPr="00332E42" w:rsidR="00F975CD">
        <w:t>er</w:t>
      </w:r>
      <w:r w:rsidRPr="00332E42">
        <w:t xml:space="preserve"> -</w:t>
      </w:r>
      <w:r w:rsidRPr="00332E42" w:rsidR="00F82F3C">
        <w:t xml:space="preserve"> </w:t>
      </w:r>
      <w:r w:rsidRPr="00332E42">
        <w:t>op basis van het nieuwe BHO-beleid</w:t>
      </w:r>
      <w:r w:rsidRPr="00332E42">
        <w:rPr>
          <w:rStyle w:val="FootnoteReference"/>
        </w:rPr>
        <w:footnoteReference w:id="10"/>
      </w:r>
      <w:r w:rsidRPr="00332E42">
        <w:t xml:space="preserve"> en de kabinetsbrede mondiale gezondheidsstrategie</w:t>
      </w:r>
      <w:r w:rsidRPr="00332E42">
        <w:rPr>
          <w:rStyle w:val="FootnoteReference"/>
        </w:rPr>
        <w:footnoteReference w:id="11"/>
      </w:r>
      <w:r w:rsidRPr="00332E42">
        <w:t>- keuzes gemaakt</w:t>
      </w:r>
      <w:r w:rsidRPr="00332E42" w:rsidR="00F975CD">
        <w:t xml:space="preserve"> worden</w:t>
      </w:r>
      <w:r w:rsidRPr="00332E42">
        <w:t xml:space="preserve">. </w:t>
      </w:r>
    </w:p>
    <w:p w:rsidRPr="00332E42" w:rsidR="00A330CE" w:rsidP="00332E42" w:rsidRDefault="00A330CE" w14:paraId="2C669E6D" w14:textId="77777777">
      <w:pPr>
        <w:pStyle w:val="BodyText"/>
        <w:ind w:right="26"/>
      </w:pPr>
    </w:p>
    <w:p w:rsidRPr="00332E42" w:rsidR="002D5623" w:rsidP="00332E42" w:rsidRDefault="00116B3A" w14:paraId="4528B042" w14:textId="72FFBAAD">
      <w:pPr>
        <w:pStyle w:val="BodyText"/>
        <w:ind w:right="26"/>
      </w:pPr>
      <w:r w:rsidRPr="00332E42">
        <w:t xml:space="preserve">In begrotingsartikel 3.1, is een </w:t>
      </w:r>
      <w:r w:rsidRPr="00332E42" w:rsidR="002D5623">
        <w:t xml:space="preserve">exact onderscheid tussen Mondiale </w:t>
      </w:r>
      <w:r w:rsidRPr="00332E42" w:rsidR="003F183B">
        <w:t>G</w:t>
      </w:r>
      <w:r w:rsidRPr="00332E42" w:rsidR="002D5623">
        <w:t>ezondheid en SRGR niet te maken. De dienstverlening waaraan NL bijdraagt omvat de brede basisgezondheidszorg</w:t>
      </w:r>
      <w:r w:rsidRPr="00332E42" w:rsidR="001A4328">
        <w:t xml:space="preserve"> en SRGR diensten zijn hier een </w:t>
      </w:r>
      <w:r w:rsidRPr="00332E42" w:rsidR="00F57FE3">
        <w:t xml:space="preserve">integraal </w:t>
      </w:r>
      <w:r w:rsidRPr="00332E42" w:rsidR="001A4328">
        <w:t>onderdeel van.</w:t>
      </w:r>
      <w:r w:rsidRPr="00332E42" w:rsidDel="00A330CE" w:rsidR="001A4328">
        <w:t xml:space="preserve"> </w:t>
      </w:r>
      <w:bookmarkStart w:name="_Hlk209700265" w:id="6"/>
      <w:r w:rsidRPr="00332E42">
        <w:t>We kunnen daarom de specifieke effecten van de bezuinigingen op het SRGR beleid niet berekenen.</w:t>
      </w:r>
      <w:bookmarkEnd w:id="6"/>
      <w:r w:rsidRPr="00332E42">
        <w:t xml:space="preserve">  </w:t>
      </w:r>
    </w:p>
    <w:p w:rsidRPr="00332E42" w:rsidR="00403F18" w:rsidP="00332E42" w:rsidRDefault="00403F18" w14:paraId="1CB5B525" w14:textId="77777777">
      <w:pPr>
        <w:pStyle w:val="BodyText"/>
        <w:ind w:right="26"/>
      </w:pPr>
    </w:p>
    <w:p w:rsidR="00116B3A" w:rsidP="00332E42" w:rsidRDefault="00116B3A" w14:paraId="07E3F507" w14:textId="68DD86F3">
      <w:pPr>
        <w:pStyle w:val="BodyText"/>
        <w:ind w:right="26"/>
      </w:pPr>
      <w:r w:rsidRPr="00332E42">
        <w:t>Het kabinet spant zich in</w:t>
      </w:r>
      <w:r w:rsidRPr="00332E42" w:rsidR="00A50BB4">
        <w:t xml:space="preserve"> </w:t>
      </w:r>
      <w:r w:rsidRPr="00332E42" w:rsidR="00403F18">
        <w:t xml:space="preserve">– mede op verzoek van uw </w:t>
      </w:r>
      <w:r w:rsidRPr="00332E42" w:rsidR="00DB54F3">
        <w:t>K</w:t>
      </w:r>
      <w:r w:rsidRPr="00332E42" w:rsidR="00403F18">
        <w:t>amer</w:t>
      </w:r>
      <w:r w:rsidRPr="00332E42" w:rsidR="001A4328">
        <w:rPr>
          <w:rStyle w:val="FootnoteReference"/>
        </w:rPr>
        <w:footnoteReference w:id="12"/>
      </w:r>
      <w:r w:rsidRPr="00332E42" w:rsidR="00403F18">
        <w:t>- om</w:t>
      </w:r>
      <w:r w:rsidRPr="00332E42" w:rsidDel="00116B3A" w:rsidR="00C747C6">
        <w:t xml:space="preserve"> </w:t>
      </w:r>
      <w:r w:rsidRPr="00332E42">
        <w:t xml:space="preserve">het SRGR </w:t>
      </w:r>
      <w:r w:rsidRPr="00332E42" w:rsidR="00403F18">
        <w:t>beleid zoveel mogelijk overeind te houden</w:t>
      </w:r>
      <w:r w:rsidRPr="00332E42">
        <w:t xml:space="preserve"> binnen de beschikbare financiële ruimte. </w:t>
      </w:r>
      <w:r w:rsidRPr="00332E42" w:rsidR="003F183B">
        <w:t>E</w:t>
      </w:r>
      <w:r w:rsidRPr="00332E42">
        <w:t xml:space="preserve">r </w:t>
      </w:r>
      <w:r w:rsidRPr="00332E42" w:rsidR="003F183B">
        <w:t>is</w:t>
      </w:r>
      <w:r w:rsidRPr="00332E42" w:rsidDel="00116B3A">
        <w:t xml:space="preserve"> sprake van een aantal </w:t>
      </w:r>
      <w:r w:rsidRPr="00332E42">
        <w:t>langlopende verplichtingen</w:t>
      </w:r>
      <w:r w:rsidRPr="00332E42" w:rsidR="00A50BB4">
        <w:t>,</w:t>
      </w:r>
      <w:r w:rsidRPr="00332E42">
        <w:t xml:space="preserve"> die niet geraakt worden. Het gaat bijvoorbeeld om een meerjarige bijdrage aan </w:t>
      </w:r>
      <w:proofErr w:type="spellStart"/>
      <w:r w:rsidRPr="00332E42">
        <w:t>Gavi</w:t>
      </w:r>
      <w:proofErr w:type="spellEnd"/>
      <w:r w:rsidRPr="00332E42" w:rsidR="00F82F3C">
        <w:t>,</w:t>
      </w:r>
      <w:r w:rsidRPr="00332E42">
        <w:t xml:space="preserve"> via</w:t>
      </w:r>
      <w:r w:rsidRPr="00332E42" w:rsidDel="00116B3A">
        <w:t xml:space="preserve"> </w:t>
      </w:r>
      <w:r w:rsidRPr="00332E42">
        <w:t xml:space="preserve">een </w:t>
      </w:r>
      <w:r w:rsidRPr="00332E42">
        <w:lastRenderedPageBreak/>
        <w:t xml:space="preserve">innovatief </w:t>
      </w:r>
      <w:r w:rsidRPr="00B5113F">
        <w:t xml:space="preserve">financieringsmechanisme </w:t>
      </w:r>
      <w:r w:rsidRPr="00B5113F" w:rsidR="0051246E">
        <w:t>ten behoeve van</w:t>
      </w:r>
      <w:r w:rsidRPr="00B5113F">
        <w:t xml:space="preserve"> kindervaccinaties. Het gaat om een bijdrage aan UNFPA </w:t>
      </w:r>
      <w:proofErr w:type="spellStart"/>
      <w:r w:rsidRPr="00B5113F">
        <w:t>Supplies</w:t>
      </w:r>
      <w:proofErr w:type="spellEnd"/>
      <w:r w:rsidRPr="00B5113F" w:rsidR="00F82F3C">
        <w:t>,</w:t>
      </w:r>
      <w:r w:rsidRPr="00B5113F">
        <w:t xml:space="preserve"> t</w:t>
      </w:r>
      <w:r w:rsidRPr="00B5113F" w:rsidR="00581363">
        <w:t>en behoeve van</w:t>
      </w:r>
      <w:r w:rsidRPr="00B5113F">
        <w:t xml:space="preserve"> de</w:t>
      </w:r>
      <w:r w:rsidRPr="00332E42">
        <w:t xml:space="preserve"> beschikbaarheid van anticonceptie en </w:t>
      </w:r>
      <w:r w:rsidRPr="00332E42" w:rsidR="005C0B70">
        <w:t xml:space="preserve">om </w:t>
      </w:r>
      <w:r w:rsidRPr="00332E42">
        <w:t xml:space="preserve">meerjarige financiering voor </w:t>
      </w:r>
      <w:r w:rsidRPr="00332E42" w:rsidR="00DB54F3">
        <w:t>een wereldwijde organisatie als</w:t>
      </w:r>
      <w:r w:rsidRPr="00332E42">
        <w:t xml:space="preserve"> IPPF</w:t>
      </w:r>
      <w:r w:rsidRPr="00332E42" w:rsidR="00F82F3C">
        <w:t>,</w:t>
      </w:r>
      <w:r w:rsidRPr="00332E42" w:rsidR="0015269C">
        <w:rPr>
          <w:rStyle w:val="FootnoteReference"/>
        </w:rPr>
        <w:footnoteReference w:id="13"/>
      </w:r>
      <w:r w:rsidRPr="00332E42">
        <w:t xml:space="preserve"> die SRGR diensten verle</w:t>
      </w:r>
      <w:r w:rsidRPr="00332E42" w:rsidR="00DB54F3">
        <w:t>ent</w:t>
      </w:r>
      <w:r w:rsidRPr="00332E42">
        <w:t xml:space="preserve"> via lokale organisaties in meer dan 145 landen.</w:t>
      </w:r>
    </w:p>
    <w:p w:rsidR="00356D01" w:rsidP="00332E42" w:rsidRDefault="00356D01" w14:paraId="2AF91765" w14:textId="77777777">
      <w:pPr>
        <w:pStyle w:val="BodyText"/>
        <w:ind w:right="26"/>
      </w:pPr>
    </w:p>
    <w:p w:rsidRPr="00332E42" w:rsidR="00F31653" w:rsidP="00332E42" w:rsidRDefault="00C340FB" w14:paraId="7DDDDD92" w14:textId="33D1723F">
      <w:pPr>
        <w:pStyle w:val="BodyText"/>
        <w:ind w:right="26"/>
      </w:pPr>
      <w:r w:rsidRPr="00332E42">
        <w:t xml:space="preserve">Zoals </w:t>
      </w:r>
      <w:r w:rsidRPr="00332E42" w:rsidR="00F57FE3">
        <w:t>hierboven</w:t>
      </w:r>
      <w:r w:rsidRPr="00332E42">
        <w:t xml:space="preserve"> </w:t>
      </w:r>
      <w:r w:rsidRPr="00332E42" w:rsidR="005C0B70">
        <w:t>toegelicht</w:t>
      </w:r>
      <w:r w:rsidRPr="00332E42" w:rsidR="00A36715">
        <w:t xml:space="preserve"> </w:t>
      </w:r>
      <w:r w:rsidRPr="00332E42">
        <w:t xml:space="preserve">zal er nog een significant budget zijn voor multilaterale gezondheidsorganisaties. Deze organisaties hebben </w:t>
      </w:r>
      <w:r w:rsidRPr="00332E42" w:rsidR="00FD7B2D">
        <w:t>te kampen</w:t>
      </w:r>
      <w:r w:rsidRPr="00332E42">
        <w:t xml:space="preserve"> met </w:t>
      </w:r>
      <w:r w:rsidRPr="00332E42" w:rsidR="00832B6B">
        <w:t>krimpende</w:t>
      </w:r>
      <w:r w:rsidRPr="00332E42">
        <w:t xml:space="preserve"> budgetten. Middels hervormingen om de efficiëntie te vergroten, proberen de organisaties de gevolgen hiervan te beperken. </w:t>
      </w:r>
      <w:r w:rsidRPr="00332E42" w:rsidR="005C0B70">
        <w:t>Nederland neemt in de bestuursorganen van deze organisaties actief deel aan</w:t>
      </w:r>
      <w:r w:rsidRPr="00332E42" w:rsidR="00A36715">
        <w:t xml:space="preserve"> de besluitvorming over het stellen van prioriteiten</w:t>
      </w:r>
      <w:r w:rsidRPr="00332E42" w:rsidR="005C0B70">
        <w:t xml:space="preserve">. </w:t>
      </w:r>
      <w:r w:rsidRPr="00332E42">
        <w:t xml:space="preserve">Om de gevolgen van de bezuinigingen te beperken, zet Nederland in op </w:t>
      </w:r>
      <w:r w:rsidRPr="00332E42" w:rsidR="00984FA8">
        <w:t xml:space="preserve">duurzame </w:t>
      </w:r>
      <w:r w:rsidRPr="00332E42">
        <w:t>versterking van nationale gezondheidssystemen</w:t>
      </w:r>
      <w:r w:rsidRPr="00332E42" w:rsidR="00984FA8">
        <w:t xml:space="preserve"> waarbij de landen zelf een grotere verantwoordelijkheid nemen en daarvoor meer eigen middelen inzetten.</w:t>
      </w:r>
      <w:r w:rsidRPr="00332E42">
        <w:t xml:space="preserve"> </w:t>
      </w:r>
    </w:p>
    <w:p w:rsidRPr="00332E42" w:rsidR="00984FA8" w:rsidP="00332E42" w:rsidRDefault="00984FA8" w14:paraId="5D0ECACE" w14:textId="77777777">
      <w:pPr>
        <w:pStyle w:val="BodyText"/>
        <w:ind w:right="26"/>
      </w:pPr>
    </w:p>
    <w:p w:rsidR="00F31653" w:rsidP="00332E42" w:rsidRDefault="00215CCE" w14:paraId="009A5B6D" w14:textId="154A6913">
      <w:pPr>
        <w:pStyle w:val="BodyText"/>
        <w:ind w:right="26"/>
      </w:pPr>
      <w:r w:rsidRPr="00332E42">
        <w:t xml:space="preserve">Onder het nieuwe Focus kader </w:t>
      </w:r>
      <w:r w:rsidRPr="00332E42" w:rsidR="00FD7B2D">
        <w:t xml:space="preserve">(dat start vanaf 2026) </w:t>
      </w:r>
      <w:r w:rsidRPr="00332E42">
        <w:t>is er minder geld beschikbaar voor samenwerking met maatschappelijke organisaties dan onder het lopende kader voor</w:t>
      </w:r>
      <w:r w:rsidRPr="00332E42" w:rsidR="00F31653">
        <w:t xml:space="preserve"> </w:t>
      </w:r>
      <w:r w:rsidRPr="00332E42" w:rsidR="00F31653">
        <w:rPr>
          <w:iCs/>
        </w:rPr>
        <w:t>Versterking Maatschappelijk Middenveld</w:t>
      </w:r>
      <w:r w:rsidRPr="00332E42">
        <w:rPr>
          <w:i/>
        </w:rPr>
        <w:t xml:space="preserve">. </w:t>
      </w:r>
      <w:r w:rsidRPr="00332E42">
        <w:rPr>
          <w:iCs/>
        </w:rPr>
        <w:t xml:space="preserve">Voor </w:t>
      </w:r>
      <w:r w:rsidRPr="00332E42" w:rsidR="00F31653">
        <w:t xml:space="preserve">de </w:t>
      </w:r>
      <w:r w:rsidRPr="00332E42" w:rsidR="00FD7B2D">
        <w:t xml:space="preserve">twee SRGR-thema’s van het Focus-kader, </w:t>
      </w:r>
      <w:r w:rsidRPr="00332E42" w:rsidR="00F31653">
        <w:t xml:space="preserve">bestrijding van hiv-aids </w:t>
      </w:r>
      <w:r w:rsidRPr="00332E42">
        <w:t>en</w:t>
      </w:r>
      <w:r w:rsidRPr="00332E42" w:rsidR="00FD7B2D">
        <w:t xml:space="preserve"> </w:t>
      </w:r>
      <w:r w:rsidRPr="00332E42" w:rsidR="00F31653">
        <w:t xml:space="preserve">schadelijke praktijken </w:t>
      </w:r>
      <w:r w:rsidRPr="00332E42" w:rsidR="00FD7B2D">
        <w:t>(vrouwelijk genitale verminking en kind</w:t>
      </w:r>
      <w:r w:rsidR="00172257">
        <w:t xml:space="preserve"> </w:t>
      </w:r>
      <w:r w:rsidRPr="00332E42" w:rsidR="00FD7B2D">
        <w:t>huwelijken), wordt daarentegen meer geld gereserveerd.</w:t>
      </w:r>
    </w:p>
    <w:p w:rsidR="00356D01" w:rsidP="00332E42" w:rsidRDefault="00356D01" w14:paraId="2E98684B" w14:textId="77777777">
      <w:pPr>
        <w:pStyle w:val="BodyText"/>
        <w:ind w:right="26"/>
      </w:pPr>
    </w:p>
    <w:p w:rsidRPr="00332E42" w:rsidR="004A16BA" w:rsidP="00332E42" w:rsidRDefault="004A16BA" w14:paraId="58D4722E" w14:textId="77777777">
      <w:pPr>
        <w:pStyle w:val="BodyText"/>
        <w:ind w:right="2097"/>
      </w:pPr>
    </w:p>
    <w:p w:rsidR="00602BCD" w:rsidP="00332E42" w:rsidRDefault="00602BCD" w14:paraId="16B52D0D" w14:textId="77777777">
      <w:pPr>
        <w:pStyle w:val="BodyText"/>
        <w:ind w:right="2097"/>
      </w:pPr>
    </w:p>
    <w:p w:rsidRPr="00332E42" w:rsidR="00C05417" w:rsidP="00332E42" w:rsidRDefault="00C05417" w14:paraId="7788B8C7" w14:textId="77777777">
      <w:pPr>
        <w:pStyle w:val="BodyText"/>
        <w:ind w:right="2097"/>
      </w:pPr>
    </w:p>
    <w:p w:rsidRPr="00332E42" w:rsidR="00602BCD" w:rsidP="00332E42" w:rsidRDefault="00602BCD" w14:paraId="7CF8629C" w14:textId="77777777">
      <w:pPr>
        <w:spacing w:line="240" w:lineRule="auto"/>
      </w:pPr>
      <w:r w:rsidRPr="00332E42">
        <w:t xml:space="preserve">Staatssecretaris Buitenlandse Handel </w:t>
      </w:r>
    </w:p>
    <w:p w:rsidRPr="00332E42" w:rsidR="00602BCD" w:rsidP="00332E42" w:rsidRDefault="00602BCD" w14:paraId="032CCB33" w14:textId="5FEBF8C6">
      <w:pPr>
        <w:spacing w:line="240" w:lineRule="auto"/>
      </w:pPr>
      <w:r w:rsidRPr="00332E42">
        <w:t>en Ontwikkelingshulp,</w:t>
      </w:r>
    </w:p>
    <w:p w:rsidRPr="00332E42" w:rsidR="00602BCD" w:rsidP="00332E42" w:rsidRDefault="00602BCD" w14:paraId="5BC331AE" w14:textId="77777777">
      <w:pPr>
        <w:spacing w:line="240" w:lineRule="auto"/>
      </w:pPr>
    </w:p>
    <w:p w:rsidR="00602BCD" w:rsidP="00332E42" w:rsidRDefault="00602BCD" w14:paraId="7122A2A3" w14:textId="77777777">
      <w:pPr>
        <w:pStyle w:val="BodyText"/>
        <w:rPr>
          <w:spacing w:val="-2"/>
        </w:rPr>
      </w:pPr>
    </w:p>
    <w:p w:rsidR="00C05417" w:rsidP="00332E42" w:rsidRDefault="00C05417" w14:paraId="6774F705" w14:textId="77777777">
      <w:pPr>
        <w:pStyle w:val="BodyText"/>
        <w:rPr>
          <w:spacing w:val="-2"/>
        </w:rPr>
      </w:pPr>
    </w:p>
    <w:p w:rsidRPr="00332E42" w:rsidR="00C05417" w:rsidP="00332E42" w:rsidRDefault="00C05417" w14:paraId="57D15F95" w14:textId="77777777">
      <w:pPr>
        <w:pStyle w:val="BodyText"/>
        <w:rPr>
          <w:spacing w:val="-2"/>
        </w:rPr>
      </w:pPr>
    </w:p>
    <w:p w:rsidRPr="00332E42" w:rsidR="007B162E" w:rsidP="00332E42" w:rsidRDefault="007B162E" w14:paraId="64C81BE4" w14:textId="77777777">
      <w:pPr>
        <w:spacing w:line="240" w:lineRule="auto"/>
      </w:pPr>
    </w:p>
    <w:p w:rsidRPr="00332E42" w:rsidR="004F6E19" w:rsidP="00332E42" w:rsidRDefault="004F6E19" w14:paraId="3A0DB60E" w14:textId="77777777">
      <w:pPr>
        <w:spacing w:line="240" w:lineRule="auto"/>
      </w:pPr>
      <w:r w:rsidRPr="00332E42">
        <w:t xml:space="preserve">Aukje de Vries </w:t>
      </w:r>
    </w:p>
    <w:bookmarkEnd w:id="0"/>
    <w:p w:rsidRPr="00332E42" w:rsidR="00B52812" w:rsidP="00332E42" w:rsidRDefault="00876A3C" w14:paraId="12A7C838" w14:textId="3849A177">
      <w:pPr>
        <w:spacing w:line="240" w:lineRule="auto"/>
      </w:pPr>
      <w:r w:rsidRPr="00332E42">
        <w:t xml:space="preserve">                                           </w:t>
      </w:r>
    </w:p>
    <w:sectPr w:rsidRPr="00332E42" w:rsidR="00B52812" w:rsidSect="00A35145">
      <w:headerReference w:type="even" r:id="rId12"/>
      <w:headerReference w:type="default" r:id="rId13"/>
      <w:footerReference w:type="even" r:id="rId14"/>
      <w:footerReference w:type="default" r:id="rId15"/>
      <w:headerReference w:type="first" r:id="rId16"/>
      <w:footerReference w:type="first" r:id="rId17"/>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A4E3" w14:textId="77777777" w:rsidR="00BC4C23" w:rsidRDefault="00BC4C23">
      <w:pPr>
        <w:spacing w:line="240" w:lineRule="auto"/>
      </w:pPr>
      <w:r>
        <w:separator/>
      </w:r>
    </w:p>
  </w:endnote>
  <w:endnote w:type="continuationSeparator" w:id="0">
    <w:p w14:paraId="216F5702" w14:textId="77777777" w:rsidR="00BC4C23" w:rsidRDefault="00BC4C23">
      <w:pPr>
        <w:spacing w:line="240" w:lineRule="auto"/>
      </w:pPr>
      <w:r>
        <w:continuationSeparator/>
      </w:r>
    </w:p>
  </w:endnote>
  <w:endnote w:type="continuationNotice" w:id="1">
    <w:p w14:paraId="3A9BFE3E" w14:textId="77777777" w:rsidR="00743D9F" w:rsidRDefault="00743D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7E36" w14:textId="77777777" w:rsidR="00B5113F" w:rsidRDefault="00B51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732602"/>
      <w:docPartObj>
        <w:docPartGallery w:val="Page Numbers (Bottom of Page)"/>
        <w:docPartUnique/>
      </w:docPartObj>
    </w:sdtPr>
    <w:sdtEndPr/>
    <w:sdtContent>
      <w:p w14:paraId="2D195DC3" w14:textId="03FE7F0C" w:rsidR="00602BCD" w:rsidRDefault="00602BCD">
        <w:pPr>
          <w:pStyle w:val="Footer"/>
          <w:jc w:val="center"/>
        </w:pPr>
        <w:r>
          <w:fldChar w:fldCharType="begin"/>
        </w:r>
        <w:r>
          <w:instrText>PAGE   \* MERGEFORMAT</w:instrText>
        </w:r>
        <w:r>
          <w:fldChar w:fldCharType="separate"/>
        </w:r>
        <w:r>
          <w:t>2</w:t>
        </w:r>
        <w:r>
          <w:fldChar w:fldCharType="end"/>
        </w:r>
      </w:p>
    </w:sdtContent>
  </w:sdt>
  <w:p w14:paraId="77D7CE7C" w14:textId="77777777" w:rsidR="00602BCD" w:rsidRDefault="00602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664117"/>
      <w:docPartObj>
        <w:docPartGallery w:val="Page Numbers (Bottom of Page)"/>
        <w:docPartUnique/>
      </w:docPartObj>
    </w:sdtPr>
    <w:sdtEndPr/>
    <w:sdtContent>
      <w:p w14:paraId="7CB4312D" w14:textId="65B64A32" w:rsidR="00602BCD" w:rsidRDefault="00602BCD">
        <w:pPr>
          <w:pStyle w:val="Footer"/>
          <w:jc w:val="center"/>
        </w:pPr>
        <w:r>
          <w:fldChar w:fldCharType="begin"/>
        </w:r>
        <w:r>
          <w:instrText>PAGE   \* MERGEFORMAT</w:instrText>
        </w:r>
        <w:r>
          <w:fldChar w:fldCharType="separate"/>
        </w:r>
        <w:r>
          <w:t>2</w:t>
        </w:r>
        <w:r>
          <w:fldChar w:fldCharType="end"/>
        </w:r>
      </w:p>
    </w:sdtContent>
  </w:sdt>
  <w:p w14:paraId="20647A72" w14:textId="77777777" w:rsidR="00602BCD" w:rsidRDefault="0060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F853" w14:textId="77777777" w:rsidR="00BC4C23" w:rsidRDefault="00BC4C23">
      <w:pPr>
        <w:spacing w:line="240" w:lineRule="auto"/>
      </w:pPr>
      <w:r>
        <w:separator/>
      </w:r>
    </w:p>
  </w:footnote>
  <w:footnote w:type="continuationSeparator" w:id="0">
    <w:p w14:paraId="73B358FE" w14:textId="77777777" w:rsidR="00BC4C23" w:rsidRDefault="00BC4C23">
      <w:pPr>
        <w:spacing w:line="240" w:lineRule="auto"/>
      </w:pPr>
      <w:r>
        <w:continuationSeparator/>
      </w:r>
    </w:p>
  </w:footnote>
  <w:footnote w:type="continuationNotice" w:id="1">
    <w:p w14:paraId="7918FEF6" w14:textId="77777777" w:rsidR="00743D9F" w:rsidRDefault="00743D9F">
      <w:pPr>
        <w:spacing w:line="240" w:lineRule="auto"/>
      </w:pPr>
    </w:p>
  </w:footnote>
  <w:footnote w:id="2">
    <w:p w14:paraId="13D9311B" w14:textId="41936635" w:rsidR="007737C8" w:rsidRPr="00332E42" w:rsidRDefault="007737C8" w:rsidP="00F938A3">
      <w:pPr>
        <w:pStyle w:val="FootnoteText"/>
        <w:ind w:left="142" w:hanging="142"/>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w:t>
      </w:r>
      <w:r w:rsidRPr="00DE7977">
        <w:rPr>
          <w:rFonts w:ascii="Verdana" w:hAnsi="Verdana"/>
          <w:sz w:val="16"/>
          <w:szCs w:val="16"/>
        </w:rPr>
        <w:t>TZ202505-047</w:t>
      </w:r>
    </w:p>
  </w:footnote>
  <w:footnote w:id="3">
    <w:p w14:paraId="0E3D9DD2" w14:textId="3906CC98" w:rsidR="007737C8" w:rsidRPr="00581363" w:rsidRDefault="007737C8" w:rsidP="007737C8">
      <w:pPr>
        <w:pStyle w:val="FootnoteText"/>
        <w:rPr>
          <w:rFonts w:ascii="Verdana" w:hAnsi="Verdana"/>
          <w:sz w:val="16"/>
          <w:szCs w:val="16"/>
        </w:rPr>
      </w:pPr>
      <w:r w:rsidRPr="00332E42">
        <w:rPr>
          <w:rStyle w:val="FootnoteReference"/>
          <w:rFonts w:ascii="Verdana" w:hAnsi="Verdana"/>
          <w:sz w:val="16"/>
          <w:szCs w:val="16"/>
        </w:rPr>
        <w:footnoteRef/>
      </w:r>
      <w:r w:rsidRPr="00581363">
        <w:rPr>
          <w:rFonts w:ascii="Verdana" w:hAnsi="Verdana"/>
          <w:sz w:val="16"/>
          <w:szCs w:val="16"/>
        </w:rPr>
        <w:t xml:space="preserve"> </w:t>
      </w:r>
      <w:r w:rsidRPr="00DE7977">
        <w:rPr>
          <w:rFonts w:ascii="Verdana" w:hAnsi="Verdana"/>
          <w:sz w:val="16"/>
          <w:szCs w:val="16"/>
        </w:rPr>
        <w:t>TZ202507-025</w:t>
      </w:r>
    </w:p>
  </w:footnote>
  <w:footnote w:id="4">
    <w:p w14:paraId="6CDC3FED" w14:textId="475F7C5F" w:rsidR="007737C8" w:rsidRPr="00581363" w:rsidRDefault="007737C8" w:rsidP="007737C8">
      <w:pPr>
        <w:pStyle w:val="FootnoteText"/>
        <w:rPr>
          <w:rFonts w:ascii="Verdana" w:hAnsi="Verdana"/>
          <w:sz w:val="16"/>
          <w:szCs w:val="16"/>
        </w:rPr>
      </w:pPr>
      <w:r w:rsidRPr="00332E42">
        <w:rPr>
          <w:rStyle w:val="FootnoteReference"/>
          <w:rFonts w:ascii="Verdana" w:hAnsi="Verdana"/>
          <w:sz w:val="16"/>
          <w:szCs w:val="16"/>
        </w:rPr>
        <w:footnoteRef/>
      </w:r>
      <w:r w:rsidRPr="00581363">
        <w:rPr>
          <w:rFonts w:ascii="Verdana" w:hAnsi="Verdana"/>
          <w:sz w:val="16"/>
          <w:szCs w:val="16"/>
        </w:rPr>
        <w:t xml:space="preserve"> </w:t>
      </w:r>
      <w:r w:rsidRPr="00DE7977">
        <w:rPr>
          <w:rFonts w:ascii="Verdana" w:hAnsi="Verdana"/>
          <w:sz w:val="16"/>
          <w:szCs w:val="16"/>
        </w:rPr>
        <w:t>Kamerstuk</w:t>
      </w:r>
      <w:r w:rsidRPr="00581363">
        <w:rPr>
          <w:rFonts w:ascii="Verdana" w:hAnsi="Verdana"/>
          <w:sz w:val="16"/>
          <w:szCs w:val="16"/>
        </w:rPr>
        <w:t xml:space="preserve"> 36 725 XVII </w:t>
      </w:r>
      <w:r w:rsidR="006D6484">
        <w:rPr>
          <w:rFonts w:ascii="Verdana" w:hAnsi="Verdana"/>
          <w:sz w:val="16"/>
          <w:szCs w:val="16"/>
        </w:rPr>
        <w:t xml:space="preserve">nr. </w:t>
      </w:r>
      <w:r w:rsidRPr="00581363">
        <w:rPr>
          <w:rFonts w:ascii="Verdana" w:hAnsi="Verdana"/>
          <w:sz w:val="16"/>
          <w:szCs w:val="16"/>
        </w:rPr>
        <w:t>30</w:t>
      </w:r>
    </w:p>
  </w:footnote>
  <w:footnote w:id="5">
    <w:p w14:paraId="39DD1A45" w14:textId="40DA4017" w:rsidR="00332E42" w:rsidRPr="00A35145" w:rsidRDefault="00332E42">
      <w:pPr>
        <w:pStyle w:val="FootnoteText"/>
        <w:rPr>
          <w:rFonts w:ascii="Verdana" w:hAnsi="Verdana"/>
          <w:sz w:val="16"/>
          <w:szCs w:val="16"/>
          <w:lang w:val="en-US"/>
        </w:rPr>
      </w:pPr>
      <w:r w:rsidRPr="00332E42">
        <w:rPr>
          <w:rStyle w:val="FootnoteReference"/>
          <w:rFonts w:ascii="Verdana" w:hAnsi="Verdana"/>
          <w:sz w:val="16"/>
          <w:szCs w:val="16"/>
        </w:rPr>
        <w:footnoteRef/>
      </w:r>
      <w:r w:rsidRPr="00A35145">
        <w:rPr>
          <w:rFonts w:ascii="Verdana" w:hAnsi="Verdana"/>
          <w:sz w:val="16"/>
          <w:szCs w:val="16"/>
          <w:lang w:val="en-US"/>
        </w:rPr>
        <w:t xml:space="preserve"> </w:t>
      </w:r>
      <w:r w:rsidR="00570707" w:rsidRPr="00A35145">
        <w:rPr>
          <w:rFonts w:ascii="Verdana" w:hAnsi="Verdana"/>
          <w:sz w:val="16"/>
          <w:szCs w:val="16"/>
          <w:lang w:val="en-US"/>
        </w:rPr>
        <w:t>TZ202509-113</w:t>
      </w:r>
    </w:p>
  </w:footnote>
  <w:footnote w:id="6">
    <w:p w14:paraId="72D279A0" w14:textId="0D7252A8" w:rsidR="001A4328" w:rsidRPr="000177DA" w:rsidRDefault="001A4328">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lang w:val="en-US"/>
        </w:rPr>
        <w:t xml:space="preserve"> Global Financing Facility</w:t>
      </w:r>
      <w:r w:rsidR="00571E16" w:rsidRPr="00332E42">
        <w:rPr>
          <w:rFonts w:ascii="Verdana" w:hAnsi="Verdana"/>
          <w:sz w:val="16"/>
          <w:szCs w:val="16"/>
          <w:lang w:val="en-US"/>
        </w:rPr>
        <w:t xml:space="preserve"> for Mothers, Children and </w:t>
      </w:r>
      <w:r w:rsidR="00571E16" w:rsidRPr="00B5113F">
        <w:rPr>
          <w:rFonts w:ascii="Verdana" w:hAnsi="Verdana"/>
          <w:sz w:val="16"/>
          <w:szCs w:val="16"/>
          <w:lang w:val="en-US"/>
        </w:rPr>
        <w:t>Adolescents</w:t>
      </w:r>
      <w:r w:rsidR="00E8204F" w:rsidRPr="00B5113F">
        <w:rPr>
          <w:rFonts w:ascii="Verdana" w:hAnsi="Verdana"/>
          <w:sz w:val="16"/>
          <w:szCs w:val="16"/>
          <w:lang w:val="en-US"/>
        </w:rPr>
        <w:t xml:space="preserve">. </w:t>
      </w:r>
      <w:r w:rsidR="00D870AF" w:rsidRPr="00B5113F">
        <w:rPr>
          <w:rFonts w:ascii="Verdana" w:hAnsi="Verdana"/>
          <w:sz w:val="16"/>
          <w:szCs w:val="16"/>
        </w:rPr>
        <w:t>Financiering instrument</w:t>
      </w:r>
      <w:r w:rsidR="00E8204F" w:rsidRPr="00B5113F">
        <w:rPr>
          <w:rFonts w:ascii="Verdana" w:hAnsi="Verdana"/>
          <w:sz w:val="16"/>
          <w:szCs w:val="16"/>
        </w:rPr>
        <w:t xml:space="preserve"> van </w:t>
      </w:r>
      <w:r w:rsidR="00571E16" w:rsidRPr="00B5113F">
        <w:rPr>
          <w:rFonts w:ascii="Verdana" w:hAnsi="Verdana"/>
          <w:sz w:val="16"/>
          <w:szCs w:val="16"/>
        </w:rPr>
        <w:t>de Wereld</w:t>
      </w:r>
      <w:r w:rsidR="005A26E4" w:rsidRPr="00B5113F">
        <w:rPr>
          <w:rFonts w:ascii="Verdana" w:hAnsi="Verdana"/>
          <w:sz w:val="16"/>
          <w:szCs w:val="16"/>
        </w:rPr>
        <w:t xml:space="preserve"> B</w:t>
      </w:r>
      <w:r w:rsidR="00571E16" w:rsidRPr="00B5113F">
        <w:rPr>
          <w:rFonts w:ascii="Verdana" w:hAnsi="Verdana"/>
          <w:sz w:val="16"/>
          <w:szCs w:val="16"/>
        </w:rPr>
        <w:t>ank</w:t>
      </w:r>
    </w:p>
  </w:footnote>
  <w:footnote w:id="7">
    <w:p w14:paraId="4635C3CA" w14:textId="5D1B8233" w:rsidR="00A171C6" w:rsidRPr="00A171C6" w:rsidRDefault="00A171C6">
      <w:pPr>
        <w:pStyle w:val="FootnoteText"/>
      </w:pPr>
      <w:r w:rsidRPr="00332E42">
        <w:rPr>
          <w:rStyle w:val="FootnoteReference"/>
          <w:rFonts w:ascii="Verdana" w:hAnsi="Verdana"/>
          <w:sz w:val="16"/>
          <w:szCs w:val="16"/>
        </w:rPr>
        <w:footnoteRef/>
      </w:r>
      <w:r w:rsidRPr="00332E42">
        <w:rPr>
          <w:rFonts w:ascii="Verdana" w:hAnsi="Verdana"/>
          <w:sz w:val="16"/>
          <w:szCs w:val="16"/>
        </w:rPr>
        <w:t xml:space="preserve"> Onder voorbehoud van de parlementaire goedkeuring van de BHO-begroting 2026</w:t>
      </w:r>
    </w:p>
  </w:footnote>
  <w:footnote w:id="8">
    <w:p w14:paraId="07A78797" w14:textId="7E4A7899" w:rsidR="0007770D" w:rsidRPr="00332E42" w:rsidRDefault="0007770D">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w:t>
      </w:r>
      <w:r w:rsidR="006C7A5C" w:rsidRPr="00332E42">
        <w:rPr>
          <w:rFonts w:ascii="Verdana" w:hAnsi="Verdana"/>
          <w:sz w:val="16"/>
          <w:szCs w:val="16"/>
        </w:rPr>
        <w:t xml:space="preserve">Uit begroting BHO 2026 - </w:t>
      </w:r>
      <w:hyperlink r:id="rId1" w:history="1">
        <w:r w:rsidRPr="00332E42">
          <w:rPr>
            <w:rStyle w:val="Hyperlink"/>
            <w:rFonts w:ascii="Verdana" w:hAnsi="Verdana"/>
            <w:sz w:val="16"/>
            <w:szCs w:val="16"/>
          </w:rPr>
          <w:t>Artikel 3: Sociale vooruitgang | Ministerie van Financiën - Rijksoverheid</w:t>
        </w:r>
      </w:hyperlink>
    </w:p>
  </w:footnote>
  <w:footnote w:id="9">
    <w:p w14:paraId="0B58E3E4" w14:textId="4389C910" w:rsidR="0015269C" w:rsidRPr="00332E42" w:rsidRDefault="0015269C">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Daarnaast heeft NL zich in 2021 voor een periode van 10 jaar gecommitteerd aan een jaarlijkse bijdrage van €25 miljoen aan </w:t>
      </w:r>
      <w:proofErr w:type="spellStart"/>
      <w:r w:rsidRPr="00332E42">
        <w:rPr>
          <w:rFonts w:ascii="Verdana" w:hAnsi="Verdana"/>
          <w:sz w:val="16"/>
          <w:szCs w:val="16"/>
        </w:rPr>
        <w:t>Gavi’s</w:t>
      </w:r>
      <w:proofErr w:type="spellEnd"/>
      <w:r w:rsidRPr="00332E42">
        <w:rPr>
          <w:rFonts w:ascii="Verdana" w:hAnsi="Verdana"/>
          <w:sz w:val="16"/>
          <w:szCs w:val="16"/>
        </w:rPr>
        <w:t xml:space="preserve"> innovatieve financieringsmechanisme (</w:t>
      </w:r>
      <w:proofErr w:type="spellStart"/>
      <w:r w:rsidRPr="00332E42">
        <w:rPr>
          <w:rFonts w:ascii="Verdana" w:hAnsi="Verdana"/>
          <w:sz w:val="16"/>
          <w:szCs w:val="16"/>
        </w:rPr>
        <w:t>IFFIm</w:t>
      </w:r>
      <w:proofErr w:type="spellEnd"/>
      <w:r w:rsidRPr="00332E42">
        <w:rPr>
          <w:rFonts w:ascii="Verdana" w:hAnsi="Verdana"/>
          <w:sz w:val="16"/>
          <w:szCs w:val="16"/>
        </w:rPr>
        <w:t>), hetgeen neerkomt op een totaal van €250 miljoen voor de periode 2021-2030.</w:t>
      </w:r>
    </w:p>
  </w:footnote>
  <w:footnote w:id="10">
    <w:p w14:paraId="51197FA0" w14:textId="34A104BD" w:rsidR="00A330CE" w:rsidRPr="00332E42" w:rsidRDefault="00A330CE" w:rsidP="00A330CE">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BHO beleidsbrief </w:t>
      </w:r>
      <w:r w:rsidRPr="00332E42">
        <w:rPr>
          <w:rFonts w:ascii="Verdana" w:hAnsi="Verdana"/>
          <w:i/>
          <w:iCs/>
          <w:sz w:val="16"/>
          <w:szCs w:val="16"/>
        </w:rPr>
        <w:t>Doen wat goed is voor Nederland</w:t>
      </w:r>
      <w:r w:rsidRPr="00332E42">
        <w:rPr>
          <w:rFonts w:ascii="Verdana" w:hAnsi="Verdana"/>
          <w:sz w:val="16"/>
          <w:szCs w:val="16"/>
        </w:rPr>
        <w:t xml:space="preserve"> – </w:t>
      </w:r>
      <w:r w:rsidR="006D6484">
        <w:rPr>
          <w:rFonts w:ascii="Verdana" w:hAnsi="Verdana"/>
          <w:sz w:val="16"/>
          <w:szCs w:val="16"/>
        </w:rPr>
        <w:t>Kamerstuk 36 180 nr. 133</w:t>
      </w:r>
    </w:p>
  </w:footnote>
  <w:footnote w:id="11">
    <w:p w14:paraId="5A41F730" w14:textId="4F0B9A20" w:rsidR="00A330CE" w:rsidRPr="006D6484" w:rsidRDefault="00A330CE" w:rsidP="00A330CE">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Nederlandse Mondiale Gezondheidsstrategie 2023-2030 </w:t>
      </w:r>
      <w:r w:rsidRPr="00332E42">
        <w:rPr>
          <w:rFonts w:ascii="Verdana" w:hAnsi="Verdana"/>
          <w:i/>
          <w:iCs/>
          <w:sz w:val="16"/>
          <w:szCs w:val="16"/>
        </w:rPr>
        <w:t>Samen zorgen voor gezondheid wereldwijd</w:t>
      </w:r>
      <w:r w:rsidR="006D6484">
        <w:rPr>
          <w:rFonts w:ascii="Verdana" w:hAnsi="Verdana"/>
          <w:sz w:val="16"/>
          <w:szCs w:val="16"/>
        </w:rPr>
        <w:t>, Kamerstuk 36 180 nr. 25</w:t>
      </w:r>
    </w:p>
  </w:footnote>
  <w:footnote w:id="12">
    <w:p w14:paraId="164989ED" w14:textId="6D98E41E" w:rsidR="001A4328" w:rsidRPr="00602BCD" w:rsidRDefault="001A4328">
      <w:pPr>
        <w:pStyle w:val="FootnoteText"/>
        <w:rPr>
          <w:rFonts w:ascii="Verdana" w:hAnsi="Verdana"/>
          <w:sz w:val="16"/>
          <w:szCs w:val="16"/>
        </w:rPr>
      </w:pPr>
      <w:r w:rsidRPr="00332E42">
        <w:rPr>
          <w:rStyle w:val="FootnoteReference"/>
          <w:rFonts w:ascii="Verdana" w:hAnsi="Verdana"/>
          <w:sz w:val="16"/>
          <w:szCs w:val="16"/>
        </w:rPr>
        <w:footnoteRef/>
      </w:r>
      <w:r w:rsidRPr="00332E42">
        <w:rPr>
          <w:rFonts w:ascii="Verdana" w:hAnsi="Verdana"/>
          <w:sz w:val="16"/>
          <w:szCs w:val="16"/>
        </w:rPr>
        <w:t xml:space="preserve"> </w:t>
      </w:r>
      <w:r w:rsidR="00913E69" w:rsidRPr="00332E42">
        <w:rPr>
          <w:rFonts w:ascii="Verdana" w:hAnsi="Verdana"/>
          <w:sz w:val="16"/>
          <w:szCs w:val="16"/>
        </w:rPr>
        <w:t xml:space="preserve">Motie SP Dobbe, GL-PvdA Hirsch &amp; CDA </w:t>
      </w:r>
      <w:proofErr w:type="spellStart"/>
      <w:r w:rsidR="00913E69" w:rsidRPr="00332E42">
        <w:rPr>
          <w:rFonts w:ascii="Verdana" w:hAnsi="Verdana"/>
          <w:sz w:val="16"/>
          <w:szCs w:val="16"/>
        </w:rPr>
        <w:t>Boswijk</w:t>
      </w:r>
      <w:proofErr w:type="spellEnd"/>
      <w:r w:rsidR="0015269C" w:rsidRPr="00332E42">
        <w:rPr>
          <w:rFonts w:ascii="Verdana" w:hAnsi="Verdana"/>
          <w:sz w:val="16"/>
          <w:szCs w:val="16"/>
        </w:rPr>
        <w:t>: Kamerstuk 36</w:t>
      </w:r>
      <w:r w:rsidR="00DE7977">
        <w:rPr>
          <w:rFonts w:ascii="Verdana" w:hAnsi="Verdana"/>
          <w:sz w:val="16"/>
          <w:szCs w:val="16"/>
        </w:rPr>
        <w:t xml:space="preserve"> </w:t>
      </w:r>
      <w:r w:rsidR="0015269C" w:rsidRPr="00332E42">
        <w:rPr>
          <w:rFonts w:ascii="Verdana" w:hAnsi="Verdana"/>
          <w:sz w:val="16"/>
          <w:szCs w:val="16"/>
        </w:rPr>
        <w:t xml:space="preserve">180, nr. 107 </w:t>
      </w:r>
      <w:r w:rsidR="0096109C" w:rsidRPr="00332E42">
        <w:rPr>
          <w:rFonts w:ascii="Verdana" w:hAnsi="Verdana"/>
          <w:sz w:val="16"/>
          <w:szCs w:val="16"/>
        </w:rPr>
        <w:t>en Motie Kamminga</w:t>
      </w:r>
      <w:r w:rsidR="0015269C" w:rsidRPr="00332E42">
        <w:rPr>
          <w:rFonts w:ascii="Verdana" w:hAnsi="Verdana"/>
          <w:sz w:val="16"/>
          <w:szCs w:val="16"/>
        </w:rPr>
        <w:t>: Kamerstuk 36</w:t>
      </w:r>
      <w:r w:rsidR="00DE7977">
        <w:rPr>
          <w:rFonts w:ascii="Verdana" w:hAnsi="Verdana"/>
          <w:sz w:val="16"/>
          <w:szCs w:val="16"/>
        </w:rPr>
        <w:t xml:space="preserve"> </w:t>
      </w:r>
      <w:r w:rsidR="0015269C" w:rsidRPr="00332E42">
        <w:rPr>
          <w:rFonts w:ascii="Verdana" w:hAnsi="Verdana"/>
          <w:sz w:val="16"/>
          <w:szCs w:val="16"/>
        </w:rPr>
        <w:t>180 nr. 111. B</w:t>
      </w:r>
      <w:r w:rsidR="0096109C" w:rsidRPr="00332E42">
        <w:rPr>
          <w:rFonts w:ascii="Verdana" w:hAnsi="Verdana"/>
          <w:sz w:val="16"/>
          <w:szCs w:val="16"/>
        </w:rPr>
        <w:t>eide ingediend op 3 oktober 2024.</w:t>
      </w:r>
      <w:r w:rsidR="0096109C" w:rsidRPr="00602BCD">
        <w:rPr>
          <w:rFonts w:ascii="Verdana" w:hAnsi="Verdana"/>
          <w:sz w:val="16"/>
          <w:szCs w:val="16"/>
        </w:rPr>
        <w:t xml:space="preserve"> </w:t>
      </w:r>
    </w:p>
  </w:footnote>
  <w:footnote w:id="13">
    <w:p w14:paraId="767F8368" w14:textId="51F0B735" w:rsidR="0015269C" w:rsidRPr="00602BCD" w:rsidRDefault="0015269C">
      <w:pPr>
        <w:pStyle w:val="FootnoteText"/>
        <w:rPr>
          <w:rFonts w:ascii="Verdana" w:hAnsi="Verdana"/>
          <w:sz w:val="16"/>
          <w:szCs w:val="16"/>
        </w:rPr>
      </w:pPr>
      <w:r w:rsidRPr="00602BCD">
        <w:rPr>
          <w:rStyle w:val="FootnoteReference"/>
          <w:rFonts w:ascii="Verdana" w:hAnsi="Verdana"/>
          <w:sz w:val="16"/>
          <w:szCs w:val="16"/>
        </w:rPr>
        <w:footnoteRef/>
      </w:r>
      <w:r w:rsidRPr="00602BCD">
        <w:rPr>
          <w:rFonts w:ascii="Verdana" w:hAnsi="Verdana"/>
          <w:sz w:val="16"/>
          <w:szCs w:val="16"/>
        </w:rPr>
        <w:t xml:space="preserve"> International </w:t>
      </w:r>
      <w:proofErr w:type="spellStart"/>
      <w:r w:rsidRPr="00602BCD">
        <w:rPr>
          <w:rFonts w:ascii="Verdana" w:hAnsi="Verdana"/>
          <w:sz w:val="16"/>
          <w:szCs w:val="16"/>
        </w:rPr>
        <w:t>Planned</w:t>
      </w:r>
      <w:proofErr w:type="spellEnd"/>
      <w:r w:rsidRPr="00602BCD">
        <w:rPr>
          <w:rFonts w:ascii="Verdana" w:hAnsi="Verdana"/>
          <w:sz w:val="16"/>
          <w:szCs w:val="16"/>
        </w:rPr>
        <w:t xml:space="preserve"> </w:t>
      </w:r>
      <w:proofErr w:type="spellStart"/>
      <w:r w:rsidRPr="00602BCD">
        <w:rPr>
          <w:rFonts w:ascii="Verdana" w:hAnsi="Verdana"/>
          <w:sz w:val="16"/>
          <w:szCs w:val="16"/>
        </w:rPr>
        <w:t>Parenthood</w:t>
      </w:r>
      <w:proofErr w:type="spellEnd"/>
      <w:r w:rsidRPr="00602BCD">
        <w:rPr>
          <w:rFonts w:ascii="Verdana" w:hAnsi="Verdana"/>
          <w:sz w:val="16"/>
          <w:szCs w:val="16"/>
        </w:rPr>
        <w:t xml:space="preserve"> </w:t>
      </w:r>
      <w:proofErr w:type="spellStart"/>
      <w:r w:rsidRPr="00602BCD">
        <w:rPr>
          <w:rFonts w:ascii="Verdana" w:hAnsi="Verdana"/>
          <w:sz w:val="16"/>
          <w:szCs w:val="16"/>
        </w:rPr>
        <w:t>Federation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4B83" w14:textId="77777777" w:rsidR="00B5113F" w:rsidRDefault="00B51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B4A0" w14:textId="46996841" w:rsidR="00B61D2C" w:rsidRDefault="0068610F">
    <w:r>
      <w:rPr>
        <w:noProof/>
      </w:rPr>
      <mc:AlternateContent>
        <mc:Choice Requires="wps">
          <w:drawing>
            <wp:anchor distT="0" distB="0" distL="0" distR="0" simplePos="0" relativeHeight="251658240" behindDoc="0" locked="1" layoutInCell="1" allowOverlap="1" wp14:anchorId="1C1DB4A4" wp14:editId="1C1DB4A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DB4DA" w14:textId="19BB6AAE" w:rsidR="00B61D2C" w:rsidRDefault="00B61D2C">
                          <w:pPr>
                            <w:pStyle w:val="Referentiegegevens"/>
                          </w:pPr>
                        </w:p>
                      </w:txbxContent>
                    </wps:txbx>
                    <wps:bodyPr vert="horz" wrap="square" lIns="0" tIns="0" rIns="0" bIns="0" anchor="t" anchorCtr="0"/>
                  </wps:wsp>
                </a:graphicData>
              </a:graphic>
            </wp:anchor>
          </w:drawing>
        </mc:Choice>
        <mc:Fallback>
          <w:pict>
            <v:shapetype w14:anchorId="1C1DB4A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1DB4DA" w14:textId="19BB6AAE" w:rsidR="00B61D2C" w:rsidRDefault="00B61D2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C1DB4A6" wp14:editId="1C1DB4A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C1DB4DB" w14:textId="13D681D4" w:rsidR="00B61D2C" w:rsidRDefault="00B61D2C">
                          <w:pPr>
                            <w:pStyle w:val="Rubricering"/>
                          </w:pPr>
                        </w:p>
                      </w:txbxContent>
                    </wps:txbx>
                    <wps:bodyPr vert="horz" wrap="square" lIns="0" tIns="0" rIns="0" bIns="0" anchor="t" anchorCtr="0"/>
                  </wps:wsp>
                </a:graphicData>
              </a:graphic>
            </wp:anchor>
          </w:drawing>
        </mc:Choice>
        <mc:Fallback>
          <w:pict>
            <v:shape w14:anchorId="1C1DB4A6"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C1DB4DB" w14:textId="13D681D4" w:rsidR="00B61D2C" w:rsidRDefault="00B61D2C">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B4A2" w14:textId="77777777" w:rsidR="00B61D2C" w:rsidRDefault="0068610F">
    <w:pPr>
      <w:spacing w:after="7131" w:line="14" w:lineRule="exact"/>
    </w:pPr>
    <w:r>
      <w:rPr>
        <w:noProof/>
      </w:rPr>
      <mc:AlternateContent>
        <mc:Choice Requires="wps">
          <w:drawing>
            <wp:anchor distT="0" distB="0" distL="0" distR="0" simplePos="0" relativeHeight="251658242" behindDoc="0" locked="1" layoutInCell="1" allowOverlap="1" wp14:anchorId="1C1DB4AA" wp14:editId="1C1DB4A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C1DB4DC" w14:textId="77777777" w:rsidR="0068610F" w:rsidRDefault="0068610F"/>
                      </w:txbxContent>
                    </wps:txbx>
                    <wps:bodyPr vert="horz" wrap="square" lIns="0" tIns="0" rIns="0" bIns="0" anchor="t" anchorCtr="0"/>
                  </wps:wsp>
                </a:graphicData>
              </a:graphic>
            </wp:anchor>
          </w:drawing>
        </mc:Choice>
        <mc:Fallback>
          <w:pict>
            <v:shapetype w14:anchorId="1C1DB4A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C1DB4DC" w14:textId="77777777" w:rsidR="0068610F" w:rsidRDefault="0068610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C1DB4AC" wp14:editId="1C1DB4A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1DB4BB" w14:textId="77777777" w:rsidR="00B61D2C" w:rsidRDefault="0068610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C1DB4AC"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1DB4BB" w14:textId="77777777" w:rsidR="00B61D2C" w:rsidRDefault="0068610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C1DB4AE" wp14:editId="1C1DB4A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A8BFA52" w14:textId="4585492E" w:rsidR="00602BCD" w:rsidRDefault="00602BCD" w:rsidP="00602BCD">
                          <w:r>
                            <w:t xml:space="preserve">Datum  </w:t>
                          </w:r>
                          <w:r w:rsidR="00B5113F">
                            <w:t>7</w:t>
                          </w:r>
                          <w:r>
                            <w:t xml:space="preserve"> </w:t>
                          </w:r>
                          <w:r w:rsidR="00B2784C">
                            <w:t xml:space="preserve">oktober </w:t>
                          </w:r>
                          <w:r>
                            <w:t>2025</w:t>
                          </w:r>
                        </w:p>
                        <w:p w14:paraId="1C1DB4C5" w14:textId="498692E3" w:rsidR="00B61D2C" w:rsidRDefault="00602BCD" w:rsidP="00332E42">
                          <w:pPr>
                            <w:ind w:left="708" w:hanging="708"/>
                          </w:pPr>
                          <w:r>
                            <w:t>Betreft</w:t>
                          </w:r>
                          <w:r>
                            <w:tab/>
                            <w:t>Nederlandse bijdragen aan 6 multilaterale gezondheidsorganisaties vanaf 2026 en de effecten van de  bezuinigingen op het SRGR-beleid</w:t>
                          </w:r>
                        </w:p>
                      </w:txbxContent>
                    </wps:txbx>
                    <wps:bodyPr vert="horz" wrap="square" lIns="0" tIns="0" rIns="0" bIns="0" anchor="t" anchorCtr="0"/>
                  </wps:wsp>
                </a:graphicData>
              </a:graphic>
            </wp:anchor>
          </w:drawing>
        </mc:Choice>
        <mc:Fallback>
          <w:pict>
            <v:shape w14:anchorId="1C1DB4AE"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A8BFA52" w14:textId="4585492E" w:rsidR="00602BCD" w:rsidRDefault="00602BCD" w:rsidP="00602BCD">
                    <w:r>
                      <w:t xml:space="preserve">Datum  </w:t>
                    </w:r>
                    <w:r w:rsidR="00B5113F">
                      <w:t>7</w:t>
                    </w:r>
                    <w:r>
                      <w:t xml:space="preserve"> </w:t>
                    </w:r>
                    <w:r w:rsidR="00B2784C">
                      <w:t xml:space="preserve">oktober </w:t>
                    </w:r>
                    <w:r>
                      <w:t>2025</w:t>
                    </w:r>
                  </w:p>
                  <w:p w14:paraId="1C1DB4C5" w14:textId="498692E3" w:rsidR="00B61D2C" w:rsidRDefault="00602BCD" w:rsidP="00332E42">
                    <w:pPr>
                      <w:ind w:left="708" w:hanging="708"/>
                    </w:pPr>
                    <w:r>
                      <w:t>Betreft</w:t>
                    </w:r>
                    <w:r>
                      <w:tab/>
                      <w:t>Nederlandse bijdragen aan 6 multilaterale gezondheidsorganisaties vanaf 2026 en de effecten van de  bezuinigingen op het SRGR-beleid</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C1DB4B0" wp14:editId="3B1412E0">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C1DB4C6" w14:textId="77777777" w:rsidR="00B61D2C" w:rsidRDefault="0068610F">
                          <w:pPr>
                            <w:pStyle w:val="Referentiegegevensbold"/>
                          </w:pPr>
                          <w:r>
                            <w:t>Ministerie van Buitenlandse Zaken</w:t>
                          </w:r>
                        </w:p>
                        <w:p w14:paraId="1C1DB4C7" w14:textId="77777777" w:rsidR="00B61D2C" w:rsidRDefault="00B61D2C">
                          <w:pPr>
                            <w:pStyle w:val="WitregelW1"/>
                          </w:pPr>
                        </w:p>
                        <w:p w14:paraId="1C1DB4C8" w14:textId="77777777" w:rsidR="00B61D2C" w:rsidRPr="00B23EF9" w:rsidRDefault="0068610F" w:rsidP="00B23EF9">
                          <w:pPr>
                            <w:pStyle w:val="Referentiegegevens"/>
                            <w:spacing w:line="360" w:lineRule="auto"/>
                          </w:pPr>
                          <w:r w:rsidRPr="00B23EF9">
                            <w:t>Rijnstraat 8</w:t>
                          </w:r>
                        </w:p>
                        <w:p w14:paraId="1C1DB4C9" w14:textId="27751E9E" w:rsidR="00B61D2C" w:rsidRPr="00B23EF9" w:rsidRDefault="0068610F" w:rsidP="00B23EF9">
                          <w:pPr>
                            <w:pStyle w:val="Referentiegegevens"/>
                            <w:spacing w:line="360" w:lineRule="auto"/>
                            <w:rPr>
                              <w:lang w:val="da-DK"/>
                            </w:rPr>
                          </w:pPr>
                          <w:r w:rsidRPr="00B23EF9">
                            <w:rPr>
                              <w:lang w:val="da-DK"/>
                            </w:rPr>
                            <w:t>2515XP Den Haag</w:t>
                          </w:r>
                        </w:p>
                        <w:p w14:paraId="2E16E28D" w14:textId="0D02B90B" w:rsidR="00B23EF9" w:rsidRPr="00B23EF9" w:rsidRDefault="00B23EF9" w:rsidP="00B23EF9">
                          <w:pPr>
                            <w:spacing w:line="360" w:lineRule="auto"/>
                            <w:rPr>
                              <w:sz w:val="13"/>
                              <w:szCs w:val="13"/>
                              <w:lang w:val="da-DK"/>
                            </w:rPr>
                          </w:pPr>
                          <w:r w:rsidRPr="00B23EF9">
                            <w:rPr>
                              <w:sz w:val="13"/>
                              <w:szCs w:val="13"/>
                              <w:lang w:val="da-DK"/>
                            </w:rPr>
                            <w:t>Postbus 20061</w:t>
                          </w:r>
                        </w:p>
                        <w:p w14:paraId="502136B1" w14:textId="4E3A4F37" w:rsidR="00B23EF9" w:rsidRPr="00B23EF9" w:rsidRDefault="00B23EF9" w:rsidP="00B23EF9">
                          <w:pPr>
                            <w:spacing w:line="360" w:lineRule="auto"/>
                            <w:rPr>
                              <w:sz w:val="13"/>
                              <w:szCs w:val="13"/>
                              <w:lang w:val="da-DK"/>
                            </w:rPr>
                          </w:pPr>
                          <w:r w:rsidRPr="00B23EF9">
                            <w:rPr>
                              <w:sz w:val="13"/>
                              <w:szCs w:val="13"/>
                              <w:lang w:val="da-DK"/>
                            </w:rPr>
                            <w:t>Nederland</w:t>
                          </w:r>
                        </w:p>
                        <w:p w14:paraId="1C1DB4CA" w14:textId="77777777" w:rsidR="00B61D2C" w:rsidRPr="00B23EF9" w:rsidRDefault="0068610F" w:rsidP="00B23EF9">
                          <w:pPr>
                            <w:pStyle w:val="Referentiegegevens"/>
                            <w:spacing w:line="360" w:lineRule="auto"/>
                            <w:rPr>
                              <w:lang w:val="da-DK"/>
                            </w:rPr>
                          </w:pPr>
                          <w:r w:rsidRPr="00B23EF9">
                            <w:rPr>
                              <w:lang w:val="da-DK"/>
                            </w:rPr>
                            <w:t>www.minbuza.nl</w:t>
                          </w:r>
                        </w:p>
                        <w:p w14:paraId="1C1DB4CB" w14:textId="77777777" w:rsidR="00B61D2C" w:rsidRPr="00D9029C" w:rsidRDefault="00B61D2C">
                          <w:pPr>
                            <w:pStyle w:val="WitregelW2"/>
                            <w:rPr>
                              <w:lang w:val="da-DK"/>
                            </w:rPr>
                          </w:pPr>
                        </w:p>
                        <w:p w14:paraId="1C1DB4CC" w14:textId="77777777" w:rsidR="00B61D2C" w:rsidRPr="00602BCD" w:rsidRDefault="0068610F">
                          <w:pPr>
                            <w:pStyle w:val="Referentiegegevensbold"/>
                          </w:pPr>
                          <w:r w:rsidRPr="00602BCD">
                            <w:t>Onze referentie</w:t>
                          </w:r>
                        </w:p>
                        <w:p w14:paraId="5A9709BF" w14:textId="4EFD31C7" w:rsidR="009076AA" w:rsidRDefault="009076AA" w:rsidP="009076AA">
                          <w:pPr>
                            <w:rPr>
                              <w:color w:val="auto"/>
                              <w:sz w:val="13"/>
                              <w:szCs w:val="13"/>
                            </w:rPr>
                          </w:pPr>
                          <w:r w:rsidRPr="009076AA">
                            <w:rPr>
                              <w:color w:val="auto"/>
                              <w:sz w:val="13"/>
                              <w:szCs w:val="13"/>
                            </w:rPr>
                            <w:t>BZ2520545</w:t>
                          </w:r>
                        </w:p>
                        <w:p w14:paraId="55AC5256" w14:textId="77777777" w:rsidR="00956996" w:rsidRPr="009076AA" w:rsidRDefault="00956996" w:rsidP="009076AA"/>
                        <w:p w14:paraId="1C1DB4CF" w14:textId="77777777" w:rsidR="00B61D2C" w:rsidRDefault="0068610F">
                          <w:pPr>
                            <w:pStyle w:val="Referentiegegevensbold"/>
                          </w:pPr>
                          <w:r>
                            <w:t>Uw referentie</w:t>
                          </w:r>
                        </w:p>
                        <w:p w14:paraId="18CA0D9E" w14:textId="1B8B7D37" w:rsidR="007737C8" w:rsidRDefault="00DE7977" w:rsidP="009076AA">
                          <w:pPr>
                            <w:pStyle w:val="Referentiegegevens"/>
                            <w:spacing w:line="240" w:lineRule="auto"/>
                            <w:rPr>
                              <w:color w:val="auto"/>
                            </w:rPr>
                          </w:pPr>
                          <w:r>
                            <w:rPr>
                              <w:color w:val="auto"/>
                            </w:rPr>
                            <w:t>TZ202505-047</w:t>
                          </w:r>
                        </w:p>
                        <w:p w14:paraId="6CCC867C" w14:textId="55EE9BD0" w:rsidR="00DE7977" w:rsidRDefault="00DE7977" w:rsidP="00DE7977">
                          <w:pPr>
                            <w:rPr>
                              <w:sz w:val="13"/>
                              <w:szCs w:val="13"/>
                            </w:rPr>
                          </w:pPr>
                          <w:r w:rsidRPr="00DE7977">
                            <w:rPr>
                              <w:sz w:val="13"/>
                              <w:szCs w:val="13"/>
                            </w:rPr>
                            <w:t>TZ202507-025</w:t>
                          </w:r>
                        </w:p>
                        <w:p w14:paraId="36169378" w14:textId="6A1ACDD8" w:rsidR="00DE7977" w:rsidRPr="00DE7977" w:rsidRDefault="00DE7977" w:rsidP="00DE7977">
                          <w:pPr>
                            <w:rPr>
                              <w:sz w:val="13"/>
                              <w:szCs w:val="13"/>
                            </w:rPr>
                          </w:pPr>
                          <w:r>
                            <w:rPr>
                              <w:sz w:val="13"/>
                              <w:szCs w:val="13"/>
                            </w:rPr>
                            <w:t>TZ202509-113</w:t>
                          </w:r>
                        </w:p>
                        <w:p w14:paraId="2BB9D995" w14:textId="77777777" w:rsidR="007737C8" w:rsidRPr="007737C8" w:rsidRDefault="007737C8" w:rsidP="007737C8"/>
                        <w:p w14:paraId="1C1DB4D2" w14:textId="77777777" w:rsidR="00B61D2C" w:rsidRPr="00ED42A6" w:rsidRDefault="0068610F">
                          <w:pPr>
                            <w:pStyle w:val="Referentiegegevensbold"/>
                          </w:pPr>
                          <w:r w:rsidRPr="00ED42A6">
                            <w:t>Bijlage(n)</w:t>
                          </w:r>
                        </w:p>
                        <w:p w14:paraId="1C1DB4D3" w14:textId="48E476D6" w:rsidR="00B61D2C" w:rsidRDefault="00DE797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C1DB4B0"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1C1DB4C6" w14:textId="77777777" w:rsidR="00B61D2C" w:rsidRDefault="0068610F">
                    <w:pPr>
                      <w:pStyle w:val="Referentiegegevensbold"/>
                    </w:pPr>
                    <w:r>
                      <w:t>Ministerie van Buitenlandse Zaken</w:t>
                    </w:r>
                  </w:p>
                  <w:p w14:paraId="1C1DB4C7" w14:textId="77777777" w:rsidR="00B61D2C" w:rsidRDefault="00B61D2C">
                    <w:pPr>
                      <w:pStyle w:val="WitregelW1"/>
                    </w:pPr>
                  </w:p>
                  <w:p w14:paraId="1C1DB4C8" w14:textId="77777777" w:rsidR="00B61D2C" w:rsidRPr="00B23EF9" w:rsidRDefault="0068610F" w:rsidP="00B23EF9">
                    <w:pPr>
                      <w:pStyle w:val="Referentiegegevens"/>
                      <w:spacing w:line="360" w:lineRule="auto"/>
                    </w:pPr>
                    <w:r w:rsidRPr="00B23EF9">
                      <w:t>Rijnstraat 8</w:t>
                    </w:r>
                  </w:p>
                  <w:p w14:paraId="1C1DB4C9" w14:textId="27751E9E" w:rsidR="00B61D2C" w:rsidRPr="00B23EF9" w:rsidRDefault="0068610F" w:rsidP="00B23EF9">
                    <w:pPr>
                      <w:pStyle w:val="Referentiegegevens"/>
                      <w:spacing w:line="360" w:lineRule="auto"/>
                      <w:rPr>
                        <w:lang w:val="da-DK"/>
                      </w:rPr>
                    </w:pPr>
                    <w:r w:rsidRPr="00B23EF9">
                      <w:rPr>
                        <w:lang w:val="da-DK"/>
                      </w:rPr>
                      <w:t>2515XP Den Haag</w:t>
                    </w:r>
                  </w:p>
                  <w:p w14:paraId="2E16E28D" w14:textId="0D02B90B" w:rsidR="00B23EF9" w:rsidRPr="00B23EF9" w:rsidRDefault="00B23EF9" w:rsidP="00B23EF9">
                    <w:pPr>
                      <w:spacing w:line="360" w:lineRule="auto"/>
                      <w:rPr>
                        <w:sz w:val="13"/>
                        <w:szCs w:val="13"/>
                        <w:lang w:val="da-DK"/>
                      </w:rPr>
                    </w:pPr>
                    <w:r w:rsidRPr="00B23EF9">
                      <w:rPr>
                        <w:sz w:val="13"/>
                        <w:szCs w:val="13"/>
                        <w:lang w:val="da-DK"/>
                      </w:rPr>
                      <w:t>Postbus 20061</w:t>
                    </w:r>
                  </w:p>
                  <w:p w14:paraId="502136B1" w14:textId="4E3A4F37" w:rsidR="00B23EF9" w:rsidRPr="00B23EF9" w:rsidRDefault="00B23EF9" w:rsidP="00B23EF9">
                    <w:pPr>
                      <w:spacing w:line="360" w:lineRule="auto"/>
                      <w:rPr>
                        <w:sz w:val="13"/>
                        <w:szCs w:val="13"/>
                        <w:lang w:val="da-DK"/>
                      </w:rPr>
                    </w:pPr>
                    <w:r w:rsidRPr="00B23EF9">
                      <w:rPr>
                        <w:sz w:val="13"/>
                        <w:szCs w:val="13"/>
                        <w:lang w:val="da-DK"/>
                      </w:rPr>
                      <w:t>Nederland</w:t>
                    </w:r>
                  </w:p>
                  <w:p w14:paraId="1C1DB4CA" w14:textId="77777777" w:rsidR="00B61D2C" w:rsidRPr="00B23EF9" w:rsidRDefault="0068610F" w:rsidP="00B23EF9">
                    <w:pPr>
                      <w:pStyle w:val="Referentiegegevens"/>
                      <w:spacing w:line="360" w:lineRule="auto"/>
                      <w:rPr>
                        <w:lang w:val="da-DK"/>
                      </w:rPr>
                    </w:pPr>
                    <w:r w:rsidRPr="00B23EF9">
                      <w:rPr>
                        <w:lang w:val="da-DK"/>
                      </w:rPr>
                      <w:t>www.minbuza.nl</w:t>
                    </w:r>
                  </w:p>
                  <w:p w14:paraId="1C1DB4CB" w14:textId="77777777" w:rsidR="00B61D2C" w:rsidRPr="00D9029C" w:rsidRDefault="00B61D2C">
                    <w:pPr>
                      <w:pStyle w:val="WitregelW2"/>
                      <w:rPr>
                        <w:lang w:val="da-DK"/>
                      </w:rPr>
                    </w:pPr>
                  </w:p>
                  <w:p w14:paraId="1C1DB4CC" w14:textId="77777777" w:rsidR="00B61D2C" w:rsidRPr="00602BCD" w:rsidRDefault="0068610F">
                    <w:pPr>
                      <w:pStyle w:val="Referentiegegevensbold"/>
                    </w:pPr>
                    <w:r w:rsidRPr="00602BCD">
                      <w:t>Onze referentie</w:t>
                    </w:r>
                  </w:p>
                  <w:p w14:paraId="5A9709BF" w14:textId="4EFD31C7" w:rsidR="009076AA" w:rsidRDefault="009076AA" w:rsidP="009076AA">
                    <w:pPr>
                      <w:rPr>
                        <w:color w:val="auto"/>
                        <w:sz w:val="13"/>
                        <w:szCs w:val="13"/>
                      </w:rPr>
                    </w:pPr>
                    <w:r w:rsidRPr="009076AA">
                      <w:rPr>
                        <w:color w:val="auto"/>
                        <w:sz w:val="13"/>
                        <w:szCs w:val="13"/>
                      </w:rPr>
                      <w:t>BZ2520545</w:t>
                    </w:r>
                  </w:p>
                  <w:p w14:paraId="55AC5256" w14:textId="77777777" w:rsidR="00956996" w:rsidRPr="009076AA" w:rsidRDefault="00956996" w:rsidP="009076AA"/>
                  <w:p w14:paraId="1C1DB4CF" w14:textId="77777777" w:rsidR="00B61D2C" w:rsidRDefault="0068610F">
                    <w:pPr>
                      <w:pStyle w:val="Referentiegegevensbold"/>
                    </w:pPr>
                    <w:r>
                      <w:t>Uw referentie</w:t>
                    </w:r>
                  </w:p>
                  <w:p w14:paraId="18CA0D9E" w14:textId="1B8B7D37" w:rsidR="007737C8" w:rsidRDefault="00DE7977" w:rsidP="009076AA">
                    <w:pPr>
                      <w:pStyle w:val="Referentiegegevens"/>
                      <w:spacing w:line="240" w:lineRule="auto"/>
                      <w:rPr>
                        <w:color w:val="auto"/>
                      </w:rPr>
                    </w:pPr>
                    <w:r>
                      <w:rPr>
                        <w:color w:val="auto"/>
                      </w:rPr>
                      <w:t>TZ202505-047</w:t>
                    </w:r>
                  </w:p>
                  <w:p w14:paraId="6CCC867C" w14:textId="55EE9BD0" w:rsidR="00DE7977" w:rsidRDefault="00DE7977" w:rsidP="00DE7977">
                    <w:pPr>
                      <w:rPr>
                        <w:sz w:val="13"/>
                        <w:szCs w:val="13"/>
                      </w:rPr>
                    </w:pPr>
                    <w:r w:rsidRPr="00DE7977">
                      <w:rPr>
                        <w:sz w:val="13"/>
                        <w:szCs w:val="13"/>
                      </w:rPr>
                      <w:t>TZ202507-025</w:t>
                    </w:r>
                  </w:p>
                  <w:p w14:paraId="36169378" w14:textId="6A1ACDD8" w:rsidR="00DE7977" w:rsidRPr="00DE7977" w:rsidRDefault="00DE7977" w:rsidP="00DE7977">
                    <w:pPr>
                      <w:rPr>
                        <w:sz w:val="13"/>
                        <w:szCs w:val="13"/>
                      </w:rPr>
                    </w:pPr>
                    <w:r>
                      <w:rPr>
                        <w:sz w:val="13"/>
                        <w:szCs w:val="13"/>
                      </w:rPr>
                      <w:t>TZ202509-113</w:t>
                    </w:r>
                  </w:p>
                  <w:p w14:paraId="2BB9D995" w14:textId="77777777" w:rsidR="007737C8" w:rsidRPr="007737C8" w:rsidRDefault="007737C8" w:rsidP="007737C8"/>
                  <w:p w14:paraId="1C1DB4D2" w14:textId="77777777" w:rsidR="00B61D2C" w:rsidRPr="00ED42A6" w:rsidRDefault="0068610F">
                    <w:pPr>
                      <w:pStyle w:val="Referentiegegevensbold"/>
                    </w:pPr>
                    <w:r w:rsidRPr="00ED42A6">
                      <w:t>Bijlage(n)</w:t>
                    </w:r>
                  </w:p>
                  <w:p w14:paraId="1C1DB4D3" w14:textId="48E476D6" w:rsidR="00B61D2C" w:rsidRDefault="00DE797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C1DB4B2" wp14:editId="1C1DB4B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C1DB4D4" w14:textId="729F9195" w:rsidR="00B61D2C" w:rsidRDefault="00B61D2C">
                          <w:pPr>
                            <w:pStyle w:val="Rubricering"/>
                          </w:pPr>
                        </w:p>
                      </w:txbxContent>
                    </wps:txbx>
                    <wps:bodyPr vert="horz" wrap="square" lIns="0" tIns="0" rIns="0" bIns="0" anchor="t" anchorCtr="0"/>
                  </wps:wsp>
                </a:graphicData>
              </a:graphic>
            </wp:anchor>
          </w:drawing>
        </mc:Choice>
        <mc:Fallback>
          <w:pict>
            <v:shape w14:anchorId="1C1DB4B2" id="41b10d26-80a4-11ea-b356-6230a4311406" o:spid="_x0000_s1032" type="#_x0000_t202" style="position:absolute;margin-left:79.35pt;margin-top:802.75pt;width:377pt;height:19.8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1C1DB4D4" w14:textId="729F9195" w:rsidR="00B61D2C" w:rsidRDefault="00B61D2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C1DB4B4" wp14:editId="1C1DB4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1DB4E2" w14:textId="77777777" w:rsidR="0068610F" w:rsidRDefault="0068610F"/>
                      </w:txbxContent>
                    </wps:txbx>
                    <wps:bodyPr vert="horz" wrap="square" lIns="0" tIns="0" rIns="0" bIns="0" anchor="t" anchorCtr="0"/>
                  </wps:wsp>
                </a:graphicData>
              </a:graphic>
            </wp:anchor>
          </w:drawing>
        </mc:Choice>
        <mc:Fallback>
          <w:pict>
            <v:shape w14:anchorId="1C1DB4B4"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C1DB4E2" w14:textId="77777777" w:rsidR="0068610F" w:rsidRDefault="0068610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C1DB4B6" wp14:editId="1C1DB4B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1DB4D5" w14:textId="78F4DEDF" w:rsidR="00B61D2C" w:rsidRDefault="00B61D2C">
                          <w:pPr>
                            <w:spacing w:line="240" w:lineRule="auto"/>
                          </w:pPr>
                        </w:p>
                      </w:txbxContent>
                    </wps:txbx>
                    <wps:bodyPr vert="horz" wrap="square" lIns="0" tIns="0" rIns="0" bIns="0" anchor="t" anchorCtr="0"/>
                  </wps:wsp>
                </a:graphicData>
              </a:graphic>
            </wp:anchor>
          </w:drawing>
        </mc:Choice>
        <mc:Fallback>
          <w:pict>
            <v:shape w14:anchorId="1C1DB4B6"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1DB4D5" w14:textId="78F4DEDF" w:rsidR="00B61D2C" w:rsidRDefault="00B61D2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C1DB4B8" wp14:editId="1C1DB4B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1DB4D6" w14:textId="77777777" w:rsidR="00B61D2C" w:rsidRDefault="0068610F">
                          <w:pPr>
                            <w:spacing w:line="240" w:lineRule="auto"/>
                          </w:pPr>
                          <w:r>
                            <w:rPr>
                              <w:noProof/>
                            </w:rPr>
                            <w:drawing>
                              <wp:inline distT="0" distB="0" distL="0" distR="0" wp14:anchorId="1C1DB4DE" wp14:editId="1C1DB4DF">
                                <wp:extent cx="2339975" cy="1582834"/>
                                <wp:effectExtent l="0" t="0" r="0" b="0"/>
                                <wp:docPr id="2050933748"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1DB4B8"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C1DB4D6" w14:textId="77777777" w:rsidR="00B61D2C" w:rsidRDefault="0068610F">
                    <w:pPr>
                      <w:spacing w:line="240" w:lineRule="auto"/>
                    </w:pPr>
                    <w:r>
                      <w:rPr>
                        <w:noProof/>
                      </w:rPr>
                      <w:drawing>
                        <wp:inline distT="0" distB="0" distL="0" distR="0" wp14:anchorId="1C1DB4DE" wp14:editId="1C1DB4DF">
                          <wp:extent cx="2339975" cy="1582834"/>
                          <wp:effectExtent l="0" t="0" r="0" b="0"/>
                          <wp:docPr id="2050933748"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FC203"/>
    <w:multiLevelType w:val="multilevel"/>
    <w:tmpl w:val="C526594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D0E6DA"/>
    <w:multiLevelType w:val="multilevel"/>
    <w:tmpl w:val="5117B36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48C91B"/>
    <w:multiLevelType w:val="multilevel"/>
    <w:tmpl w:val="10B4D7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253570"/>
    <w:multiLevelType w:val="hybridMultilevel"/>
    <w:tmpl w:val="9D6820C0"/>
    <w:lvl w:ilvl="0" w:tplc="DD243AC2">
      <w:start w:val="1"/>
      <w:numFmt w:val="bullet"/>
      <w:lvlText w:val=""/>
      <w:lvlJc w:val="left"/>
      <w:pPr>
        <w:ind w:left="1440" w:hanging="360"/>
      </w:pPr>
      <w:rPr>
        <w:rFonts w:ascii="Symbol" w:hAnsi="Symbol"/>
      </w:rPr>
    </w:lvl>
    <w:lvl w:ilvl="1" w:tplc="95D44FE4">
      <w:start w:val="1"/>
      <w:numFmt w:val="bullet"/>
      <w:lvlText w:val=""/>
      <w:lvlJc w:val="left"/>
      <w:pPr>
        <w:ind w:left="1440" w:hanging="360"/>
      </w:pPr>
      <w:rPr>
        <w:rFonts w:ascii="Symbol" w:hAnsi="Symbol"/>
      </w:rPr>
    </w:lvl>
    <w:lvl w:ilvl="2" w:tplc="3A42887E">
      <w:start w:val="1"/>
      <w:numFmt w:val="bullet"/>
      <w:lvlText w:val=""/>
      <w:lvlJc w:val="left"/>
      <w:pPr>
        <w:ind w:left="1440" w:hanging="360"/>
      </w:pPr>
      <w:rPr>
        <w:rFonts w:ascii="Symbol" w:hAnsi="Symbol"/>
      </w:rPr>
    </w:lvl>
    <w:lvl w:ilvl="3" w:tplc="AA226F78">
      <w:start w:val="1"/>
      <w:numFmt w:val="bullet"/>
      <w:lvlText w:val=""/>
      <w:lvlJc w:val="left"/>
      <w:pPr>
        <w:ind w:left="1440" w:hanging="360"/>
      </w:pPr>
      <w:rPr>
        <w:rFonts w:ascii="Symbol" w:hAnsi="Symbol"/>
      </w:rPr>
    </w:lvl>
    <w:lvl w:ilvl="4" w:tplc="D6866FBC">
      <w:start w:val="1"/>
      <w:numFmt w:val="bullet"/>
      <w:lvlText w:val=""/>
      <w:lvlJc w:val="left"/>
      <w:pPr>
        <w:ind w:left="1440" w:hanging="360"/>
      </w:pPr>
      <w:rPr>
        <w:rFonts w:ascii="Symbol" w:hAnsi="Symbol"/>
      </w:rPr>
    </w:lvl>
    <w:lvl w:ilvl="5" w:tplc="D99845F4">
      <w:start w:val="1"/>
      <w:numFmt w:val="bullet"/>
      <w:lvlText w:val=""/>
      <w:lvlJc w:val="left"/>
      <w:pPr>
        <w:ind w:left="1440" w:hanging="360"/>
      </w:pPr>
      <w:rPr>
        <w:rFonts w:ascii="Symbol" w:hAnsi="Symbol"/>
      </w:rPr>
    </w:lvl>
    <w:lvl w:ilvl="6" w:tplc="FC32D6C0">
      <w:start w:val="1"/>
      <w:numFmt w:val="bullet"/>
      <w:lvlText w:val=""/>
      <w:lvlJc w:val="left"/>
      <w:pPr>
        <w:ind w:left="1440" w:hanging="360"/>
      </w:pPr>
      <w:rPr>
        <w:rFonts w:ascii="Symbol" w:hAnsi="Symbol"/>
      </w:rPr>
    </w:lvl>
    <w:lvl w:ilvl="7" w:tplc="187A5BDC">
      <w:start w:val="1"/>
      <w:numFmt w:val="bullet"/>
      <w:lvlText w:val=""/>
      <w:lvlJc w:val="left"/>
      <w:pPr>
        <w:ind w:left="1440" w:hanging="360"/>
      </w:pPr>
      <w:rPr>
        <w:rFonts w:ascii="Symbol" w:hAnsi="Symbol"/>
      </w:rPr>
    </w:lvl>
    <w:lvl w:ilvl="8" w:tplc="64941806">
      <w:start w:val="1"/>
      <w:numFmt w:val="bullet"/>
      <w:lvlText w:val=""/>
      <w:lvlJc w:val="left"/>
      <w:pPr>
        <w:ind w:left="1440" w:hanging="360"/>
      </w:pPr>
      <w:rPr>
        <w:rFonts w:ascii="Symbol" w:hAnsi="Symbol"/>
      </w:rPr>
    </w:lvl>
  </w:abstractNum>
  <w:abstractNum w:abstractNumId="4" w15:restartNumberingAfterBreak="0">
    <w:nsid w:val="19D65B43"/>
    <w:multiLevelType w:val="multilevel"/>
    <w:tmpl w:val="A1F7ED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CFA5F57"/>
    <w:multiLevelType w:val="multilevel"/>
    <w:tmpl w:val="88F25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5247C"/>
    <w:multiLevelType w:val="hybridMultilevel"/>
    <w:tmpl w:val="E81E4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C873F1"/>
    <w:multiLevelType w:val="hybridMultilevel"/>
    <w:tmpl w:val="77C09148"/>
    <w:lvl w:ilvl="0" w:tplc="1E1EA8AC">
      <w:start w:val="1"/>
      <w:numFmt w:val="upperLetter"/>
      <w:lvlText w:val="%1)"/>
      <w:lvlJc w:val="left"/>
      <w:pPr>
        <w:ind w:left="720" w:hanging="360"/>
      </w:pPr>
    </w:lvl>
    <w:lvl w:ilvl="1" w:tplc="3A6E1D08">
      <w:start w:val="1"/>
      <w:numFmt w:val="upperLetter"/>
      <w:lvlText w:val="%2)"/>
      <w:lvlJc w:val="left"/>
      <w:pPr>
        <w:ind w:left="720" w:hanging="360"/>
      </w:pPr>
    </w:lvl>
    <w:lvl w:ilvl="2" w:tplc="391AED9C">
      <w:start w:val="1"/>
      <w:numFmt w:val="upperLetter"/>
      <w:lvlText w:val="%3)"/>
      <w:lvlJc w:val="left"/>
      <w:pPr>
        <w:ind w:left="720" w:hanging="360"/>
      </w:pPr>
    </w:lvl>
    <w:lvl w:ilvl="3" w:tplc="FE8621AC">
      <w:start w:val="1"/>
      <w:numFmt w:val="upperLetter"/>
      <w:lvlText w:val="%4)"/>
      <w:lvlJc w:val="left"/>
      <w:pPr>
        <w:ind w:left="720" w:hanging="360"/>
      </w:pPr>
    </w:lvl>
    <w:lvl w:ilvl="4" w:tplc="2EF4AB08">
      <w:start w:val="1"/>
      <w:numFmt w:val="upperLetter"/>
      <w:lvlText w:val="%5)"/>
      <w:lvlJc w:val="left"/>
      <w:pPr>
        <w:ind w:left="720" w:hanging="360"/>
      </w:pPr>
    </w:lvl>
    <w:lvl w:ilvl="5" w:tplc="EB8AB480">
      <w:start w:val="1"/>
      <w:numFmt w:val="upperLetter"/>
      <w:lvlText w:val="%6)"/>
      <w:lvlJc w:val="left"/>
      <w:pPr>
        <w:ind w:left="720" w:hanging="360"/>
      </w:pPr>
    </w:lvl>
    <w:lvl w:ilvl="6" w:tplc="45FE8C14">
      <w:start w:val="1"/>
      <w:numFmt w:val="upperLetter"/>
      <w:lvlText w:val="%7)"/>
      <w:lvlJc w:val="left"/>
      <w:pPr>
        <w:ind w:left="720" w:hanging="360"/>
      </w:pPr>
    </w:lvl>
    <w:lvl w:ilvl="7" w:tplc="4740E218">
      <w:start w:val="1"/>
      <w:numFmt w:val="upperLetter"/>
      <w:lvlText w:val="%8)"/>
      <w:lvlJc w:val="left"/>
      <w:pPr>
        <w:ind w:left="720" w:hanging="360"/>
      </w:pPr>
    </w:lvl>
    <w:lvl w:ilvl="8" w:tplc="36A02024">
      <w:start w:val="1"/>
      <w:numFmt w:val="upperLetter"/>
      <w:lvlText w:val="%9)"/>
      <w:lvlJc w:val="left"/>
      <w:pPr>
        <w:ind w:left="720" w:hanging="360"/>
      </w:pPr>
    </w:lvl>
  </w:abstractNum>
  <w:abstractNum w:abstractNumId="8" w15:restartNumberingAfterBreak="0">
    <w:nsid w:val="76C69D4B"/>
    <w:multiLevelType w:val="multilevel"/>
    <w:tmpl w:val="860F792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601766094">
    <w:abstractNumId w:val="8"/>
  </w:num>
  <w:num w:numId="2" w16cid:durableId="1600796213">
    <w:abstractNumId w:val="2"/>
  </w:num>
  <w:num w:numId="3" w16cid:durableId="1727414160">
    <w:abstractNumId w:val="4"/>
  </w:num>
  <w:num w:numId="4" w16cid:durableId="679771295">
    <w:abstractNumId w:val="0"/>
  </w:num>
  <w:num w:numId="5" w16cid:durableId="1130130902">
    <w:abstractNumId w:val="1"/>
  </w:num>
  <w:num w:numId="6" w16cid:durableId="871652045">
    <w:abstractNumId w:val="7"/>
  </w:num>
  <w:num w:numId="7" w16cid:durableId="186991932">
    <w:abstractNumId w:val="3"/>
  </w:num>
  <w:num w:numId="8" w16cid:durableId="1274246430">
    <w:abstractNumId w:val="5"/>
  </w:num>
  <w:num w:numId="9" w16cid:durableId="1992709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2C"/>
    <w:rsid w:val="00004696"/>
    <w:rsid w:val="00005CA4"/>
    <w:rsid w:val="00006D9D"/>
    <w:rsid w:val="00013B5D"/>
    <w:rsid w:val="000164D9"/>
    <w:rsid w:val="000177DA"/>
    <w:rsid w:val="000200C5"/>
    <w:rsid w:val="00022F6B"/>
    <w:rsid w:val="0003256C"/>
    <w:rsid w:val="0006530F"/>
    <w:rsid w:val="00066AF9"/>
    <w:rsid w:val="0007770D"/>
    <w:rsid w:val="00092344"/>
    <w:rsid w:val="000923B4"/>
    <w:rsid w:val="000B319B"/>
    <w:rsid w:val="000B61A0"/>
    <w:rsid w:val="000C21E4"/>
    <w:rsid w:val="000C63B5"/>
    <w:rsid w:val="000D34FB"/>
    <w:rsid w:val="000D4905"/>
    <w:rsid w:val="00111CEE"/>
    <w:rsid w:val="00116B3A"/>
    <w:rsid w:val="001204C7"/>
    <w:rsid w:val="00121722"/>
    <w:rsid w:val="0013713C"/>
    <w:rsid w:val="00137CE3"/>
    <w:rsid w:val="00145B40"/>
    <w:rsid w:val="0014641F"/>
    <w:rsid w:val="0015269C"/>
    <w:rsid w:val="0015676C"/>
    <w:rsid w:val="00160711"/>
    <w:rsid w:val="001624CA"/>
    <w:rsid w:val="00172257"/>
    <w:rsid w:val="00177921"/>
    <w:rsid w:val="00185746"/>
    <w:rsid w:val="0019014F"/>
    <w:rsid w:val="001A4328"/>
    <w:rsid w:val="001B2551"/>
    <w:rsid w:val="001B2B34"/>
    <w:rsid w:val="001B5336"/>
    <w:rsid w:val="001C640C"/>
    <w:rsid w:val="001C7202"/>
    <w:rsid w:val="001D0D7F"/>
    <w:rsid w:val="001D0EB3"/>
    <w:rsid w:val="001D3617"/>
    <w:rsid w:val="001E202F"/>
    <w:rsid w:val="001F2AE4"/>
    <w:rsid w:val="001F34B8"/>
    <w:rsid w:val="0020045B"/>
    <w:rsid w:val="0020341D"/>
    <w:rsid w:val="00215824"/>
    <w:rsid w:val="00215CCE"/>
    <w:rsid w:val="0021786C"/>
    <w:rsid w:val="002212BB"/>
    <w:rsid w:val="00225829"/>
    <w:rsid w:val="002269C0"/>
    <w:rsid w:val="00227BBA"/>
    <w:rsid w:val="0023365B"/>
    <w:rsid w:val="00242336"/>
    <w:rsid w:val="00256364"/>
    <w:rsid w:val="002612F1"/>
    <w:rsid w:val="002649F9"/>
    <w:rsid w:val="0026573B"/>
    <w:rsid w:val="00276068"/>
    <w:rsid w:val="002761F7"/>
    <w:rsid w:val="0028629F"/>
    <w:rsid w:val="00297B90"/>
    <w:rsid w:val="002A01D5"/>
    <w:rsid w:val="002B3CF9"/>
    <w:rsid w:val="002B6051"/>
    <w:rsid w:val="002C22C8"/>
    <w:rsid w:val="002C7893"/>
    <w:rsid w:val="002D42BB"/>
    <w:rsid w:val="002D5623"/>
    <w:rsid w:val="002E1C6E"/>
    <w:rsid w:val="002F3B8F"/>
    <w:rsid w:val="00300190"/>
    <w:rsid w:val="003132E1"/>
    <w:rsid w:val="003162D9"/>
    <w:rsid w:val="003241A1"/>
    <w:rsid w:val="00332E42"/>
    <w:rsid w:val="00333BE8"/>
    <w:rsid w:val="0033636F"/>
    <w:rsid w:val="003435F9"/>
    <w:rsid w:val="00346F57"/>
    <w:rsid w:val="00356D01"/>
    <w:rsid w:val="00363EAD"/>
    <w:rsid w:val="003747CF"/>
    <w:rsid w:val="003801BC"/>
    <w:rsid w:val="00381EBF"/>
    <w:rsid w:val="003912B7"/>
    <w:rsid w:val="00392A0A"/>
    <w:rsid w:val="003A1C63"/>
    <w:rsid w:val="003A3957"/>
    <w:rsid w:val="003A3BBE"/>
    <w:rsid w:val="003B1513"/>
    <w:rsid w:val="003B28F5"/>
    <w:rsid w:val="003B6DBF"/>
    <w:rsid w:val="003C06C5"/>
    <w:rsid w:val="003E2E6A"/>
    <w:rsid w:val="003F183B"/>
    <w:rsid w:val="003F18E9"/>
    <w:rsid w:val="003F4364"/>
    <w:rsid w:val="00403F18"/>
    <w:rsid w:val="00405EBE"/>
    <w:rsid w:val="00405F7E"/>
    <w:rsid w:val="00415B12"/>
    <w:rsid w:val="00420E8E"/>
    <w:rsid w:val="00433E9D"/>
    <w:rsid w:val="00434B10"/>
    <w:rsid w:val="00446047"/>
    <w:rsid w:val="0045218F"/>
    <w:rsid w:val="00452721"/>
    <w:rsid w:val="00464EA7"/>
    <w:rsid w:val="00472D52"/>
    <w:rsid w:val="00490CD0"/>
    <w:rsid w:val="004965B6"/>
    <w:rsid w:val="004A01E3"/>
    <w:rsid w:val="004A16BA"/>
    <w:rsid w:val="004A6F6E"/>
    <w:rsid w:val="004B7910"/>
    <w:rsid w:val="004C0279"/>
    <w:rsid w:val="004C4CF0"/>
    <w:rsid w:val="004C787C"/>
    <w:rsid w:val="004D1599"/>
    <w:rsid w:val="004D3CEE"/>
    <w:rsid w:val="004F6E19"/>
    <w:rsid w:val="005120FC"/>
    <w:rsid w:val="0051246E"/>
    <w:rsid w:val="00530D26"/>
    <w:rsid w:val="005376FE"/>
    <w:rsid w:val="00546D84"/>
    <w:rsid w:val="00550D09"/>
    <w:rsid w:val="00563DA1"/>
    <w:rsid w:val="00570707"/>
    <w:rsid w:val="005717F6"/>
    <w:rsid w:val="005719DA"/>
    <w:rsid w:val="00571E16"/>
    <w:rsid w:val="0057438E"/>
    <w:rsid w:val="00576962"/>
    <w:rsid w:val="0057732E"/>
    <w:rsid w:val="00581363"/>
    <w:rsid w:val="00586427"/>
    <w:rsid w:val="00592C5E"/>
    <w:rsid w:val="00594135"/>
    <w:rsid w:val="005A197C"/>
    <w:rsid w:val="005A26E4"/>
    <w:rsid w:val="005A5E6D"/>
    <w:rsid w:val="005A7523"/>
    <w:rsid w:val="005B2F7E"/>
    <w:rsid w:val="005B5AC0"/>
    <w:rsid w:val="005C0B70"/>
    <w:rsid w:val="005C1E26"/>
    <w:rsid w:val="005C2778"/>
    <w:rsid w:val="005C49F0"/>
    <w:rsid w:val="005D286D"/>
    <w:rsid w:val="005D6246"/>
    <w:rsid w:val="005D634B"/>
    <w:rsid w:val="005E0C3A"/>
    <w:rsid w:val="005E1F80"/>
    <w:rsid w:val="005E399C"/>
    <w:rsid w:val="005E6CEC"/>
    <w:rsid w:val="005F1568"/>
    <w:rsid w:val="005F57BF"/>
    <w:rsid w:val="00602BCD"/>
    <w:rsid w:val="00623A28"/>
    <w:rsid w:val="006256F6"/>
    <w:rsid w:val="006305FC"/>
    <w:rsid w:val="006329E5"/>
    <w:rsid w:val="006336A3"/>
    <w:rsid w:val="00636662"/>
    <w:rsid w:val="00636E14"/>
    <w:rsid w:val="00643076"/>
    <w:rsid w:val="006437E8"/>
    <w:rsid w:val="006514D8"/>
    <w:rsid w:val="00652056"/>
    <w:rsid w:val="00654A5A"/>
    <w:rsid w:val="006606F2"/>
    <w:rsid w:val="00674023"/>
    <w:rsid w:val="006805BB"/>
    <w:rsid w:val="0068610F"/>
    <w:rsid w:val="006927DA"/>
    <w:rsid w:val="00695A6C"/>
    <w:rsid w:val="006A0C18"/>
    <w:rsid w:val="006A2E9E"/>
    <w:rsid w:val="006A512E"/>
    <w:rsid w:val="006B5A77"/>
    <w:rsid w:val="006C0FDD"/>
    <w:rsid w:val="006C3208"/>
    <w:rsid w:val="006C39D1"/>
    <w:rsid w:val="006C4AF7"/>
    <w:rsid w:val="006C7A5C"/>
    <w:rsid w:val="006D20DB"/>
    <w:rsid w:val="006D6484"/>
    <w:rsid w:val="006E6776"/>
    <w:rsid w:val="006E6FDA"/>
    <w:rsid w:val="006F5336"/>
    <w:rsid w:val="00711F3A"/>
    <w:rsid w:val="00713B43"/>
    <w:rsid w:val="00731085"/>
    <w:rsid w:val="00743D9F"/>
    <w:rsid w:val="00745E71"/>
    <w:rsid w:val="00752C20"/>
    <w:rsid w:val="007546BF"/>
    <w:rsid w:val="00756B13"/>
    <w:rsid w:val="007737C8"/>
    <w:rsid w:val="007762C9"/>
    <w:rsid w:val="0077784B"/>
    <w:rsid w:val="00787A4A"/>
    <w:rsid w:val="0079745D"/>
    <w:rsid w:val="007A00A0"/>
    <w:rsid w:val="007B162E"/>
    <w:rsid w:val="007B3926"/>
    <w:rsid w:val="007B5F1D"/>
    <w:rsid w:val="007D0427"/>
    <w:rsid w:val="007E205E"/>
    <w:rsid w:val="007E391F"/>
    <w:rsid w:val="007E4D74"/>
    <w:rsid w:val="007F24DE"/>
    <w:rsid w:val="007F6088"/>
    <w:rsid w:val="0080026E"/>
    <w:rsid w:val="00804F9D"/>
    <w:rsid w:val="008056D3"/>
    <w:rsid w:val="00812D91"/>
    <w:rsid w:val="00815E99"/>
    <w:rsid w:val="00821B64"/>
    <w:rsid w:val="008255E7"/>
    <w:rsid w:val="00825EED"/>
    <w:rsid w:val="00832B6B"/>
    <w:rsid w:val="00832DD6"/>
    <w:rsid w:val="00836979"/>
    <w:rsid w:val="008433A4"/>
    <w:rsid w:val="008477B4"/>
    <w:rsid w:val="00855414"/>
    <w:rsid w:val="00857764"/>
    <w:rsid w:val="0087609C"/>
    <w:rsid w:val="00876A3C"/>
    <w:rsid w:val="0088016E"/>
    <w:rsid w:val="0088268A"/>
    <w:rsid w:val="008852A4"/>
    <w:rsid w:val="00893D77"/>
    <w:rsid w:val="00894019"/>
    <w:rsid w:val="008A099D"/>
    <w:rsid w:val="008A251E"/>
    <w:rsid w:val="008C0097"/>
    <w:rsid w:val="008D5169"/>
    <w:rsid w:val="008D69CC"/>
    <w:rsid w:val="008E586C"/>
    <w:rsid w:val="008F6E8B"/>
    <w:rsid w:val="00900AC2"/>
    <w:rsid w:val="00906528"/>
    <w:rsid w:val="009076AA"/>
    <w:rsid w:val="00912A29"/>
    <w:rsid w:val="00913D4E"/>
    <w:rsid w:val="00913E69"/>
    <w:rsid w:val="0091664C"/>
    <w:rsid w:val="00933EB2"/>
    <w:rsid w:val="00936CB3"/>
    <w:rsid w:val="0094126A"/>
    <w:rsid w:val="00956996"/>
    <w:rsid w:val="0096109C"/>
    <w:rsid w:val="0096334B"/>
    <w:rsid w:val="009634F2"/>
    <w:rsid w:val="00966346"/>
    <w:rsid w:val="00971E98"/>
    <w:rsid w:val="009750FB"/>
    <w:rsid w:val="00981FE3"/>
    <w:rsid w:val="00984FA8"/>
    <w:rsid w:val="0099046B"/>
    <w:rsid w:val="00991287"/>
    <w:rsid w:val="0099345E"/>
    <w:rsid w:val="009A07CE"/>
    <w:rsid w:val="009A3B5C"/>
    <w:rsid w:val="009A751C"/>
    <w:rsid w:val="009B7251"/>
    <w:rsid w:val="009C6C2A"/>
    <w:rsid w:val="009E5AB5"/>
    <w:rsid w:val="009F1B39"/>
    <w:rsid w:val="00A03C14"/>
    <w:rsid w:val="00A10C9C"/>
    <w:rsid w:val="00A11250"/>
    <w:rsid w:val="00A16288"/>
    <w:rsid w:val="00A171C6"/>
    <w:rsid w:val="00A21F02"/>
    <w:rsid w:val="00A330CE"/>
    <w:rsid w:val="00A3398A"/>
    <w:rsid w:val="00A35145"/>
    <w:rsid w:val="00A3515F"/>
    <w:rsid w:val="00A36715"/>
    <w:rsid w:val="00A40E1B"/>
    <w:rsid w:val="00A42FF1"/>
    <w:rsid w:val="00A43DB4"/>
    <w:rsid w:val="00A440B8"/>
    <w:rsid w:val="00A45621"/>
    <w:rsid w:val="00A456B6"/>
    <w:rsid w:val="00A45D5A"/>
    <w:rsid w:val="00A50064"/>
    <w:rsid w:val="00A50971"/>
    <w:rsid w:val="00A50BB4"/>
    <w:rsid w:val="00A5130A"/>
    <w:rsid w:val="00A52E6C"/>
    <w:rsid w:val="00A53331"/>
    <w:rsid w:val="00A73089"/>
    <w:rsid w:val="00A83A3F"/>
    <w:rsid w:val="00A9576D"/>
    <w:rsid w:val="00AA124D"/>
    <w:rsid w:val="00AA25E3"/>
    <w:rsid w:val="00AB6036"/>
    <w:rsid w:val="00AB6FA1"/>
    <w:rsid w:val="00AC4962"/>
    <w:rsid w:val="00AC7CDE"/>
    <w:rsid w:val="00AD2AC0"/>
    <w:rsid w:val="00AE02BE"/>
    <w:rsid w:val="00AE30A3"/>
    <w:rsid w:val="00AF194B"/>
    <w:rsid w:val="00AF44FD"/>
    <w:rsid w:val="00B06C63"/>
    <w:rsid w:val="00B21A80"/>
    <w:rsid w:val="00B22949"/>
    <w:rsid w:val="00B22D3F"/>
    <w:rsid w:val="00B23EF9"/>
    <w:rsid w:val="00B2784C"/>
    <w:rsid w:val="00B44766"/>
    <w:rsid w:val="00B5113F"/>
    <w:rsid w:val="00B52812"/>
    <w:rsid w:val="00B54BDB"/>
    <w:rsid w:val="00B54D47"/>
    <w:rsid w:val="00B57347"/>
    <w:rsid w:val="00B6193C"/>
    <w:rsid w:val="00B61D2C"/>
    <w:rsid w:val="00B820AE"/>
    <w:rsid w:val="00B9515F"/>
    <w:rsid w:val="00BA13BA"/>
    <w:rsid w:val="00BB0015"/>
    <w:rsid w:val="00BB054B"/>
    <w:rsid w:val="00BC2BA3"/>
    <w:rsid w:val="00BC3B91"/>
    <w:rsid w:val="00BC4C23"/>
    <w:rsid w:val="00BC57AA"/>
    <w:rsid w:val="00BE1D82"/>
    <w:rsid w:val="00BF0DA1"/>
    <w:rsid w:val="00C00651"/>
    <w:rsid w:val="00C05417"/>
    <w:rsid w:val="00C07FDE"/>
    <w:rsid w:val="00C13B1A"/>
    <w:rsid w:val="00C340FB"/>
    <w:rsid w:val="00C34561"/>
    <w:rsid w:val="00C3716B"/>
    <w:rsid w:val="00C43AB6"/>
    <w:rsid w:val="00C47D24"/>
    <w:rsid w:val="00C50C61"/>
    <w:rsid w:val="00C536EA"/>
    <w:rsid w:val="00C62EA0"/>
    <w:rsid w:val="00C747C6"/>
    <w:rsid w:val="00C77876"/>
    <w:rsid w:val="00C85660"/>
    <w:rsid w:val="00C90F59"/>
    <w:rsid w:val="00C94A10"/>
    <w:rsid w:val="00C96E57"/>
    <w:rsid w:val="00CA0DAC"/>
    <w:rsid w:val="00CA5BFB"/>
    <w:rsid w:val="00CB33E0"/>
    <w:rsid w:val="00CB6745"/>
    <w:rsid w:val="00CB7EE5"/>
    <w:rsid w:val="00CC1703"/>
    <w:rsid w:val="00CC26A4"/>
    <w:rsid w:val="00CC26F7"/>
    <w:rsid w:val="00CD252F"/>
    <w:rsid w:val="00CD5634"/>
    <w:rsid w:val="00CD6EB7"/>
    <w:rsid w:val="00CF3BA9"/>
    <w:rsid w:val="00CF5E0A"/>
    <w:rsid w:val="00D0688E"/>
    <w:rsid w:val="00D1516E"/>
    <w:rsid w:val="00D31961"/>
    <w:rsid w:val="00D342AE"/>
    <w:rsid w:val="00D50116"/>
    <w:rsid w:val="00D51C27"/>
    <w:rsid w:val="00D6772F"/>
    <w:rsid w:val="00D70BA6"/>
    <w:rsid w:val="00D72DC8"/>
    <w:rsid w:val="00D77937"/>
    <w:rsid w:val="00D812DB"/>
    <w:rsid w:val="00D818F3"/>
    <w:rsid w:val="00D824EB"/>
    <w:rsid w:val="00D82642"/>
    <w:rsid w:val="00D870AF"/>
    <w:rsid w:val="00D874B1"/>
    <w:rsid w:val="00D87A31"/>
    <w:rsid w:val="00D9029C"/>
    <w:rsid w:val="00DA243D"/>
    <w:rsid w:val="00DB54F3"/>
    <w:rsid w:val="00DB7F7F"/>
    <w:rsid w:val="00DD09F8"/>
    <w:rsid w:val="00DE7977"/>
    <w:rsid w:val="00DF5535"/>
    <w:rsid w:val="00E00DCF"/>
    <w:rsid w:val="00E03BDA"/>
    <w:rsid w:val="00E15F3F"/>
    <w:rsid w:val="00E1671E"/>
    <w:rsid w:val="00E24C6A"/>
    <w:rsid w:val="00E3033B"/>
    <w:rsid w:val="00E30650"/>
    <w:rsid w:val="00E30987"/>
    <w:rsid w:val="00E31521"/>
    <w:rsid w:val="00E36517"/>
    <w:rsid w:val="00E41A58"/>
    <w:rsid w:val="00E42716"/>
    <w:rsid w:val="00E55BFF"/>
    <w:rsid w:val="00E75F6F"/>
    <w:rsid w:val="00E779FD"/>
    <w:rsid w:val="00E81AAC"/>
    <w:rsid w:val="00E8204F"/>
    <w:rsid w:val="00E83F82"/>
    <w:rsid w:val="00E86533"/>
    <w:rsid w:val="00E93FB8"/>
    <w:rsid w:val="00EA191A"/>
    <w:rsid w:val="00EA412A"/>
    <w:rsid w:val="00EC49AB"/>
    <w:rsid w:val="00ED42A6"/>
    <w:rsid w:val="00EF1517"/>
    <w:rsid w:val="00EF7AB6"/>
    <w:rsid w:val="00F016D9"/>
    <w:rsid w:val="00F12777"/>
    <w:rsid w:val="00F17A9B"/>
    <w:rsid w:val="00F31653"/>
    <w:rsid w:val="00F32CA2"/>
    <w:rsid w:val="00F36623"/>
    <w:rsid w:val="00F404A5"/>
    <w:rsid w:val="00F41692"/>
    <w:rsid w:val="00F437A0"/>
    <w:rsid w:val="00F439FE"/>
    <w:rsid w:val="00F45CDD"/>
    <w:rsid w:val="00F461F3"/>
    <w:rsid w:val="00F47EC0"/>
    <w:rsid w:val="00F56832"/>
    <w:rsid w:val="00F56B7E"/>
    <w:rsid w:val="00F57FE3"/>
    <w:rsid w:val="00F600A9"/>
    <w:rsid w:val="00F82F3C"/>
    <w:rsid w:val="00F83D8F"/>
    <w:rsid w:val="00F83FCD"/>
    <w:rsid w:val="00F92147"/>
    <w:rsid w:val="00F938A3"/>
    <w:rsid w:val="00F9421A"/>
    <w:rsid w:val="00F975CD"/>
    <w:rsid w:val="00FA47F3"/>
    <w:rsid w:val="00FB2231"/>
    <w:rsid w:val="00FC387A"/>
    <w:rsid w:val="00FC7378"/>
    <w:rsid w:val="00FD7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B498"/>
  <w15:docId w15:val="{ADEFCCF5-982D-4164-AD2A-19A46A8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13B1A"/>
    <w:pPr>
      <w:tabs>
        <w:tab w:val="center" w:pos="4513"/>
        <w:tab w:val="right" w:pos="9026"/>
      </w:tabs>
      <w:spacing w:line="240" w:lineRule="auto"/>
    </w:pPr>
  </w:style>
  <w:style w:type="character" w:customStyle="1" w:styleId="HeaderChar">
    <w:name w:val="Header Char"/>
    <w:basedOn w:val="DefaultParagraphFont"/>
    <w:link w:val="Header"/>
    <w:uiPriority w:val="99"/>
    <w:rsid w:val="00C13B1A"/>
    <w:rPr>
      <w:rFonts w:ascii="Verdana" w:hAnsi="Verdana"/>
      <w:color w:val="000000"/>
      <w:sz w:val="18"/>
      <w:szCs w:val="18"/>
    </w:rPr>
  </w:style>
  <w:style w:type="paragraph" w:styleId="Footer">
    <w:name w:val="footer"/>
    <w:basedOn w:val="Normal"/>
    <w:link w:val="FooterChar"/>
    <w:uiPriority w:val="99"/>
    <w:unhideWhenUsed/>
    <w:rsid w:val="00C13B1A"/>
    <w:pPr>
      <w:tabs>
        <w:tab w:val="center" w:pos="4513"/>
        <w:tab w:val="right" w:pos="9026"/>
      </w:tabs>
      <w:spacing w:line="240" w:lineRule="auto"/>
    </w:pPr>
  </w:style>
  <w:style w:type="character" w:customStyle="1" w:styleId="FooterChar">
    <w:name w:val="Footer Char"/>
    <w:basedOn w:val="DefaultParagraphFont"/>
    <w:link w:val="Footer"/>
    <w:uiPriority w:val="99"/>
    <w:rsid w:val="00C13B1A"/>
    <w:rPr>
      <w:rFonts w:ascii="Verdana" w:hAnsi="Verdana"/>
      <w:color w:val="000000"/>
      <w:sz w:val="18"/>
      <w:szCs w:val="18"/>
    </w:rPr>
  </w:style>
  <w:style w:type="paragraph" w:styleId="FootnoteText">
    <w:name w:val="footnote text"/>
    <w:basedOn w:val="Normal"/>
    <w:link w:val="FootnoteTextChar"/>
    <w:uiPriority w:val="99"/>
    <w:semiHidden/>
    <w:unhideWhenUsed/>
    <w:rsid w:val="00B5281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5281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52812"/>
    <w:rPr>
      <w:vertAlign w:val="superscript"/>
    </w:rPr>
  </w:style>
  <w:style w:type="paragraph" w:styleId="Revision">
    <w:name w:val="Revision"/>
    <w:hidden/>
    <w:uiPriority w:val="99"/>
    <w:semiHidden/>
    <w:rsid w:val="003B28F5"/>
    <w:pPr>
      <w:autoSpaceDN/>
      <w:textAlignment w:val="auto"/>
    </w:pPr>
    <w:rPr>
      <w:rFonts w:ascii="Verdana" w:hAnsi="Verdana"/>
      <w:color w:val="000000"/>
      <w:sz w:val="18"/>
      <w:szCs w:val="18"/>
    </w:rPr>
  </w:style>
  <w:style w:type="paragraph" w:styleId="BodyText">
    <w:name w:val="Body Text"/>
    <w:basedOn w:val="Normal"/>
    <w:link w:val="BodyTextChar"/>
    <w:uiPriority w:val="1"/>
    <w:qFormat/>
    <w:rsid w:val="007737C8"/>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7737C8"/>
    <w:rPr>
      <w:rFonts w:ascii="Verdana" w:eastAsia="Verdana" w:hAnsi="Verdana" w:cs="Verdana"/>
      <w:sz w:val="18"/>
      <w:szCs w:val="18"/>
      <w:lang w:eastAsia="en-US"/>
    </w:rPr>
  </w:style>
  <w:style w:type="character" w:styleId="CommentReference">
    <w:name w:val="annotation reference"/>
    <w:basedOn w:val="DefaultParagraphFont"/>
    <w:uiPriority w:val="99"/>
    <w:semiHidden/>
    <w:unhideWhenUsed/>
    <w:rsid w:val="007737C8"/>
    <w:rPr>
      <w:sz w:val="16"/>
      <w:szCs w:val="16"/>
    </w:rPr>
  </w:style>
  <w:style w:type="paragraph" w:styleId="CommentText">
    <w:name w:val="annotation text"/>
    <w:basedOn w:val="Normal"/>
    <w:link w:val="CommentTextChar"/>
    <w:uiPriority w:val="99"/>
    <w:unhideWhenUsed/>
    <w:rsid w:val="007737C8"/>
    <w:pPr>
      <w:widowControl w:val="0"/>
      <w:autoSpaceDE w:val="0"/>
      <w:spacing w:line="240" w:lineRule="auto"/>
      <w:textAlignment w:val="auto"/>
    </w:pPr>
    <w:rPr>
      <w:rFonts w:eastAsia="Verdana" w:cs="Verdana"/>
      <w:color w:val="auto"/>
      <w:sz w:val="20"/>
      <w:szCs w:val="20"/>
      <w:lang w:eastAsia="en-US"/>
    </w:rPr>
  </w:style>
  <w:style w:type="character" w:customStyle="1" w:styleId="CommentTextChar">
    <w:name w:val="Comment Text Char"/>
    <w:basedOn w:val="DefaultParagraphFont"/>
    <w:link w:val="CommentText"/>
    <w:uiPriority w:val="99"/>
    <w:rsid w:val="007737C8"/>
    <w:rPr>
      <w:rFonts w:ascii="Verdana" w:eastAsia="Verdana" w:hAnsi="Verdana" w:cs="Verdana"/>
      <w:lang w:eastAsia="en-US"/>
    </w:rPr>
  </w:style>
  <w:style w:type="character" w:styleId="FollowedHyperlink">
    <w:name w:val="FollowedHyperlink"/>
    <w:basedOn w:val="DefaultParagraphFont"/>
    <w:uiPriority w:val="99"/>
    <w:semiHidden/>
    <w:unhideWhenUsed/>
    <w:rsid w:val="0057732E"/>
    <w:rPr>
      <w:color w:val="96607D" w:themeColor="followedHyperlink"/>
      <w:u w:val="single"/>
    </w:rPr>
  </w:style>
  <w:style w:type="paragraph" w:styleId="NormalWeb">
    <w:name w:val="Normal (Web)"/>
    <w:basedOn w:val="Normal"/>
    <w:uiPriority w:val="99"/>
    <w:semiHidden/>
    <w:unhideWhenUsed/>
    <w:rsid w:val="000D490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21B64"/>
    <w:pPr>
      <w:widowControl/>
      <w:autoSpaceDE/>
      <w:textAlignment w:val="baseline"/>
    </w:pPr>
    <w:rPr>
      <w:rFonts w:eastAsia="DejaVu Sans" w:cs="Lohit Hindi"/>
      <w:b/>
      <w:bCs/>
      <w:color w:val="000000"/>
      <w:lang w:eastAsia="nl-NL"/>
    </w:rPr>
  </w:style>
  <w:style w:type="character" w:customStyle="1" w:styleId="CommentSubjectChar">
    <w:name w:val="Comment Subject Char"/>
    <w:basedOn w:val="CommentTextChar"/>
    <w:link w:val="CommentSubject"/>
    <w:uiPriority w:val="99"/>
    <w:semiHidden/>
    <w:rsid w:val="00821B64"/>
    <w:rPr>
      <w:rFonts w:ascii="Verdana" w:eastAsia="Verdana" w:hAnsi="Verdana" w:cs="Verdana"/>
      <w:b/>
      <w:bCs/>
      <w:color w:val="000000"/>
      <w:lang w:eastAsia="en-US"/>
    </w:rPr>
  </w:style>
  <w:style w:type="character" w:styleId="UnresolvedMention">
    <w:name w:val="Unresolved Mention"/>
    <w:basedOn w:val="DefaultParagraphFont"/>
    <w:uiPriority w:val="99"/>
    <w:semiHidden/>
    <w:unhideWhenUsed/>
    <w:rsid w:val="00D0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246">
      <w:bodyDiv w:val="1"/>
      <w:marLeft w:val="0"/>
      <w:marRight w:val="0"/>
      <w:marTop w:val="0"/>
      <w:marBottom w:val="0"/>
      <w:divBdr>
        <w:top w:val="none" w:sz="0" w:space="0" w:color="auto"/>
        <w:left w:val="none" w:sz="0" w:space="0" w:color="auto"/>
        <w:bottom w:val="none" w:sz="0" w:space="0" w:color="auto"/>
        <w:right w:val="none" w:sz="0" w:space="0" w:color="auto"/>
      </w:divBdr>
    </w:div>
    <w:div w:id="98645645">
      <w:bodyDiv w:val="1"/>
      <w:marLeft w:val="0"/>
      <w:marRight w:val="0"/>
      <w:marTop w:val="0"/>
      <w:marBottom w:val="0"/>
      <w:divBdr>
        <w:top w:val="none" w:sz="0" w:space="0" w:color="auto"/>
        <w:left w:val="none" w:sz="0" w:space="0" w:color="auto"/>
        <w:bottom w:val="none" w:sz="0" w:space="0" w:color="auto"/>
        <w:right w:val="none" w:sz="0" w:space="0" w:color="auto"/>
      </w:divBdr>
    </w:div>
    <w:div w:id="99378339">
      <w:bodyDiv w:val="1"/>
      <w:marLeft w:val="0"/>
      <w:marRight w:val="0"/>
      <w:marTop w:val="0"/>
      <w:marBottom w:val="0"/>
      <w:divBdr>
        <w:top w:val="none" w:sz="0" w:space="0" w:color="auto"/>
        <w:left w:val="none" w:sz="0" w:space="0" w:color="auto"/>
        <w:bottom w:val="none" w:sz="0" w:space="0" w:color="auto"/>
        <w:right w:val="none" w:sz="0" w:space="0" w:color="auto"/>
      </w:divBdr>
    </w:div>
    <w:div w:id="138573835">
      <w:bodyDiv w:val="1"/>
      <w:marLeft w:val="0"/>
      <w:marRight w:val="0"/>
      <w:marTop w:val="0"/>
      <w:marBottom w:val="0"/>
      <w:divBdr>
        <w:top w:val="none" w:sz="0" w:space="0" w:color="auto"/>
        <w:left w:val="none" w:sz="0" w:space="0" w:color="auto"/>
        <w:bottom w:val="none" w:sz="0" w:space="0" w:color="auto"/>
        <w:right w:val="none" w:sz="0" w:space="0" w:color="auto"/>
      </w:divBdr>
    </w:div>
    <w:div w:id="172963147">
      <w:bodyDiv w:val="1"/>
      <w:marLeft w:val="0"/>
      <w:marRight w:val="0"/>
      <w:marTop w:val="0"/>
      <w:marBottom w:val="0"/>
      <w:divBdr>
        <w:top w:val="none" w:sz="0" w:space="0" w:color="auto"/>
        <w:left w:val="none" w:sz="0" w:space="0" w:color="auto"/>
        <w:bottom w:val="none" w:sz="0" w:space="0" w:color="auto"/>
        <w:right w:val="none" w:sz="0" w:space="0" w:color="auto"/>
      </w:divBdr>
    </w:div>
    <w:div w:id="221528674">
      <w:bodyDiv w:val="1"/>
      <w:marLeft w:val="0"/>
      <w:marRight w:val="0"/>
      <w:marTop w:val="0"/>
      <w:marBottom w:val="0"/>
      <w:divBdr>
        <w:top w:val="none" w:sz="0" w:space="0" w:color="auto"/>
        <w:left w:val="none" w:sz="0" w:space="0" w:color="auto"/>
        <w:bottom w:val="none" w:sz="0" w:space="0" w:color="auto"/>
        <w:right w:val="none" w:sz="0" w:space="0" w:color="auto"/>
      </w:divBdr>
    </w:div>
    <w:div w:id="231477329">
      <w:bodyDiv w:val="1"/>
      <w:marLeft w:val="0"/>
      <w:marRight w:val="0"/>
      <w:marTop w:val="0"/>
      <w:marBottom w:val="0"/>
      <w:divBdr>
        <w:top w:val="none" w:sz="0" w:space="0" w:color="auto"/>
        <w:left w:val="none" w:sz="0" w:space="0" w:color="auto"/>
        <w:bottom w:val="none" w:sz="0" w:space="0" w:color="auto"/>
        <w:right w:val="none" w:sz="0" w:space="0" w:color="auto"/>
      </w:divBdr>
    </w:div>
    <w:div w:id="243421378">
      <w:bodyDiv w:val="1"/>
      <w:marLeft w:val="0"/>
      <w:marRight w:val="0"/>
      <w:marTop w:val="0"/>
      <w:marBottom w:val="0"/>
      <w:divBdr>
        <w:top w:val="none" w:sz="0" w:space="0" w:color="auto"/>
        <w:left w:val="none" w:sz="0" w:space="0" w:color="auto"/>
        <w:bottom w:val="none" w:sz="0" w:space="0" w:color="auto"/>
        <w:right w:val="none" w:sz="0" w:space="0" w:color="auto"/>
      </w:divBdr>
    </w:div>
    <w:div w:id="423306228">
      <w:bodyDiv w:val="1"/>
      <w:marLeft w:val="0"/>
      <w:marRight w:val="0"/>
      <w:marTop w:val="0"/>
      <w:marBottom w:val="0"/>
      <w:divBdr>
        <w:top w:val="none" w:sz="0" w:space="0" w:color="auto"/>
        <w:left w:val="none" w:sz="0" w:space="0" w:color="auto"/>
        <w:bottom w:val="none" w:sz="0" w:space="0" w:color="auto"/>
        <w:right w:val="none" w:sz="0" w:space="0" w:color="auto"/>
      </w:divBdr>
    </w:div>
    <w:div w:id="674649912">
      <w:bodyDiv w:val="1"/>
      <w:marLeft w:val="0"/>
      <w:marRight w:val="0"/>
      <w:marTop w:val="0"/>
      <w:marBottom w:val="0"/>
      <w:divBdr>
        <w:top w:val="none" w:sz="0" w:space="0" w:color="auto"/>
        <w:left w:val="none" w:sz="0" w:space="0" w:color="auto"/>
        <w:bottom w:val="none" w:sz="0" w:space="0" w:color="auto"/>
        <w:right w:val="none" w:sz="0" w:space="0" w:color="auto"/>
      </w:divBdr>
    </w:div>
    <w:div w:id="773283191">
      <w:bodyDiv w:val="1"/>
      <w:marLeft w:val="0"/>
      <w:marRight w:val="0"/>
      <w:marTop w:val="0"/>
      <w:marBottom w:val="0"/>
      <w:divBdr>
        <w:top w:val="none" w:sz="0" w:space="0" w:color="auto"/>
        <w:left w:val="none" w:sz="0" w:space="0" w:color="auto"/>
        <w:bottom w:val="none" w:sz="0" w:space="0" w:color="auto"/>
        <w:right w:val="none" w:sz="0" w:space="0" w:color="auto"/>
      </w:divBdr>
    </w:div>
    <w:div w:id="845899057">
      <w:bodyDiv w:val="1"/>
      <w:marLeft w:val="0"/>
      <w:marRight w:val="0"/>
      <w:marTop w:val="0"/>
      <w:marBottom w:val="0"/>
      <w:divBdr>
        <w:top w:val="none" w:sz="0" w:space="0" w:color="auto"/>
        <w:left w:val="none" w:sz="0" w:space="0" w:color="auto"/>
        <w:bottom w:val="none" w:sz="0" w:space="0" w:color="auto"/>
        <w:right w:val="none" w:sz="0" w:space="0" w:color="auto"/>
      </w:divBdr>
    </w:div>
    <w:div w:id="896479709">
      <w:bodyDiv w:val="1"/>
      <w:marLeft w:val="0"/>
      <w:marRight w:val="0"/>
      <w:marTop w:val="0"/>
      <w:marBottom w:val="0"/>
      <w:divBdr>
        <w:top w:val="none" w:sz="0" w:space="0" w:color="auto"/>
        <w:left w:val="none" w:sz="0" w:space="0" w:color="auto"/>
        <w:bottom w:val="none" w:sz="0" w:space="0" w:color="auto"/>
        <w:right w:val="none" w:sz="0" w:space="0" w:color="auto"/>
      </w:divBdr>
    </w:div>
    <w:div w:id="948701810">
      <w:bodyDiv w:val="1"/>
      <w:marLeft w:val="0"/>
      <w:marRight w:val="0"/>
      <w:marTop w:val="0"/>
      <w:marBottom w:val="0"/>
      <w:divBdr>
        <w:top w:val="none" w:sz="0" w:space="0" w:color="auto"/>
        <w:left w:val="none" w:sz="0" w:space="0" w:color="auto"/>
        <w:bottom w:val="none" w:sz="0" w:space="0" w:color="auto"/>
        <w:right w:val="none" w:sz="0" w:space="0" w:color="auto"/>
      </w:divBdr>
    </w:div>
    <w:div w:id="954361490">
      <w:bodyDiv w:val="1"/>
      <w:marLeft w:val="0"/>
      <w:marRight w:val="0"/>
      <w:marTop w:val="0"/>
      <w:marBottom w:val="0"/>
      <w:divBdr>
        <w:top w:val="none" w:sz="0" w:space="0" w:color="auto"/>
        <w:left w:val="none" w:sz="0" w:space="0" w:color="auto"/>
        <w:bottom w:val="none" w:sz="0" w:space="0" w:color="auto"/>
        <w:right w:val="none" w:sz="0" w:space="0" w:color="auto"/>
      </w:divBdr>
    </w:div>
    <w:div w:id="1112867021">
      <w:bodyDiv w:val="1"/>
      <w:marLeft w:val="0"/>
      <w:marRight w:val="0"/>
      <w:marTop w:val="0"/>
      <w:marBottom w:val="0"/>
      <w:divBdr>
        <w:top w:val="none" w:sz="0" w:space="0" w:color="auto"/>
        <w:left w:val="none" w:sz="0" w:space="0" w:color="auto"/>
        <w:bottom w:val="none" w:sz="0" w:space="0" w:color="auto"/>
        <w:right w:val="none" w:sz="0" w:space="0" w:color="auto"/>
      </w:divBdr>
    </w:div>
    <w:div w:id="1142960315">
      <w:bodyDiv w:val="1"/>
      <w:marLeft w:val="0"/>
      <w:marRight w:val="0"/>
      <w:marTop w:val="0"/>
      <w:marBottom w:val="0"/>
      <w:divBdr>
        <w:top w:val="none" w:sz="0" w:space="0" w:color="auto"/>
        <w:left w:val="none" w:sz="0" w:space="0" w:color="auto"/>
        <w:bottom w:val="none" w:sz="0" w:space="0" w:color="auto"/>
        <w:right w:val="none" w:sz="0" w:space="0" w:color="auto"/>
      </w:divBdr>
    </w:div>
    <w:div w:id="1295139819">
      <w:bodyDiv w:val="1"/>
      <w:marLeft w:val="0"/>
      <w:marRight w:val="0"/>
      <w:marTop w:val="0"/>
      <w:marBottom w:val="0"/>
      <w:divBdr>
        <w:top w:val="none" w:sz="0" w:space="0" w:color="auto"/>
        <w:left w:val="none" w:sz="0" w:space="0" w:color="auto"/>
        <w:bottom w:val="none" w:sz="0" w:space="0" w:color="auto"/>
        <w:right w:val="none" w:sz="0" w:space="0" w:color="auto"/>
      </w:divBdr>
    </w:div>
    <w:div w:id="1389718835">
      <w:bodyDiv w:val="1"/>
      <w:marLeft w:val="0"/>
      <w:marRight w:val="0"/>
      <w:marTop w:val="0"/>
      <w:marBottom w:val="0"/>
      <w:divBdr>
        <w:top w:val="none" w:sz="0" w:space="0" w:color="auto"/>
        <w:left w:val="none" w:sz="0" w:space="0" w:color="auto"/>
        <w:bottom w:val="none" w:sz="0" w:space="0" w:color="auto"/>
        <w:right w:val="none" w:sz="0" w:space="0" w:color="auto"/>
      </w:divBdr>
    </w:div>
    <w:div w:id="1766878458">
      <w:bodyDiv w:val="1"/>
      <w:marLeft w:val="0"/>
      <w:marRight w:val="0"/>
      <w:marTop w:val="0"/>
      <w:marBottom w:val="0"/>
      <w:divBdr>
        <w:top w:val="none" w:sz="0" w:space="0" w:color="auto"/>
        <w:left w:val="none" w:sz="0" w:space="0" w:color="auto"/>
        <w:bottom w:val="none" w:sz="0" w:space="0" w:color="auto"/>
        <w:right w:val="none" w:sz="0" w:space="0" w:color="auto"/>
      </w:divBdr>
    </w:div>
    <w:div w:id="1839496431">
      <w:bodyDiv w:val="1"/>
      <w:marLeft w:val="0"/>
      <w:marRight w:val="0"/>
      <w:marTop w:val="0"/>
      <w:marBottom w:val="0"/>
      <w:divBdr>
        <w:top w:val="none" w:sz="0" w:space="0" w:color="auto"/>
        <w:left w:val="none" w:sz="0" w:space="0" w:color="auto"/>
        <w:bottom w:val="none" w:sz="0" w:space="0" w:color="auto"/>
        <w:right w:val="none" w:sz="0" w:space="0" w:color="auto"/>
      </w:divBdr>
    </w:div>
    <w:div w:id="2034919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XVII/onderdeel/795937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869</ap:Words>
  <ap:Characters>4782</ap:Characters>
  <ap:DocSecurity>0</ap:DocSecurity>
  <ap:Lines>39</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2025-10-06T10:07:00.0000000Z</lastPrinted>
  <dcterms:created xsi:type="dcterms:W3CDTF">2025-10-07T08:30:00.0000000Z</dcterms:created>
  <dcterms:modified xsi:type="dcterms:W3CDTF">2025-10-07T08:30:00.0000000Z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41a200f7-c65f-42a4-bf69-970d7187db29</vt:lpwstr>
  </property>
  <property fmtid="{D5CDD505-2E9C-101B-9397-08002B2CF9AE}" pid="4" name="BZForumOrganisation">
    <vt:lpwstr>494;#GFATM|cab73780-b189-4d56-b459-09d7c48eb163;#495;#GFF|df7c2876-e9ca-4544-98e1-45f07b185a88;#2;#Not applicable|0049e722-bfb1-4a3f-9d08-af7366a9af40;#190;#GAVI|5a71be69-c3a1-45e2-a2aa-3e71a9074d90;#237;#UNAIDS|19addd27-d0cc-4498-92aa-95300b1d45df;#254;#UNFPA|b1e23823-a728-4c39-a220-6a03593e3553;#298;#WHO|ee0b7965-771c-4656-8c74-2d79d30f677c;#299;#RHR|7d36b55c-5216-4487-927f-04d0a1bbf308</vt:lpwstr>
  </property>
  <property fmtid="{D5CDD505-2E9C-101B-9397-08002B2CF9AE}" pid="5" name="gc2efd3bfea04f7f8169be07009f5536">
    <vt:lpwstr/>
  </property>
  <property fmtid="{D5CDD505-2E9C-101B-9397-08002B2CF9AE}" pid="6" name="BZTheme">
    <vt:lpwstr>481;#Access to medicines|52640d8d-d448-4cbe-8087-07f77408b965;#482;#Basic health care|7895b484-72df-4691-8aeb-3f29a56b1878;#483;#Diseases|c499820a-a826-4f2f-a61a-82d6f2903eb9;#417;#AIDS|08fe1a7a-0467-481e-b7ef-42d60c011baa;#484;#Covid-19|e57bd156-19c6-4ffd-8f05-175682756fd0;#485;#Diseases general|f02ff627-33eb-4724-8e0f-5faf0ff117e4;#486;#Ebola|e0f7f3f3-5978-4441-9100-f2116b710d00;#487;#Malaria|f7a31f6d-8a97-4516-9c68-ecf33c4bbb79;#488;#Polio|8906ca45-6040-405d-bf24-908ae1ca1edb;#489;#TB|6c51e68f-5f81-4d9c-8d29-ada6f2577215;#490;#Epidemics|a085063b-ef59-48cc-bb60-2b1e1742e717;#491;#Global health|52270957-c6a7-41f2-aa84-d15a2f728039;#366;#Health general|9917dbf9-2a84-4eb7-b965-6cf109e39b52;#492;#Health systems and financing|5aa0ac26-4489-4d3b-8ea0-0c8a03e2307e;#493;#Pandemics|fb0b277f-9502-49c7-93b2-fe49afb8eaa8</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